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E97833"/>
          <w:sz w:val="16"/>
        </w:rPr>
        <w:t>BUSINESS ANALYSIS PORTFOLIO  /  BRD-PT-001</w:t>
      </w:r>
    </w:p>
    <w:p>
      <w:pPr>
        <w:pStyle w:val="Title"/>
      </w:pPr>
      <w:r>
        <w:t>Business Requirements Document</w:t>
      </w:r>
    </w:p>
    <w:p>
      <w:pPr>
        <w:spacing w:after="200"/>
      </w:pPr>
      <w:r>
        <w:rPr>
          <w:color w:val="697587"/>
          <w:sz w:val="24"/>
        </w:rPr>
        <w:t>PayTrack | Payment Reconciliation &amp; Exception Management</w:t>
      </w:r>
    </w:p>
    <w:tbl>
      <w:tblPr>
        <w:tblW w:type="auto" w:w="0"/>
        <w:jc w:val="center"/>
        <w:tblLook w:firstColumn="1" w:firstRow="1" w:lastColumn="0" w:lastRow="0" w:noHBand="0" w:noVBand="1" w:val="04A0"/>
      </w:tblPr>
      <w:tblGrid>
        <w:gridCol w:w="10166"/>
      </w:tblGrid>
      <w:tr>
        <w:tc>
          <w:tcPr>
            <w:tcW w:type="dxa" w:w="10166"/>
            <w:shd w:fill="FFF2E8"/>
            <w:tcMar>
              <w:top w:w="100" w:type="dxa"/>
              <w:start w:w="150" w:type="dxa"/>
              <w:bottom w:w="100" w:type="dxa"/>
              <w:end w:w="150" w:type="dxa"/>
            </w:tcMar>
          </w:tcPr>
          <w:p>
            <w:r>
              <w:rPr>
                <w:b/>
                <w:color w:val="9B4E1B"/>
                <w:sz w:val="16"/>
              </w:rPr>
              <w:t>SAMPLE ONLY — FICTIONAL PORTFOLIO CASE STUDY. All names, records, targets, dates and amounts are illustrative, not evidence of actual client work.</w:t>
            </w:r>
          </w:p>
        </w:tc>
      </w:tr>
    </w:tbl>
    <w:p>
      <w:r>
        <w:t>Document version 1.0  |  Scenario: PayTrack payment reconciliation portal  |  Owner: Sample Business Analyst</w:t>
      </w:r>
    </w:p>
    <w:p>
      <w:pPr>
        <w:pStyle w:val="Heading1"/>
      </w:pPr>
      <w:r>
        <w:t>1. Executive summary</w:t>
      </w:r>
    </w:p>
    <w:p>
      <w:r>
        <w:t>PayTrack is a fictional internal operations portal concept intended to help an operations team compare internal payment records with payment-gateway events, identify unmatched or inconsistent records, assign exceptions, document resolutions and preserve an audit trail. This BRD frames the business need and desired outcomes before detailed solution design.</w:t>
      </w:r>
    </w:p>
    <w:p>
      <w:pPr>
        <w:pStyle w:val="Heading1"/>
      </w:pPr>
      <w:r>
        <w:t>2. Business context and problem statement</w:t>
      </w:r>
    </w:p>
    <w:p>
      <w:r>
        <w:t>In the illustrative current state, operations staff use separate gateway reports, internal transaction exports and manual trackers. The resulting workflow can create duplicated effort, delayed identification of mismatches, inconsistent ownership and limited visibility into why a transaction remains unresolved. These are scenario assumptions for this sample; a real engagement would validate them through interviews, observation and data assessment.</w:t>
      </w:r>
    </w:p>
    <w:p>
      <w:pPr>
        <w:pStyle w:val="Heading1"/>
      </w:pPr>
      <w:r>
        <w:t>3. Objectives and proposed success measures</w:t>
      </w:r>
    </w:p>
    <w:tbl>
      <w:tblPr>
        <w:tblW w:type="auto" w:w="0"/>
        <w:jc w:val="center"/>
        <w:tblLayout w:type="fixed"/>
        <w:tblLook w:firstColumn="1" w:firstRow="1" w:lastColumn="0" w:lastRow="0" w:noHBand="0" w:noVBand="1" w:val="04A0"/>
      </w:tblPr>
      <w:tblGrid>
        <w:gridCol w:w="1080"/>
        <w:gridCol w:w="3024"/>
        <w:gridCol w:w="5472"/>
      </w:tblGrid>
      <w:tr>
        <w:trPr>
          <w:tblHeader w:val="true"/>
        </w:trPr>
        <w:tc>
          <w:tcPr>
            <w:tcW w:type="dxa" w:w="3389"/>
            <w:shd w:fill="19243A"/>
            <w:tcMar>
              <w:top w:w="100" w:type="dxa"/>
              <w:start w:w="100" w:type="dxa"/>
              <w:bottom w:w="100" w:type="dxa"/>
              <w:end w:w="100" w:type="dxa"/>
            </w:tcMar>
            <w:vAlign w:val="center"/>
          </w:tcPr>
          <w:p>
            <w:pPr>
              <w:spacing w:after="0"/>
            </w:pPr>
            <w:r>
              <w:rPr>
                <w:b/>
                <w:color w:val="FFFFFF"/>
                <w:sz w:val="16"/>
              </w:rPr>
              <w:t>ID</w:t>
            </w:r>
          </w:p>
        </w:tc>
        <w:tc>
          <w:tcPr>
            <w:tcW w:type="dxa" w:w="3389"/>
            <w:shd w:fill="19243A"/>
            <w:tcMar>
              <w:top w:w="100" w:type="dxa"/>
              <w:start w:w="100" w:type="dxa"/>
              <w:bottom w:w="100" w:type="dxa"/>
              <w:end w:w="100" w:type="dxa"/>
            </w:tcMar>
            <w:vAlign w:val="center"/>
          </w:tcPr>
          <w:p>
            <w:pPr>
              <w:spacing w:after="0"/>
            </w:pPr>
            <w:r>
              <w:rPr>
                <w:b/>
                <w:color w:val="FFFFFF"/>
                <w:sz w:val="16"/>
              </w:rPr>
              <w:t>Objective</w:t>
            </w:r>
          </w:p>
        </w:tc>
        <w:tc>
          <w:tcPr>
            <w:tcW w:type="dxa" w:w="3389"/>
            <w:shd w:fill="19243A"/>
            <w:tcMar>
              <w:top w:w="100" w:type="dxa"/>
              <w:start w:w="100" w:type="dxa"/>
              <w:bottom w:w="100" w:type="dxa"/>
              <w:end w:w="100" w:type="dxa"/>
            </w:tcMar>
            <w:vAlign w:val="center"/>
          </w:tcPr>
          <w:p>
            <w:pPr>
              <w:spacing w:after="0"/>
            </w:pPr>
            <w:r>
              <w:rPr>
                <w:b/>
                <w:color w:val="FFFFFF"/>
                <w:sz w:val="16"/>
              </w:rPr>
              <w:t>Illustrative pilot measure / target</w:t>
            </w:r>
          </w:p>
        </w:tc>
      </w:tr>
      <w:tr>
        <w:tc>
          <w:tcPr>
            <w:tcW w:type="dxa" w:w="108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OBJ-01</w:t>
            </w:r>
          </w:p>
        </w:tc>
        <w:tc>
          <w:tcPr>
            <w:tcW w:type="dxa" w:w="3024"/>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Improve reconciliation visibility</w:t>
            </w:r>
          </w:p>
        </w:tc>
        <w:tc>
          <w:tcPr>
            <w:tcW w:type="dxa" w:w="547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At least 95% of eligible transactions matched automatically in pilot; validate baseline first.</w:t>
            </w:r>
          </w:p>
        </w:tc>
      </w:tr>
      <w:tr>
        <w:tc>
          <w:tcPr>
            <w:tcW w:type="dxa" w:w="108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OBJ-02</w:t>
            </w:r>
          </w:p>
        </w:tc>
        <w:tc>
          <w:tcPr>
            <w:tcW w:type="dxa" w:w="3024"/>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Make exception ownership explicit</w:t>
            </w:r>
          </w:p>
        </w:tc>
        <w:tc>
          <w:tcPr>
            <w:tcW w:type="dxa" w:w="547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100% of open exceptions have status, owner or queue, reason code and last-updated timestamp.</w:t>
            </w:r>
          </w:p>
        </w:tc>
      </w:tr>
      <w:tr>
        <w:tc>
          <w:tcPr>
            <w:tcW w:type="dxa" w:w="108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OBJ-03</w:t>
            </w:r>
          </w:p>
        </w:tc>
        <w:tc>
          <w:tcPr>
            <w:tcW w:type="dxa" w:w="3024"/>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Improve investigation consistency</w:t>
            </w:r>
          </w:p>
        </w:tc>
        <w:tc>
          <w:tcPr>
            <w:tcW w:type="dxa" w:w="547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At least 90% of sampled cases can be triaged by an analyst within two minutes; measure in UAT.</w:t>
            </w:r>
          </w:p>
        </w:tc>
      </w:tr>
      <w:tr>
        <w:tc>
          <w:tcPr>
            <w:tcW w:type="dxa" w:w="108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OBJ-04</w:t>
            </w:r>
          </w:p>
        </w:tc>
        <w:tc>
          <w:tcPr>
            <w:tcW w:type="dxa" w:w="3024"/>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Provide traceable actions</w:t>
            </w:r>
          </w:p>
        </w:tc>
        <w:tc>
          <w:tcPr>
            <w:tcW w:type="dxa" w:w="547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100% of resolution and reassignment actions create an audit event.</w:t>
            </w:r>
          </w:p>
        </w:tc>
      </w:tr>
    </w:tbl>
    <w:p>
      <w:pPr>
        <w:spacing w:after="0"/>
      </w:pPr>
    </w:p>
    <w:p>
      <w:pPr>
        <w:pStyle w:val="Heading1"/>
      </w:pPr>
      <w:r>
        <w:t>4. Stakeholders and user groups</w:t>
      </w:r>
    </w:p>
    <w:tbl>
      <w:tblPr>
        <w:tblW w:type="auto" w:w="0"/>
        <w:jc w:val="center"/>
        <w:tblLayout w:type="fixed"/>
        <w:tblLook w:firstColumn="1" w:firstRow="1" w:lastColumn="0" w:lastRow="0" w:noHBand="0" w:noVBand="1" w:val="04A0"/>
      </w:tblPr>
      <w:tblGrid>
        <w:gridCol w:w="2880"/>
        <w:gridCol w:w="6696"/>
      </w:tblGrid>
      <w:tr>
        <w:trPr>
          <w:tblHeader w:val="true"/>
        </w:trPr>
        <w:tc>
          <w:tcPr>
            <w:tcW w:type="dxa" w:w="5083"/>
            <w:shd w:fill="19243A"/>
            <w:tcMar>
              <w:top w:w="100" w:type="dxa"/>
              <w:start w:w="100" w:type="dxa"/>
              <w:bottom w:w="100" w:type="dxa"/>
              <w:end w:w="100" w:type="dxa"/>
            </w:tcMar>
            <w:vAlign w:val="center"/>
          </w:tcPr>
          <w:p>
            <w:pPr>
              <w:spacing w:after="0"/>
            </w:pPr>
            <w:r>
              <w:rPr>
                <w:b/>
                <w:color w:val="FFFFFF"/>
                <w:sz w:val="16"/>
              </w:rPr>
              <w:t>Stakeholder / role</w:t>
            </w:r>
          </w:p>
        </w:tc>
        <w:tc>
          <w:tcPr>
            <w:tcW w:type="dxa" w:w="5083"/>
            <w:shd w:fill="19243A"/>
            <w:tcMar>
              <w:top w:w="100" w:type="dxa"/>
              <w:start w:w="100" w:type="dxa"/>
              <w:bottom w:w="100" w:type="dxa"/>
              <w:end w:w="100" w:type="dxa"/>
            </w:tcMar>
            <w:vAlign w:val="center"/>
          </w:tcPr>
          <w:p>
            <w:pPr>
              <w:spacing w:after="0"/>
            </w:pPr>
            <w:r>
              <w:rPr>
                <w:b/>
                <w:color w:val="FFFFFF"/>
                <w:sz w:val="16"/>
              </w:rPr>
              <w:t>Interest / responsibility</w:t>
            </w:r>
          </w:p>
        </w:tc>
      </w:tr>
      <w:tr>
        <w:tc>
          <w:tcPr>
            <w:tcW w:type="dxa" w:w="288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Operations Analyst</w:t>
            </w:r>
          </w:p>
        </w:tc>
        <w:tc>
          <w:tcPr>
            <w:tcW w:type="dxa" w:w="6696"/>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Monitor exceptions, compare source values, add evidence and record permitted resolutions.</w:t>
            </w:r>
          </w:p>
        </w:tc>
      </w:tr>
      <w:tr>
        <w:tc>
          <w:tcPr>
            <w:tcW w:type="dxa" w:w="288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Operations Lead</w:t>
            </w:r>
          </w:p>
        </w:tc>
        <w:tc>
          <w:tcPr>
            <w:tcW w:type="dxa" w:w="6696"/>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Manage queue, reassign work, review escalations and approve controlled actions when policy requires.</w:t>
            </w:r>
          </w:p>
        </w:tc>
      </w:tr>
      <w:tr>
        <w:tc>
          <w:tcPr>
            <w:tcW w:type="dxa" w:w="288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Support / Read-only User</w:t>
            </w:r>
          </w:p>
        </w:tc>
        <w:tc>
          <w:tcPr>
            <w:tcW w:type="dxa" w:w="6696"/>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View transaction status and audit-relevant information without changing records.</w:t>
            </w:r>
          </w:p>
        </w:tc>
      </w:tr>
      <w:tr>
        <w:tc>
          <w:tcPr>
            <w:tcW w:type="dxa" w:w="288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Product Owner / Business Sponsor</w:t>
            </w:r>
          </w:p>
        </w:tc>
        <w:tc>
          <w:tcPr>
            <w:tcW w:type="dxa" w:w="6696"/>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Confirm business outcomes, policy rules, priorities and scope decisions.</w:t>
            </w:r>
          </w:p>
        </w:tc>
      </w:tr>
      <w:tr>
        <w:tc>
          <w:tcPr>
            <w:tcW w:type="dxa" w:w="288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Engineering / QA</w:t>
            </w:r>
          </w:p>
        </w:tc>
        <w:tc>
          <w:tcPr>
            <w:tcW w:type="dxa" w:w="6696"/>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Design the solution, implement controls and validate requirements against acceptance criteria.</w:t>
            </w:r>
          </w:p>
        </w:tc>
      </w:tr>
      <w:tr>
        <w:tc>
          <w:tcPr>
            <w:tcW w:type="dxa" w:w="288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Security / Platform Owner</w:t>
            </w:r>
          </w:p>
        </w:tc>
        <w:tc>
          <w:tcPr>
            <w:tcW w:type="dxa" w:w="6696"/>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Confirm access, logging, retention and operational requirements.</w:t>
            </w:r>
          </w:p>
        </w:tc>
      </w:tr>
    </w:tbl>
    <w:p>
      <w:pPr>
        <w:spacing w:after="0"/>
      </w:pPr>
    </w:p>
    <w:p>
      <w:pPr>
        <w:pStyle w:val="Heading1"/>
      </w:pPr>
      <w:r>
        <w:t>5. Scope</w:t>
      </w:r>
    </w:p>
    <w:p>
      <w:pPr>
        <w:pStyle w:val="Heading2"/>
      </w:pPr>
      <w:r>
        <w:t>In scope</w:t>
      </w:r>
    </w:p>
    <w:p>
      <w:pPr>
        <w:pStyle w:val="ListBullet"/>
        <w:spacing w:after="40"/>
      </w:pPr>
      <w:r>
        <w:t>Import or receive normalized internal transaction and gateway event data for a defined reconciliation window.</w:t>
      </w:r>
    </w:p>
    <w:p>
      <w:pPr>
        <w:pStyle w:val="ListBullet"/>
        <w:spacing w:after="40"/>
      </w:pPr>
      <w:r>
        <w:t>Match records using agreed reference fields and configured matching rules.</w:t>
      </w:r>
    </w:p>
    <w:p>
      <w:pPr>
        <w:pStyle w:val="ListBullet"/>
        <w:spacing w:after="40"/>
      </w:pPr>
      <w:r>
        <w:t>Show matched, pending, unmatched, duplicate and failed items with reason codes.</w:t>
      </w:r>
    </w:p>
    <w:p>
      <w:pPr>
        <w:pStyle w:val="ListBullet"/>
        <w:spacing w:after="40"/>
      </w:pPr>
      <w:r>
        <w:t>Create and assign exception cases with comments/evidence references and controlled status changes.</w:t>
      </w:r>
    </w:p>
    <w:p>
      <w:pPr>
        <w:pStyle w:val="ListBullet"/>
        <w:spacing w:after="40"/>
      </w:pPr>
      <w:r>
        <w:t>Record user actions, timestamps, status transitions and relevant before/after values in an audit history.</w:t>
      </w:r>
    </w:p>
    <w:p>
      <w:pPr>
        <w:pStyle w:val="ListBullet"/>
        <w:spacing w:after="40"/>
      </w:pPr>
      <w:r>
        <w:t>Provide filters, search, summary counts and export of permitted operational views.</w:t>
      </w:r>
    </w:p>
    <w:p>
      <w:pPr>
        <w:pStyle w:val="Heading2"/>
      </w:pPr>
      <w:r>
        <w:t>Out of scope for the sample</w:t>
      </w:r>
    </w:p>
    <w:p>
      <w:pPr>
        <w:pStyle w:val="ListBullet"/>
        <w:spacing w:after="40"/>
      </w:pPr>
      <w:r>
        <w:t>Initiating refunds, payouts or payment capture from this portal.</w:t>
      </w:r>
    </w:p>
    <w:p>
      <w:pPr>
        <w:pStyle w:val="ListBullet"/>
        <w:spacing w:after="40"/>
      </w:pPr>
      <w:r>
        <w:t>Making autonomous financial decisions or changing gateway records without authorization.</w:t>
      </w:r>
    </w:p>
    <w:p>
      <w:pPr>
        <w:pStyle w:val="ListBullet"/>
        <w:spacing w:after="40"/>
      </w:pPr>
      <w:r>
        <w:t>Connecting to a real payment provider, production credentials or real customer information.</w:t>
      </w:r>
    </w:p>
    <w:p>
      <w:pPr>
        <w:pStyle w:val="ListBullet"/>
        <w:spacing w:after="40"/>
      </w:pPr>
      <w:r>
        <w:t>Defining legal retention, PCI scope or regulated-data policies without stakeholder/security review.</w:t>
      </w:r>
    </w:p>
    <w:p>
      <w:pPr>
        <w:pStyle w:val="Heading1"/>
      </w:pPr>
      <w:r>
        <w:t>6. High-level business requirements</w:t>
      </w:r>
    </w:p>
    <w:tbl>
      <w:tblPr>
        <w:tblW w:type="auto" w:w="0"/>
        <w:jc w:val="center"/>
        <w:tblLayout w:type="fixed"/>
        <w:tblLook w:firstColumn="1" w:firstRow="1" w:lastColumn="0" w:lastRow="0" w:noHBand="0" w:noVBand="1" w:val="04A0"/>
      </w:tblPr>
      <w:tblGrid>
        <w:gridCol w:w="1152"/>
        <w:gridCol w:w="6912"/>
        <w:gridCol w:w="1440"/>
      </w:tblGrid>
      <w:tr>
        <w:trPr>
          <w:tblHeader w:val="true"/>
        </w:trPr>
        <w:tc>
          <w:tcPr>
            <w:tcW w:type="dxa" w:w="3389"/>
            <w:shd w:fill="19243A"/>
            <w:tcMar>
              <w:top w:w="100" w:type="dxa"/>
              <w:start w:w="100" w:type="dxa"/>
              <w:bottom w:w="100" w:type="dxa"/>
              <w:end w:w="100" w:type="dxa"/>
            </w:tcMar>
            <w:vAlign w:val="center"/>
          </w:tcPr>
          <w:p>
            <w:pPr>
              <w:spacing w:after="0"/>
            </w:pPr>
            <w:r>
              <w:rPr>
                <w:b/>
                <w:color w:val="FFFFFF"/>
                <w:sz w:val="16"/>
              </w:rPr>
              <w:t>ID</w:t>
            </w:r>
          </w:p>
        </w:tc>
        <w:tc>
          <w:tcPr>
            <w:tcW w:type="dxa" w:w="3389"/>
            <w:shd w:fill="19243A"/>
            <w:tcMar>
              <w:top w:w="100" w:type="dxa"/>
              <w:start w:w="100" w:type="dxa"/>
              <w:bottom w:w="100" w:type="dxa"/>
              <w:end w:w="100" w:type="dxa"/>
            </w:tcMar>
            <w:vAlign w:val="center"/>
          </w:tcPr>
          <w:p>
            <w:pPr>
              <w:spacing w:after="0"/>
            </w:pPr>
            <w:r>
              <w:rPr>
                <w:b/>
                <w:color w:val="FFFFFF"/>
                <w:sz w:val="16"/>
              </w:rPr>
              <w:t>Business requirement</w:t>
            </w:r>
          </w:p>
        </w:tc>
        <w:tc>
          <w:tcPr>
            <w:tcW w:type="dxa" w:w="3389"/>
            <w:shd w:fill="19243A"/>
            <w:tcMar>
              <w:top w:w="100" w:type="dxa"/>
              <w:start w:w="100" w:type="dxa"/>
              <w:bottom w:w="100" w:type="dxa"/>
              <w:end w:w="100" w:type="dxa"/>
            </w:tcMar>
            <w:vAlign w:val="center"/>
          </w:tcPr>
          <w:p>
            <w:pPr>
              <w:spacing w:after="0"/>
            </w:pPr>
            <w:r>
              <w:rPr>
                <w:b/>
                <w:color w:val="FFFFFF"/>
                <w:sz w:val="16"/>
              </w:rPr>
              <w:t>Priority</w:t>
            </w:r>
          </w:p>
        </w:tc>
      </w:tr>
      <w:tr>
        <w:tc>
          <w:tcPr>
            <w:tcW w:type="dxa" w:w="115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BR-01</w:t>
            </w:r>
          </w:p>
        </w:tc>
        <w:tc>
          <w:tcPr>
            <w:tcW w:type="dxa" w:w="691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The portal shall provide a single operational view of transaction and reconciliation status.</w:t>
            </w:r>
          </w:p>
        </w:tc>
        <w:tc>
          <w:tcPr>
            <w:tcW w:type="dxa" w:w="144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Must</w:t>
            </w:r>
          </w:p>
        </w:tc>
      </w:tr>
      <w:tr>
        <w:tc>
          <w:tcPr>
            <w:tcW w:type="dxa" w:w="115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BR-02</w:t>
            </w:r>
          </w:p>
        </w:tc>
        <w:tc>
          <w:tcPr>
            <w:tcW w:type="dxa" w:w="691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The portal shall identify unmatched or inconsistent records with an actionable reason code.</w:t>
            </w:r>
          </w:p>
        </w:tc>
        <w:tc>
          <w:tcPr>
            <w:tcW w:type="dxa" w:w="144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Must</w:t>
            </w:r>
          </w:p>
        </w:tc>
      </w:tr>
      <w:tr>
        <w:tc>
          <w:tcPr>
            <w:tcW w:type="dxa" w:w="115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BR-03</w:t>
            </w:r>
          </w:p>
        </w:tc>
        <w:tc>
          <w:tcPr>
            <w:tcW w:type="dxa" w:w="691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The portal shall enable authorised users to assign, comment on and resolve exception cases.</w:t>
            </w:r>
          </w:p>
        </w:tc>
        <w:tc>
          <w:tcPr>
            <w:tcW w:type="dxa" w:w="144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Must</w:t>
            </w:r>
          </w:p>
        </w:tc>
      </w:tr>
      <w:tr>
        <w:tc>
          <w:tcPr>
            <w:tcW w:type="dxa" w:w="115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BR-04</w:t>
            </w:r>
          </w:p>
        </w:tc>
        <w:tc>
          <w:tcPr>
            <w:tcW w:type="dxa" w:w="691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The portal shall preserve an audit history for material case and transaction actions.</w:t>
            </w:r>
          </w:p>
        </w:tc>
        <w:tc>
          <w:tcPr>
            <w:tcW w:type="dxa" w:w="144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Must</w:t>
            </w:r>
          </w:p>
        </w:tc>
      </w:tr>
      <w:tr>
        <w:tc>
          <w:tcPr>
            <w:tcW w:type="dxa" w:w="115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BR-05</w:t>
            </w:r>
          </w:p>
        </w:tc>
        <w:tc>
          <w:tcPr>
            <w:tcW w:type="dxa" w:w="691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The portal shall restrict actions based on a role and permission model.</w:t>
            </w:r>
          </w:p>
        </w:tc>
        <w:tc>
          <w:tcPr>
            <w:tcW w:type="dxa" w:w="144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Must</w:t>
            </w:r>
          </w:p>
        </w:tc>
      </w:tr>
      <w:tr>
        <w:tc>
          <w:tcPr>
            <w:tcW w:type="dxa" w:w="115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BR-06</w:t>
            </w:r>
          </w:p>
        </w:tc>
        <w:tc>
          <w:tcPr>
            <w:tcW w:type="dxa" w:w="691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The portal shall provide filters and search for operational triage.</w:t>
            </w:r>
          </w:p>
        </w:tc>
        <w:tc>
          <w:tcPr>
            <w:tcW w:type="dxa" w:w="144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Should</w:t>
            </w:r>
          </w:p>
        </w:tc>
      </w:tr>
      <w:tr>
        <w:tc>
          <w:tcPr>
            <w:tcW w:type="dxa" w:w="115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BR-07</w:t>
            </w:r>
          </w:p>
        </w:tc>
        <w:tc>
          <w:tcPr>
            <w:tcW w:type="dxa" w:w="691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The portal should allow permitted case/transaction results to be exported.</w:t>
            </w:r>
          </w:p>
        </w:tc>
        <w:tc>
          <w:tcPr>
            <w:tcW w:type="dxa" w:w="1440"/>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Could</w:t>
            </w:r>
          </w:p>
        </w:tc>
      </w:tr>
      <w:tr>
        <w:tc>
          <w:tcPr>
            <w:tcW w:type="dxa" w:w="115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BR-08</w:t>
            </w:r>
          </w:p>
        </w:tc>
        <w:tc>
          <w:tcPr>
            <w:tcW w:type="dxa" w:w="691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The portal shall surface failures in ingestion or reconciliation so the team can investigate.</w:t>
            </w:r>
          </w:p>
        </w:tc>
        <w:tc>
          <w:tcPr>
            <w:tcW w:type="dxa" w:w="1440"/>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Should</w:t>
            </w:r>
          </w:p>
        </w:tc>
      </w:tr>
    </w:tbl>
    <w:p>
      <w:pPr>
        <w:spacing w:after="0"/>
      </w:pPr>
    </w:p>
    <w:p>
      <w:pPr>
        <w:pStyle w:val="Heading1"/>
      </w:pPr>
      <w:r>
        <w:t>7. Assumptions, constraints and dependencies</w:t>
      </w:r>
    </w:p>
    <w:p>
      <w:pPr>
        <w:pStyle w:val="ListBullet"/>
        <w:spacing w:after="40"/>
      </w:pPr>
      <w:r>
        <w:t>Source records contain a stable transaction reference or an agreed composite matching key.</w:t>
      </w:r>
    </w:p>
    <w:p>
      <w:pPr>
        <w:pStyle w:val="ListBullet"/>
        <w:spacing w:after="40"/>
      </w:pPr>
      <w:r>
        <w:t>The gateway integration method, rate limits, event schema and retry behavior are to be confirmed.</w:t>
      </w:r>
    </w:p>
    <w:p>
      <w:pPr>
        <w:pStyle w:val="ListBullet"/>
        <w:spacing w:after="40"/>
      </w:pPr>
      <w:r>
        <w:t>The first release is an operations-facing pilot; production scale and hosting are not specified here.</w:t>
      </w:r>
    </w:p>
    <w:p>
      <w:pPr>
        <w:pStyle w:val="ListBullet"/>
        <w:spacing w:after="40"/>
      </w:pPr>
      <w:r>
        <w:t>Access roles, resolution authority, audit retention and export rules require sponsor/security approval.</w:t>
      </w:r>
    </w:p>
    <w:p>
      <w:pPr>
        <w:pStyle w:val="ListBullet"/>
        <w:spacing w:after="40"/>
      </w:pPr>
      <w:r>
        <w:t>Illustrative merchant names, IDs, dates, amounts and success thresholds are invented for portfolio demonstration.</w:t>
      </w:r>
    </w:p>
    <w:p>
      <w:pPr>
        <w:pStyle w:val="Heading1"/>
      </w:pPr>
      <w:r>
        <w:t>8. Risks and mitigations</w:t>
      </w:r>
    </w:p>
    <w:tbl>
      <w:tblPr>
        <w:tblW w:type="auto" w:w="0"/>
        <w:jc w:val="center"/>
        <w:tblLayout w:type="fixed"/>
        <w:tblLook w:firstColumn="1" w:firstRow="1" w:lastColumn="0" w:lastRow="0" w:noHBand="0" w:noVBand="1" w:val="04A0"/>
      </w:tblPr>
      <w:tblGrid>
        <w:gridCol w:w="2232"/>
        <w:gridCol w:w="2592"/>
        <w:gridCol w:w="4824"/>
      </w:tblGrid>
      <w:tr>
        <w:trPr>
          <w:tblHeader w:val="true"/>
        </w:trPr>
        <w:tc>
          <w:tcPr>
            <w:tcW w:type="dxa" w:w="3389"/>
            <w:shd w:fill="19243A"/>
            <w:tcMar>
              <w:top w:w="100" w:type="dxa"/>
              <w:start w:w="100" w:type="dxa"/>
              <w:bottom w:w="100" w:type="dxa"/>
              <w:end w:w="100" w:type="dxa"/>
            </w:tcMar>
            <w:vAlign w:val="center"/>
          </w:tcPr>
          <w:p>
            <w:pPr>
              <w:spacing w:after="0"/>
            </w:pPr>
            <w:r>
              <w:rPr>
                <w:b/>
                <w:color w:val="FFFFFF"/>
                <w:sz w:val="16"/>
              </w:rPr>
              <w:t>Risk</w:t>
            </w:r>
          </w:p>
        </w:tc>
        <w:tc>
          <w:tcPr>
            <w:tcW w:type="dxa" w:w="3389"/>
            <w:shd w:fill="19243A"/>
            <w:tcMar>
              <w:top w:w="100" w:type="dxa"/>
              <w:start w:w="100" w:type="dxa"/>
              <w:bottom w:w="100" w:type="dxa"/>
              <w:end w:w="100" w:type="dxa"/>
            </w:tcMar>
            <w:vAlign w:val="center"/>
          </w:tcPr>
          <w:p>
            <w:pPr>
              <w:spacing w:after="0"/>
            </w:pPr>
            <w:r>
              <w:rPr>
                <w:b/>
                <w:color w:val="FFFFFF"/>
                <w:sz w:val="16"/>
              </w:rPr>
              <w:t>Potential impact</w:t>
            </w:r>
          </w:p>
        </w:tc>
        <w:tc>
          <w:tcPr>
            <w:tcW w:type="dxa" w:w="3389"/>
            <w:shd w:fill="19243A"/>
            <w:tcMar>
              <w:top w:w="100" w:type="dxa"/>
              <w:start w:w="100" w:type="dxa"/>
              <w:bottom w:w="100" w:type="dxa"/>
              <w:end w:w="100" w:type="dxa"/>
            </w:tcMar>
            <w:vAlign w:val="center"/>
          </w:tcPr>
          <w:p>
            <w:pPr>
              <w:spacing w:after="0"/>
            </w:pPr>
            <w:r>
              <w:rPr>
                <w:b/>
                <w:color w:val="FFFFFF"/>
                <w:sz w:val="16"/>
              </w:rPr>
              <w:t>Mitigation / discovery action</w:t>
            </w:r>
          </w:p>
        </w:tc>
      </w:tr>
      <w:tr>
        <w:tc>
          <w:tcPr>
            <w:tcW w:type="dxa" w:w="223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Inconsistent reference data</w:t>
            </w:r>
          </w:p>
        </w:tc>
        <w:tc>
          <w:tcPr>
            <w:tcW w:type="dxa" w:w="259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False unmatched or incorrect matches</w:t>
            </w:r>
          </w:p>
        </w:tc>
        <w:tc>
          <w:tcPr>
            <w:tcW w:type="dxa" w:w="4824"/>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Profile source records; agree deterministic match keys; maintain exception reasons.</w:t>
            </w:r>
          </w:p>
        </w:tc>
      </w:tr>
      <w:tr>
        <w:tc>
          <w:tcPr>
            <w:tcW w:type="dxa" w:w="223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Duplicate or delayed gateway events</w:t>
            </w:r>
          </w:p>
        </w:tc>
        <w:tc>
          <w:tcPr>
            <w:tcW w:type="dxa" w:w="259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Incorrect status or repeated work</w:t>
            </w:r>
          </w:p>
        </w:tc>
        <w:tc>
          <w:tcPr>
            <w:tcW w:type="dxa" w:w="4824"/>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Define idempotency key, event ordering, retry policy and duplicate handling.</w:t>
            </w:r>
          </w:p>
        </w:tc>
      </w:tr>
      <w:tr>
        <w:tc>
          <w:tcPr>
            <w:tcW w:type="dxa" w:w="223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Unclear resolution authority</w:t>
            </w:r>
          </w:p>
        </w:tc>
        <w:tc>
          <w:tcPr>
            <w:tcW w:type="dxa" w:w="259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Unauthorised changes or audit findings</w:t>
            </w:r>
          </w:p>
        </w:tc>
        <w:tc>
          <w:tcPr>
            <w:tcW w:type="dxa" w:w="4824"/>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Approve role matrix and escalation/approval rules before build.</w:t>
            </w:r>
          </w:p>
        </w:tc>
      </w:tr>
      <w:tr>
        <w:tc>
          <w:tcPr>
            <w:tcW w:type="dxa" w:w="223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Unclear baseline metrics</w:t>
            </w:r>
          </w:p>
        </w:tc>
        <w:tc>
          <w:tcPr>
            <w:tcW w:type="dxa" w:w="259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Targets cannot be assessed fairly</w:t>
            </w:r>
          </w:p>
        </w:tc>
        <w:tc>
          <w:tcPr>
            <w:tcW w:type="dxa" w:w="4824"/>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Capture current volumes, touch time, mismatch rates and reporting delays before pilot.</w:t>
            </w:r>
          </w:p>
        </w:tc>
      </w:tr>
    </w:tbl>
    <w:p>
      <w:pPr>
        <w:spacing w:after="0"/>
      </w:pPr>
    </w:p>
    <w:p>
      <w:pPr>
        <w:pStyle w:val="Heading1"/>
      </w:pPr>
      <w:r>
        <w:t>9. Acceptance and sign-off approach</w:t>
      </w:r>
    </w:p>
    <w:p>
      <w:r>
        <w:t>Business sign-off would confirm the problem statement, scope, role model, priority requirements, baseline measurement plan and open policy decisions. This sample is not a signed or approved client BRD.</w:t>
      </w:r>
    </w:p>
    <w:tbl>
      <w:tblPr>
        <w:tblW w:type="auto" w:w="0"/>
        <w:jc w:val="center"/>
        <w:tblLayout w:type="fixed"/>
        <w:tblLook w:firstColumn="1" w:firstRow="1" w:lastColumn="0" w:lastRow="0" w:noHBand="0" w:noVBand="1" w:val="04A0"/>
      </w:tblPr>
      <w:tblGrid>
        <w:gridCol w:w="3024"/>
        <w:gridCol w:w="4032"/>
        <w:gridCol w:w="2592"/>
      </w:tblGrid>
      <w:tr>
        <w:trPr>
          <w:tblHeader w:val="true"/>
        </w:trPr>
        <w:tc>
          <w:tcPr>
            <w:tcW w:type="dxa" w:w="3389"/>
            <w:shd w:fill="19243A"/>
            <w:tcMar>
              <w:top w:w="100" w:type="dxa"/>
              <w:start w:w="100" w:type="dxa"/>
              <w:bottom w:w="100" w:type="dxa"/>
              <w:end w:w="100" w:type="dxa"/>
            </w:tcMar>
            <w:vAlign w:val="center"/>
          </w:tcPr>
          <w:p>
            <w:pPr>
              <w:spacing w:after="0"/>
            </w:pPr>
            <w:r>
              <w:rPr>
                <w:b/>
                <w:color w:val="FFFFFF"/>
                <w:sz w:val="16"/>
              </w:rPr>
              <w:t>Role</w:t>
            </w:r>
          </w:p>
        </w:tc>
        <w:tc>
          <w:tcPr>
            <w:tcW w:type="dxa" w:w="3389"/>
            <w:shd w:fill="19243A"/>
            <w:tcMar>
              <w:top w:w="100" w:type="dxa"/>
              <w:start w:w="100" w:type="dxa"/>
              <w:bottom w:w="100" w:type="dxa"/>
              <w:end w:w="100" w:type="dxa"/>
            </w:tcMar>
            <w:vAlign w:val="center"/>
          </w:tcPr>
          <w:p>
            <w:pPr>
              <w:spacing w:after="0"/>
            </w:pPr>
            <w:r>
              <w:rPr>
                <w:b/>
                <w:color w:val="FFFFFF"/>
                <w:sz w:val="16"/>
              </w:rPr>
              <w:t>Name / date</w:t>
            </w:r>
          </w:p>
        </w:tc>
        <w:tc>
          <w:tcPr>
            <w:tcW w:type="dxa" w:w="3389"/>
            <w:shd w:fill="19243A"/>
            <w:tcMar>
              <w:top w:w="100" w:type="dxa"/>
              <w:start w:w="100" w:type="dxa"/>
              <w:bottom w:w="100" w:type="dxa"/>
              <w:end w:w="100" w:type="dxa"/>
            </w:tcMar>
            <w:vAlign w:val="center"/>
          </w:tcPr>
          <w:p>
            <w:pPr>
              <w:spacing w:after="0"/>
            </w:pPr>
            <w:r>
              <w:rPr>
                <w:b/>
                <w:color w:val="FFFFFF"/>
                <w:sz w:val="16"/>
              </w:rPr>
              <w:t>Status</w:t>
            </w:r>
          </w:p>
        </w:tc>
      </w:tr>
      <w:tr>
        <w:tc>
          <w:tcPr>
            <w:tcW w:type="dxa" w:w="3024"/>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Business Sponsor</w:t>
            </w:r>
          </w:p>
        </w:tc>
        <w:tc>
          <w:tcPr>
            <w:tcW w:type="dxa" w:w="403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To be completed</w:t>
            </w:r>
          </w:p>
        </w:tc>
        <w:tc>
          <w:tcPr>
            <w:tcW w:type="dxa" w:w="259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Pending</w:t>
            </w:r>
          </w:p>
        </w:tc>
      </w:tr>
      <w:tr>
        <w:tc>
          <w:tcPr>
            <w:tcW w:type="dxa" w:w="3024"/>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Operations Lead</w:t>
            </w:r>
          </w:p>
        </w:tc>
        <w:tc>
          <w:tcPr>
            <w:tcW w:type="dxa" w:w="403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To be completed</w:t>
            </w:r>
          </w:p>
        </w:tc>
        <w:tc>
          <w:tcPr>
            <w:tcW w:type="dxa" w:w="259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Pending</w:t>
            </w:r>
          </w:p>
        </w:tc>
      </w:tr>
      <w:tr>
        <w:tc>
          <w:tcPr>
            <w:tcW w:type="dxa" w:w="3024"/>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Product Owner</w:t>
            </w:r>
          </w:p>
        </w:tc>
        <w:tc>
          <w:tcPr>
            <w:tcW w:type="dxa" w:w="403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To be completed</w:t>
            </w:r>
          </w:p>
        </w:tc>
        <w:tc>
          <w:tcPr>
            <w:tcW w:type="dxa" w:w="2592"/>
            <w:vAlign w:val="top"/>
            <w:tcMar>
              <w:top w:w="80" w:type="dxa"/>
              <w:start w:w="100" w:type="dxa"/>
              <w:bottom w:w="80" w:type="dxa"/>
              <w:end w:w="100" w:type="dxa"/>
            </w:tcMar>
            <w:tcBorders>
              <w:bottom w:val="single" w:sz="3" w:color="DCE3EC"/>
            </w:tcBorders>
          </w:tcPr>
          <w:p>
            <w:pPr>
              <w:spacing w:after="0" w:line="240" w:lineRule="auto"/>
            </w:pPr>
            <w:r>
              <w:rPr>
                <w:rFonts w:ascii="Aptos" w:hAnsi="Aptos"/>
                <w:sz w:val="16"/>
              </w:rPr>
              <w:t>Pending</w:t>
            </w:r>
          </w:p>
        </w:tc>
      </w:tr>
      <w:tr>
        <w:tc>
          <w:tcPr>
            <w:tcW w:type="dxa" w:w="3024"/>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Security / Platform</w:t>
            </w:r>
          </w:p>
        </w:tc>
        <w:tc>
          <w:tcPr>
            <w:tcW w:type="dxa" w:w="403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To be completed</w:t>
            </w:r>
          </w:p>
        </w:tc>
        <w:tc>
          <w:tcPr>
            <w:tcW w:type="dxa" w:w="2592"/>
            <w:vAlign w:val="top"/>
            <w:shd w:fill="F5F7FA"/>
            <w:tcMar>
              <w:top w:w="80" w:type="dxa"/>
              <w:start w:w="100" w:type="dxa"/>
              <w:bottom w:w="80" w:type="dxa"/>
              <w:end w:w="100" w:type="dxa"/>
            </w:tcMar>
            <w:tcBorders>
              <w:bottom w:val="single" w:sz="3" w:color="DCE3EC"/>
            </w:tcBorders>
          </w:tcPr>
          <w:p>
            <w:pPr>
              <w:spacing w:after="0" w:line="240" w:lineRule="auto"/>
            </w:pPr>
            <w:r>
              <w:rPr>
                <w:rFonts w:ascii="Aptos" w:hAnsi="Aptos"/>
                <w:sz w:val="16"/>
              </w:rPr>
              <w:t>Pending</w:t>
            </w:r>
          </w:p>
        </w:tc>
      </w:tr>
    </w:tbl>
    <w:p>
      <w:pPr>
        <w:spacing w:after="0"/>
      </w:pP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97587"/>
        <w:sz w:val="14"/>
      </w:rPr>
      <w:t>FICTIONAL PORTFOLIO EXAMPLE  •  NOT CLIENT WORK  •  CONTROLLED SAMPLE</w:t>
    </w:r>
  </w:p>
  <w:p>
    <w:pPr>
      <w:jc w:val="right"/>
    </w:pPr>
    <w:r>
      <w:rPr>
        <w:color w:val="697587"/>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697587"/>
        <w:sz w:val="14"/>
      </w:rPr>
      <w:t>GAUTAM THE ANALYST  /  SAMPLE BA ARTIFACTS                                      BRD-PT-001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924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9243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E97833"/>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924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9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