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97833"/>
          <w:sz w:val="16"/>
        </w:rPr>
        <w:t>BUSINESS ANALYSIS PORTFOLIO  /  QA-PT-001</w:t>
      </w:r>
    </w:p>
    <w:p>
      <w:pPr>
        <w:pStyle w:val="Title"/>
      </w:pPr>
      <w:r>
        <w:t>Traceability, Test Cases &amp; UAT Plan</w:t>
      </w:r>
    </w:p>
    <w:p>
      <w:pPr>
        <w:spacing w:after="200"/>
      </w:pPr>
      <w:r>
        <w:rPr>
          <w:color w:val="697587"/>
          <w:sz w:val="24"/>
        </w:rPr>
        <w:t>PayTrack | Connecting business requirements to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E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9B4E1B"/>
                <w:sz w:val="16"/>
              </w:rPr>
              <w:t>SAMPLE ONLY — FICTIONAL PORTFOLIO CASE STUDY. All names, records, targets, dates and amounts are illustrative, not evidence of actual client work.</w:t>
            </w:r>
          </w:p>
        </w:tc>
      </w:tr>
    </w:tbl>
    <w:p>
      <w:r>
        <w:t>Document version 1.0  |  Scenario: PayTrack payment reconciliation portal  |  Owner: Sample Business Analyst</w:t>
      </w:r>
    </w:p>
    <w:p>
      <w:pPr>
        <w:pStyle w:val="Heading1"/>
      </w:pPr>
      <w:r>
        <w:t>1. Test approach</w:t>
      </w:r>
    </w:p>
    <w:p>
      <w:r>
        <w:t>Testing is risk-based and traceable from business requirements (BR), through functional requirements (FR), stories, test cases and UAT evidence. Test records below are examples for a fictional portal. Test execution status remains “Not Run” because these are template cases, not executed results.</w:t>
      </w:r>
    </w:p>
    <w:p>
      <w:pPr>
        <w:pStyle w:val="Heading1"/>
      </w:pPr>
      <w:r>
        <w:t>2. Traceability matrix (selected requirements)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088"/>
        <w:gridCol w:w="1656"/>
        <w:gridCol w:w="1512"/>
        <w:gridCol w:w="1728"/>
        <w:gridCol w:w="936"/>
      </w:tblGrid>
      <w:tr>
        <w:trPr>
          <w:tblHeader w:val="true"/>
        </w:trPr>
        <w:tc>
          <w:tcPr>
            <w:tcW w:type="dxa" w:w="1694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BR ID</w:t>
            </w:r>
          </w:p>
        </w:tc>
        <w:tc>
          <w:tcPr>
            <w:tcW w:type="dxa" w:w="1694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Business requirement</w:t>
            </w:r>
          </w:p>
        </w:tc>
        <w:tc>
          <w:tcPr>
            <w:tcW w:type="dxa" w:w="1694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FR IDs</w:t>
            </w:r>
          </w:p>
        </w:tc>
        <w:tc>
          <w:tcPr>
            <w:tcW w:type="dxa" w:w="1694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Story IDs</w:t>
            </w:r>
          </w:p>
        </w:tc>
        <w:tc>
          <w:tcPr>
            <w:tcW w:type="dxa" w:w="1694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Test IDs</w:t>
            </w:r>
          </w:p>
        </w:tc>
        <w:tc>
          <w:tcPr>
            <w:tcW w:type="dxa" w:w="1694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BR-01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Single operational view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FR-002, FR-004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US-01, US-03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TC-001, TC-002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BR-02</w:t>
            </w:r>
          </w:p>
        </w:tc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Identify mismatches and reasons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FR-005, FR-006, FR-007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US-03, US-04</w:t>
            </w:r>
          </w:p>
        </w:tc>
        <w:tc>
          <w:tcPr>
            <w:tcW w:type="dxa" w:w="17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TC-003, TC-004, TC-005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BR-03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Assign/comment/resolve cases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FR-008, FR-009, FR-010, FR-011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US-05, US-06, US-07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TC-006, TC-007, TC-008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BR-04</w:t>
            </w:r>
          </w:p>
        </w:tc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Auditable material actions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FR-012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US-05, US-06, US-07</w:t>
            </w:r>
          </w:p>
        </w:tc>
        <w:tc>
          <w:tcPr>
            <w:tcW w:type="dxa" w:w="17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TC-006, TC-008, TC-009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BR-05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Role-based permissions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FR-001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US-08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TC-010, TC-011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BR-06</w:t>
            </w:r>
          </w:p>
        </w:tc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Search and filtering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FR-003, FR-013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US-02, US-09</w:t>
            </w:r>
          </w:p>
        </w:tc>
        <w:tc>
          <w:tcPr>
            <w:tcW w:type="dxa" w:w="17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TC-012, TC-013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BR-07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Permitted export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FR-014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Future backlog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TC-014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Could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BR-08</w:t>
            </w:r>
          </w:p>
        </w:tc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Job status visibility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FR-015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US-10</w:t>
            </w:r>
          </w:p>
        </w:tc>
        <w:tc>
          <w:tcPr>
            <w:tcW w:type="dxa" w:w="17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TC-015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</w:t>
            </w:r>
          </w:p>
        </w:tc>
      </w:tr>
    </w:tbl>
    <w:p>
      <w:pPr>
        <w:spacing w:after="0"/>
      </w:pPr>
    </w:p>
    <w:p>
      <w:pPr>
        <w:pStyle w:val="Heading1"/>
      </w:pPr>
      <w:r>
        <w:t>3. Test case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440"/>
        <w:gridCol w:w="1800"/>
        <w:gridCol w:w="1584"/>
        <w:gridCol w:w="2520"/>
        <w:gridCol w:w="1080"/>
        <w:gridCol w:w="936"/>
      </w:tblGrid>
      <w:tr>
        <w:trPr>
          <w:tblHeader w:val="true"/>
        </w:trPr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Precondition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Steps (summary)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Trace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TC-001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Overview metrics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Valid authorised user and sample dataset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Open overview for date window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Counts and trend reflect the selected time window; source/job status visible.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BR-01 / FR-002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TC-002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Transaction details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Transaction has internal and gateway fields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Open transaction detail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Required source values, statuses, timestamps and reconciliation status display.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BR-01 / FR-004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TC-003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Exact match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Reference, amount and currency align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Run reconciliation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Record marked matched; no exception created.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BR-02 / FR-005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TC-004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Amount mismatch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Same agreed reference, different amount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Run reconciliation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Record unmatched; amount-mismatch reason and compared values visible.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BR-02 / FR-006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TC-005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Duplicate event replay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Previously processed event ID supplied again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Replay event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Existing transaction remains unique; duplicate event handled according to policy.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BR-02 / FR-007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TC-006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Assign case and audit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Analyst has assignment permission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Assign case to queue/user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Owner updates; audit event records actor, timestamp and change.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BR-03 / BR-04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TC-007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Resolve missing reason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Case open; required resolution reason omitted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Submit resolution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Submission blocked; validation is visible; case status unchanged.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BR-03 / FR-010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TC-008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Approved resolution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Authorised user; valid resolution data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Submit valid permitted resolution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Status follows configured path; resolution details and audit event persist.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BR-03 / BR-04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TC-009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Reopen case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Resolved case; user has reopen permission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Reopen with no reason, then with reason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First attempt rejected; second succeeds with audit event if policy permits.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BR-04 / FR-012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TC-010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Read-only access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User has read-only role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Attempt assignment/resolution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Server denies mutation; record remains unchanged.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BR-05 / FR-001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TC-011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Restricted field masking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Field is configured as restricted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Open record and export view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Restricted field is masked/omitted consistently based on policy.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BR-05 / FR-001, FR-014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TC-012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Search by reference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Known permitted record exists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Search merchant or gateway reference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Matching record(s) return; invalid/no-result state is handled safely.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BR-06 / FR-003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TC-013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Filter queue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Cases exist across statuses/reasons/owners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Apply multiple filters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Rows and counts match all applied filters; clear filters resets view.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BR-06 / FR-013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TC-014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Export filter and permissions</w:t>
            </w:r>
          </w:p>
        </w:tc>
        <w:tc>
          <w:tcPr>
            <w:tcW w:type="dxa" w:w="180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Authorised exporter; filtered result set</w:t>
            </w:r>
          </w:p>
        </w:tc>
        <w:tc>
          <w:tcPr>
            <w:tcW w:type="dxa" w:w="15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Export rows</w:t>
            </w:r>
          </w:p>
        </w:tc>
        <w:tc>
          <w:tcPr>
            <w:tcW w:type="dxa" w:w="252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Only permitted filtered fields/records included; error displayed if export fails.</w:t>
            </w:r>
          </w:p>
        </w:tc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BR-07 / FR-014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TC-015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Ingestion failure visibility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One source job has failed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Open operations status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Failure status, last successful run and safe error summary are displayed.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BR-08 / FR-015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Not Run</w:t>
            </w:r>
          </w:p>
        </w:tc>
      </w:tr>
    </w:tbl>
    <w:p>
      <w:pPr>
        <w:spacing w:after="0"/>
      </w:pPr>
    </w:p>
    <w:p>
      <w:pPr>
        <w:pStyle w:val="Heading1"/>
      </w:pPr>
      <w:r>
        <w:t>4. UAT plan</w:t>
      </w:r>
    </w:p>
    <w:p>
      <w:pPr>
        <w:pStyle w:val="Heading2"/>
      </w:pPr>
      <w:r>
        <w:t>Purpose and participants</w:t>
      </w:r>
    </w:p>
    <w:p>
      <w:r>
        <w:t>Confirm that operations users can locate a payment, interpret a mismatch, assign and resolve a case according to approved policy, and trace material actions. Suggested participants: one Operations Analyst, one Operations Lead, Product Owner and QA facilitator. Actual names and schedule remain to be agreed.</w:t>
      </w:r>
    </w:p>
    <w:p>
      <w:pPr>
        <w:pStyle w:val="Heading2"/>
      </w:pPr>
      <w:r>
        <w:t>Entry criteria</w:t>
      </w:r>
    </w:p>
    <w:p>
      <w:pPr>
        <w:pStyle w:val="ListBullet"/>
        <w:spacing w:after="40"/>
      </w:pPr>
      <w:r>
        <w:t>Business requirements and role/action matrix are reviewed.</w:t>
      </w:r>
    </w:p>
    <w:p>
      <w:pPr>
        <w:pStyle w:val="ListBullet"/>
        <w:spacing w:after="40"/>
      </w:pPr>
      <w:r>
        <w:t>UAT environment is available with synthetic, resettable transactions and gateway events.</w:t>
      </w:r>
    </w:p>
    <w:p>
      <w:pPr>
        <w:pStyle w:val="ListBullet"/>
        <w:spacing w:after="40"/>
      </w:pPr>
      <w:r>
        <w:t>Critical integrations or representative mocks are stable enough to run the scenarios.</w:t>
      </w:r>
    </w:p>
    <w:p>
      <w:pPr>
        <w:pStyle w:val="ListBullet"/>
        <w:spacing w:after="40"/>
      </w:pPr>
      <w:r>
        <w:t>Test accounts and expected result data are prepared.</w:t>
      </w:r>
    </w:p>
    <w:p>
      <w:pPr>
        <w:pStyle w:val="Heading2"/>
      </w:pPr>
      <w:r>
        <w:t>Exit criteria</w:t>
      </w:r>
    </w:p>
    <w:p>
      <w:pPr>
        <w:pStyle w:val="ListBullet"/>
        <w:spacing w:after="40"/>
      </w:pPr>
      <w:r>
        <w:t>All Must-priority UAT scenarios executed with actual evidence attached.</w:t>
      </w:r>
    </w:p>
    <w:p>
      <w:pPr>
        <w:pStyle w:val="ListBullet"/>
        <w:spacing w:after="40"/>
      </w:pPr>
      <w:r>
        <w:t>No open critical defects; high-severity defects have an agreed disposition and owner.</w:t>
      </w:r>
    </w:p>
    <w:p>
      <w:pPr>
        <w:pStyle w:val="ListBullet"/>
        <w:spacing w:after="40"/>
      </w:pPr>
      <w:r>
        <w:t>Role controls, required resolution validation and audit history pass.</w:t>
      </w:r>
    </w:p>
    <w:p>
      <w:pPr>
        <w:pStyle w:val="ListBullet"/>
        <w:spacing w:after="40"/>
      </w:pPr>
      <w:r>
        <w:t>Business owner records accept/reject decision and known limitations.</w:t>
      </w:r>
    </w:p>
    <w:p>
      <w:pPr>
        <w:pStyle w:val="Heading2"/>
      </w:pPr>
      <w:r>
        <w:t>UAT execution log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"/>
        <w:gridCol w:w="1224"/>
        <w:gridCol w:w="2376"/>
        <w:gridCol w:w="1512"/>
        <w:gridCol w:w="1008"/>
        <w:gridCol w:w="1152"/>
      </w:tblGrid>
      <w:tr>
        <w:trPr>
          <w:tblHeader w:val="true"/>
        </w:trPr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Tester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Executed on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Actual result / evidence link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Pass / Fail / Blocked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Defect ID</w:t>
            </w:r>
          </w:p>
        </w:tc>
        <w:tc>
          <w:tcPr>
            <w:tcW w:type="dxa" w:w="1452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TC-001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To complete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YYYY-MM-DD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Link or evidence reference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Not Run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TC-004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To complete</w:t>
            </w:r>
          </w:p>
        </w:tc>
        <w:tc>
          <w:tcPr>
            <w:tcW w:type="dxa" w:w="12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YYYY-MM-DD</w:t>
            </w:r>
          </w:p>
        </w:tc>
        <w:tc>
          <w:tcPr>
            <w:tcW w:type="dxa" w:w="237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Link or evidence reference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Not Run</w:t>
            </w:r>
          </w:p>
        </w:tc>
        <w:tc>
          <w:tcPr>
            <w:tcW w:type="dxa" w:w="10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1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TC-008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To complete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YYYY-MM-DD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Link or evidence reference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Not Run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TC-010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To complete</w:t>
            </w:r>
          </w:p>
        </w:tc>
        <w:tc>
          <w:tcPr>
            <w:tcW w:type="dxa" w:w="12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YYYY-MM-DD</w:t>
            </w:r>
          </w:p>
        </w:tc>
        <w:tc>
          <w:tcPr>
            <w:tcW w:type="dxa" w:w="237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Link or evidence reference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Not Run</w:t>
            </w:r>
          </w:p>
        </w:tc>
        <w:tc>
          <w:tcPr>
            <w:tcW w:type="dxa" w:w="10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1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Defect severity guidance (sample)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888"/>
        <w:gridCol w:w="4248"/>
      </w:tblGrid>
      <w:tr>
        <w:trPr>
          <w:tblHeader w:val="true"/>
        </w:trPr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Critical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 integrity, access-control or financial correctness failure with no safe workaround.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Unauthorised user can resolve a case; records are silently mis-matched.</w:t>
            </w:r>
          </w:p>
        </w:tc>
      </w:tr>
      <w:tr>
        <w:tc>
          <w:tcPr>
            <w:tcW w:type="dxa" w:w="12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38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Core Must workflow unavailable or audit evidence missing, workaround is limited.</w:t>
            </w:r>
          </w:p>
        </w:tc>
        <w:tc>
          <w:tcPr>
            <w:tcW w:type="dxa" w:w="424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Valid exception cannot be resolved; resolution audit event not written.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Functionality impaired but alternative path exists.</w:t>
            </w:r>
          </w:p>
        </w:tc>
        <w:tc>
          <w:tcPr>
            <w:tcW w:type="dxa" w:w="42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specific filter fails while search remains available.</w:t>
            </w:r>
          </w:p>
        </w:tc>
      </w:tr>
      <w:tr>
        <w:tc>
          <w:tcPr>
            <w:tcW w:type="dxa" w:w="12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Low</w:t>
            </w:r>
          </w:p>
        </w:tc>
        <w:tc>
          <w:tcPr>
            <w:tcW w:type="dxa" w:w="38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Cosmetic or minor usability issue without material workflow impact.</w:t>
            </w:r>
          </w:p>
        </w:tc>
        <w:tc>
          <w:tcPr>
            <w:tcW w:type="dxa" w:w="424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Misaligned secondary label.</w:t>
            </w:r>
          </w:p>
        </w:tc>
      </w:tr>
    </w:tbl>
    <w:p>
      <w:pPr>
        <w:spacing w:after="0"/>
      </w:pPr>
    </w:p>
    <w:p>
      <w:pPr>
        <w:pStyle w:val="Heading1"/>
      </w:pPr>
      <w:r>
        <w:t>6. Sign-off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656"/>
        <w:gridCol w:w="3456"/>
      </w:tblGrid>
      <w:tr>
        <w:trPr>
          <w:tblHeader w:val="true"/>
        </w:trPr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 owner</w:t>
            </w:r>
          </w:p>
        </w:tc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Open conditions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Operations Lead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Pending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YYYY-MM-DD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To complete</w:t>
            </w:r>
          </w:p>
        </w:tc>
      </w:tr>
      <w:tr>
        <w:tc>
          <w:tcPr>
            <w:tcW w:type="dxa" w:w="244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Product Owner</w:t>
            </w:r>
          </w:p>
        </w:tc>
        <w:tc>
          <w:tcPr>
            <w:tcW w:type="dxa" w:w="187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Pending</w:t>
            </w:r>
          </w:p>
        </w:tc>
        <w:tc>
          <w:tcPr>
            <w:tcW w:type="dxa" w:w="16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YYYY-MM-DD</w:t>
            </w:r>
          </w:p>
        </w:tc>
        <w:tc>
          <w:tcPr>
            <w:tcW w:type="dxa" w:w="345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To complete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QA Lead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Pending</w:t>
            </w:r>
          </w:p>
        </w:tc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YYYY-MM-DD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To complete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7"/>
        <w:sz w:val="14"/>
      </w:rPr>
      <w:t>FICTIONAL PORTFOLIO EXAMPLE  •  NOT CLIENT WORK  •  CONTROLLED SAMPLE</w:t>
    </w:r>
  </w:p>
  <w:p>
    <w:pPr>
      <w:jc w:val="right"/>
    </w:pPr>
    <w:r>
      <w:rPr>
        <w:color w:val="697587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697587"/>
        <w:sz w:val="14"/>
      </w:rPr>
      <w:t>GAUTAM THE ANALYST  /  SAMPLE BA ARTIFACTS                                      QA-PT-001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9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97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24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