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97833"/>
          <w:sz w:val="16"/>
        </w:rPr>
        <w:t>BUSINESS ANALYSIS PORTFOLIO  /  MOM-PT-001</w:t>
      </w:r>
    </w:p>
    <w:p>
      <w:pPr>
        <w:pStyle w:val="Title"/>
      </w:pPr>
      <w:r>
        <w:t>Discovery Workshop MoM &amp; Decision Log</w:t>
      </w:r>
    </w:p>
    <w:p>
      <w:pPr>
        <w:spacing w:after="200"/>
      </w:pPr>
      <w:r>
        <w:rPr>
          <w:color w:val="697587"/>
          <w:sz w:val="24"/>
        </w:rPr>
        <w:t>PayTrack | Sample stakeholder workshop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E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color w:val="9B4E1B"/>
                <w:sz w:val="16"/>
              </w:rPr>
              <w:t>SAMPLE ONLY — FICTIONAL PORTFOLIO CASE STUDY. All names, records, targets, dates and amounts are illustrative, not evidence of actual client work.</w:t>
            </w:r>
          </w:p>
        </w:tc>
      </w:tr>
    </w:tbl>
    <w:p>
      <w:r>
        <w:t>Document version 1.0  |  Scenario: PayTrack payment reconciliation portal  |  Owner: Sample Business Analyst</w:t>
      </w:r>
    </w:p>
    <w:p>
      <w:pPr>
        <w:pStyle w:val="Heading1"/>
      </w:pPr>
      <w:r>
        <w:t>1. Meeting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rPr>
          <w:tblHeader w:val="true"/>
        </w:trPr>
        <w:tc>
          <w:tcPr>
            <w:tcW w:type="dxa" w:w="508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Sample value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Meeting purpose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Discover current payment reconciliation workflow and agree the problem boundary.</w:t>
            </w:r>
          </w:p>
        </w:tc>
      </w:tr>
      <w:tr>
        <w:tc>
          <w:tcPr>
            <w:tcW w:type="dxa" w:w="259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Date / time</w:t>
            </w:r>
          </w:p>
        </w:tc>
        <w:tc>
          <w:tcPr>
            <w:tcW w:type="dxa" w:w="69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15 October 2026 · 10:00–11:00 (illustrative)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Format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Remote workshop (illustrative)</w:t>
            </w:r>
          </w:p>
        </w:tc>
      </w:tr>
      <w:tr>
        <w:tc>
          <w:tcPr>
            <w:tcW w:type="dxa" w:w="259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Facilitator / scribe</w:t>
            </w:r>
          </w:p>
        </w:tc>
        <w:tc>
          <w:tcPr>
            <w:tcW w:type="dxa" w:w="69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Business Analyst (role-based placeholder)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Participants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Business Sponsor, Operations Lead, Operations Analyst, Product Owner, Engineering representative, QA representative</w:t>
            </w:r>
          </w:p>
        </w:tc>
      </w:tr>
      <w:tr>
        <w:tc>
          <w:tcPr>
            <w:tcW w:type="dxa" w:w="259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type="dxa" w:w="69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Draft sample minutes — not an actual meeting record</w:t>
            </w:r>
          </w:p>
        </w:tc>
      </w:tr>
    </w:tbl>
    <w:p>
      <w:pPr>
        <w:spacing w:after="0"/>
      </w:pPr>
    </w:p>
    <w:p>
      <w:pPr>
        <w:pStyle w:val="Heading1"/>
      </w:pPr>
      <w:r>
        <w:t>2. Agenda</w:t>
      </w:r>
    </w:p>
    <w:p>
      <w:pPr>
        <w:pStyle w:val="ListBullet"/>
        <w:spacing w:after="40"/>
      </w:pPr>
      <w:r>
        <w:t>Understand the current reconciliation and exception-handling workflow.</w:t>
      </w:r>
    </w:p>
    <w:p>
      <w:pPr>
        <w:pStyle w:val="ListBullet"/>
        <w:spacing w:after="40"/>
      </w:pPr>
      <w:r>
        <w:t>Identify users, decisions, pain points and hand-offs.</w:t>
      </w:r>
    </w:p>
    <w:p>
      <w:pPr>
        <w:pStyle w:val="ListBullet"/>
        <w:spacing w:after="40"/>
      </w:pPr>
      <w:r>
        <w:t>Agree high-level in-scope capabilities and out-of-scope actions.</w:t>
      </w:r>
    </w:p>
    <w:p>
      <w:pPr>
        <w:pStyle w:val="ListBullet"/>
        <w:spacing w:after="40"/>
      </w:pPr>
      <w:r>
        <w:t>Surface data, control, audit and integration questions.</w:t>
      </w:r>
    </w:p>
    <w:p>
      <w:pPr>
        <w:pStyle w:val="ListBullet"/>
        <w:spacing w:after="40"/>
      </w:pPr>
      <w:r>
        <w:t>Confirm actions, owners and follow-up decisions.</w:t>
      </w:r>
    </w:p>
    <w:p>
      <w:pPr>
        <w:pStyle w:val="Heading1"/>
      </w:pPr>
      <w:r>
        <w:t>3. Discussion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416"/>
      </w:tblGrid>
      <w:tr>
        <w:trPr>
          <w:tblHeader w:val="true"/>
        </w:trPr>
        <w:tc>
          <w:tcPr>
            <w:tcW w:type="dxa" w:w="508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508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Summary (illustrative)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Current workflow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Internal transaction data and gateway results are compared; unmatched records need an investigation path and clear owner.</w:t>
            </w:r>
          </w:p>
        </w:tc>
      </w:tr>
      <w:tr>
        <w:tc>
          <w:tcPr>
            <w:tcW w:type="dxa" w:w="208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Exception handling</w:t>
            </w:r>
          </w:p>
        </w:tc>
        <w:tc>
          <w:tcPr>
            <w:tcW w:type="dxa" w:w="741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The sample portal should make reason, owner, status, evidence note and audit timeline visible.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Matching rules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The group has not approved an exact match key or tolerance. Stable reference, amount and currency are candidates for discovery.</w:t>
            </w:r>
          </w:p>
        </w:tc>
      </w:tr>
      <w:tr>
        <w:tc>
          <w:tcPr>
            <w:tcW w:type="dxa" w:w="208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Controls</w:t>
            </w:r>
          </w:p>
        </w:tc>
        <w:tc>
          <w:tcPr>
            <w:tcW w:type="dxa" w:w="741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Resolution authority, escalation thresholds, reopen rules and audit retention are open decisions.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Reporting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Operations would like status counts, queue filters and a view of source-feed / reconciliation job health.</w:t>
            </w:r>
          </w:p>
        </w:tc>
      </w:tr>
    </w:tbl>
    <w:p>
      <w:pPr>
        <w:spacing w:after="0"/>
      </w:pPr>
    </w:p>
    <w:p>
      <w:pPr>
        <w:pStyle w:val="Heading1"/>
      </w:pPr>
      <w:r>
        <w:t>4. Decisions and unresolved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104"/>
        <w:gridCol w:w="2880"/>
        <w:gridCol w:w="1512"/>
      </w:tblGrid>
      <w:tr>
        <w:trPr>
          <w:tblHeader w:val="true"/>
        </w:trPr>
        <w:tc>
          <w:tcPr>
            <w:tcW w:type="dxa" w:w="2541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541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Decision / question</w:t>
            </w:r>
          </w:p>
        </w:tc>
        <w:tc>
          <w:tcPr>
            <w:tcW w:type="dxa" w:w="2541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Disposition</w:t>
            </w:r>
          </w:p>
        </w:tc>
        <w:tc>
          <w:tcPr>
            <w:tcW w:type="dxa" w:w="2541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Owner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DEC-01</w:t>
            </w:r>
          </w:p>
        </w:tc>
        <w:tc>
          <w:tcPr>
            <w:tcW w:type="dxa" w:w="41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Use a single transaction + exception queue concept for the sample prototype.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Working assumption only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Product Owner</w:t>
            </w:r>
          </w:p>
        </w:tc>
      </w:tr>
      <w:tr>
        <w:tc>
          <w:tcPr>
            <w:tcW w:type="dxa" w:w="100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DEC-02</w:t>
            </w:r>
          </w:p>
        </w:tc>
        <w:tc>
          <w:tcPr>
            <w:tcW w:type="dxa" w:w="410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Should exact matching require reference + amount + currency?</w:t>
            </w:r>
          </w:p>
        </w:tc>
        <w:tc>
          <w:tcPr>
            <w:tcW w:type="dxa" w:w="28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 — validate with Finance/Ops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Operations Lead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DEC-03</w:t>
            </w:r>
          </w:p>
        </w:tc>
        <w:tc>
          <w:tcPr>
            <w:tcW w:type="dxa" w:w="41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Which resolution types require lead approval?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 — policy decision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Business Sponsor</w:t>
            </w:r>
          </w:p>
        </w:tc>
      </w:tr>
      <w:tr>
        <w:tc>
          <w:tcPr>
            <w:tcW w:type="dxa" w:w="100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DEC-04</w:t>
            </w:r>
          </w:p>
        </w:tc>
        <w:tc>
          <w:tcPr>
            <w:tcW w:type="dxa" w:w="410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What is the authorised retention period for audit and evidence?</w:t>
            </w:r>
          </w:p>
        </w:tc>
        <w:tc>
          <w:tcPr>
            <w:tcW w:type="dxa" w:w="28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 — security/compliance input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Security / Compliance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DEC-05</w:t>
            </w:r>
          </w:p>
        </w:tc>
        <w:tc>
          <w:tcPr>
            <w:tcW w:type="dxa" w:w="41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Which gateway source and event contract will be supported first?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 — technical discovery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Engineering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Action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2160"/>
        <w:gridCol w:w="1152"/>
        <w:gridCol w:w="1008"/>
      </w:tblGrid>
      <w:tr>
        <w:trPr>
          <w:tblHeader w:val="true"/>
        </w:trPr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ID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Owner role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Target date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ACT-01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Provide redacted examples of matched and mismatched transactions.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Operations Analyst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15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ACT-02</w:t>
            </w:r>
          </w:p>
        </w:tc>
        <w:tc>
          <w:tcPr>
            <w:tcW w:type="dxa" w:w="432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Document proposed matching fields and currency/amount precision.</w:t>
            </w:r>
          </w:p>
        </w:tc>
        <w:tc>
          <w:tcPr>
            <w:tcW w:type="dxa" w:w="216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Product Owner + Finance</w:t>
            </w:r>
          </w:p>
        </w:tc>
        <w:tc>
          <w:tcPr>
            <w:tcW w:type="dxa" w:w="115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0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ACT-03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Draft role-to-action matrix including reopen and approval rights.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Operations Lead + Security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15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ACT-04</w:t>
            </w:r>
          </w:p>
        </w:tc>
        <w:tc>
          <w:tcPr>
            <w:tcW w:type="dxa" w:w="432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Confirm gateway event schema, duplicate behavior and retry strategy.</w:t>
            </w:r>
          </w:p>
        </w:tc>
        <w:tc>
          <w:tcPr>
            <w:tcW w:type="dxa" w:w="216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Engineering</w:t>
            </w:r>
          </w:p>
        </w:tc>
        <w:tc>
          <w:tcPr>
            <w:tcW w:type="dxa" w:w="115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0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ACT-05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Agree pilot volume, baseline measures and performance assumptions.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Platform Owner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</w:tbl>
    <w:p>
      <w:pPr>
        <w:spacing w:after="0"/>
      </w:pPr>
    </w:p>
    <w:p>
      <w:pPr>
        <w:pStyle w:val="Heading1"/>
      </w:pPr>
      <w:r>
        <w:t>6. RAID log (sample)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376"/>
        <w:gridCol w:w="1656"/>
        <w:gridCol w:w="3024"/>
        <w:gridCol w:w="1296"/>
      </w:tblGrid>
      <w:tr>
        <w:trPr>
          <w:tblHeader w:val="true"/>
        </w:trPr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 / type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Mitigation / response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R-01 / Risk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Reference data may be missing or inconsistent.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False unmatched results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Profile samples and validate match keys before build.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Product + Data</w:t>
            </w:r>
          </w:p>
        </w:tc>
      </w:tr>
      <w:tr>
        <w:tc>
          <w:tcPr>
            <w:tcW w:type="dxa" w:w="12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R-02 / Risk</w:t>
            </w:r>
          </w:p>
        </w:tc>
        <w:tc>
          <w:tcPr>
            <w:tcW w:type="dxa" w:w="237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Duplicate or out-of-order gateway events.</w:t>
            </w:r>
          </w:p>
        </w:tc>
        <w:tc>
          <w:tcPr>
            <w:tcW w:type="dxa" w:w="165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Repeated or incorrect status</w:t>
            </w:r>
          </w:p>
        </w:tc>
        <w:tc>
          <w:tcPr>
            <w:tcW w:type="dxa" w:w="30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Define idempotency, ordering and replay tests.</w:t>
            </w:r>
          </w:p>
        </w:tc>
        <w:tc>
          <w:tcPr>
            <w:tcW w:type="dxa" w:w="129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Engineering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A-01 / Assumption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 stable reference exists for most eligible records.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Matching design depends on it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Verify through sample-data profiling.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Operations</w:t>
            </w:r>
          </w:p>
        </w:tc>
      </w:tr>
      <w:tr>
        <w:tc>
          <w:tcPr>
            <w:tcW w:type="dxa" w:w="12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D-01 / Dependency</w:t>
            </w:r>
          </w:p>
        </w:tc>
        <w:tc>
          <w:tcPr>
            <w:tcW w:type="dxa" w:w="237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Gateway access and event schema must be available.</w:t>
            </w:r>
          </w:p>
        </w:tc>
        <w:tc>
          <w:tcPr>
            <w:tcW w:type="dxa" w:w="165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Integration timeline risk</w:t>
            </w:r>
          </w:p>
        </w:tc>
        <w:tc>
          <w:tcPr>
            <w:tcW w:type="dxa" w:w="30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Agree contract, sandbox and test events.</w:t>
            </w:r>
          </w:p>
        </w:tc>
        <w:tc>
          <w:tcPr>
            <w:tcW w:type="dxa" w:w="129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Engineering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I-01 / Issue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Approval and retention policies have not been confirmed.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Controls cannot be finalised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Assign policy owners before sprint commitment.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Sponsor / Security</w:t>
            </w:r>
          </w:p>
        </w:tc>
      </w:tr>
    </w:tbl>
    <w:p>
      <w:pPr>
        <w:spacing w:after="0"/>
      </w:pPr>
    </w:p>
    <w:p>
      <w:pPr>
        <w:pStyle w:val="Heading1"/>
      </w:pPr>
      <w:r>
        <w:t>7. Next workshop / expected outputs</w:t>
      </w:r>
    </w:p>
    <w:p>
      <w:pPr>
        <w:pStyle w:val="ListBullet"/>
        <w:spacing w:after="40"/>
      </w:pPr>
      <w:r>
        <w:t>Walk through 5–10 redacted/synthetic examples across matched, amount mismatch, missing reference, duplicate event and delayed status.</w:t>
      </w:r>
    </w:p>
    <w:p>
      <w:pPr>
        <w:pStyle w:val="ListBullet"/>
        <w:spacing w:after="40"/>
      </w:pPr>
      <w:r>
        <w:t>Confirm status lifecycle and role-to-action matrix.</w:t>
      </w:r>
    </w:p>
    <w:p>
      <w:pPr>
        <w:pStyle w:val="ListBullet"/>
        <w:spacing w:after="40"/>
      </w:pPr>
      <w:r>
        <w:t>Approve business definitions for each target metric and capture the current baseline.</w:t>
      </w:r>
    </w:p>
    <w:p>
      <w:pPr>
        <w:pStyle w:val="ListBullet"/>
        <w:spacing w:after="40"/>
      </w:pPr>
      <w:r>
        <w:t>Update BRD/FRD, RTM and test scenarios based on decisions.</w:t>
      </w:r>
    </w:p>
    <w:p>
      <w:pPr>
        <w:pStyle w:val="Heading1"/>
      </w:pPr>
      <w:r>
        <w:t>8. Record handling note</w:t>
      </w:r>
    </w:p>
    <w:p>
      <w:r>
        <w:t>This is a fictional template intended to demonstrate BA facilitation and documentation. It is not minutes from a real stakeholder meeting. Replace participant roles, dates, actions and decisions only after an actual workshop, and avoid putting payment secrets or personal data into public portfolio artifacts.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97587"/>
        <w:sz w:val="14"/>
      </w:rPr>
      <w:t>FICTIONAL PORTFOLIO EXAMPLE  •  NOT CLIENT WORK  •  CONTROLLED SAMPLE</w:t>
    </w:r>
  </w:p>
  <w:p>
    <w:pPr>
      <w:jc w:val="right"/>
    </w:pPr>
    <w:r>
      <w:rPr>
        <w:color w:val="697587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697587"/>
        <w:sz w:val="14"/>
      </w:rPr>
      <w:t>GAUTAM THE ANALYST  /  SAMPLE BA ARTIFACTS                                      MOM-PT-001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924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97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924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924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