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97833"/>
          <w:sz w:val="16"/>
        </w:rPr>
        <w:t>BUSINESS ANALYSIS PORTFOLIO  /  FRD-PT-001</w:t>
      </w:r>
    </w:p>
    <w:p>
      <w:pPr>
        <w:pStyle w:val="Title"/>
      </w:pPr>
      <w:r>
        <w:t>Functional Requirements Document</w:t>
      </w:r>
    </w:p>
    <w:p>
      <w:pPr>
        <w:spacing w:after="200"/>
      </w:pPr>
      <w:r>
        <w:rPr>
          <w:color w:val="697587"/>
          <w:sz w:val="24"/>
        </w:rPr>
        <w:t>PayTrack | Detailed behaviors, validations and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9B4E1B"/>
                <w:sz w:val="16"/>
              </w:rPr>
              <w:t>SAMPLE ONLY — FICTIONAL PORTFOLIO CASE STUDY. All names, records, targets, dates and amounts are illustrative, not evidence of actual client work.</w:t>
            </w:r>
          </w:p>
        </w:tc>
      </w:tr>
    </w:tbl>
    <w:p>
      <w:r>
        <w:t>Document version 1.0  |  Scenario: PayTrack payment reconciliation portal  |  Owner: Sample Business Analyst</w:t>
      </w:r>
    </w:p>
    <w:p>
      <w:pPr>
        <w:pStyle w:val="Heading1"/>
      </w:pPr>
      <w:r>
        <w:t>1. Purpose and relationship to BRD</w:t>
      </w:r>
    </w:p>
    <w:p>
      <w:r>
        <w:t>This sample FRD translates BRD-PT-001 into observable system behaviors, business rules, data expectations and non-functional requirements. The functional design assumes a fictional internal operations portal and requires validation with a real product owner before implementation.</w:t>
      </w:r>
    </w:p>
    <w:p>
      <w:pPr>
        <w:pStyle w:val="Heading1"/>
      </w:pPr>
      <w:r>
        <w:t>2. System context and 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 w:val="true"/>
        </w:trPr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Actor / component</w:t>
            </w:r>
          </w:p>
        </w:tc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Primary interaction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Operations Analyst</w:t>
            </w:r>
          </w:p>
        </w:tc>
        <w:tc>
          <w:tcPr>
            <w:tcW w:type="dxa" w:w="66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Search transactions, open exceptions, add investigation notes and submit permitted resolutions.</w:t>
            </w:r>
          </w:p>
        </w:tc>
      </w:tr>
      <w:tr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Operations Lead</w:t>
            </w:r>
          </w:p>
        </w:tc>
        <w:tc>
          <w:tcPr>
            <w:tcW w:type="dxa" w:w="66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Review escalated cases, assign owners and approve controlled actions where configured.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Read-only Support</w:t>
            </w:r>
          </w:p>
        </w:tc>
        <w:tc>
          <w:tcPr>
            <w:tcW w:type="dxa" w:w="66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View permitted status and history.</w:t>
            </w:r>
          </w:p>
        </w:tc>
      </w:tr>
      <w:tr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Gateway Event Adapter</w:t>
            </w:r>
          </w:p>
        </w:tc>
        <w:tc>
          <w:tcPr>
            <w:tcW w:type="dxa" w:w="66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Receives / imports gateway events and normalizes source fields.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Reconciliation Service</w:t>
            </w:r>
          </w:p>
        </w:tc>
        <w:tc>
          <w:tcPr>
            <w:tcW w:type="dxa" w:w="66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Applies matching rules, writes reconciliation outcomes and creates exception cases.</w:t>
            </w:r>
          </w:p>
        </w:tc>
      </w:tr>
      <w:tr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Audit Service</w:t>
            </w:r>
          </w:p>
        </w:tc>
        <w:tc>
          <w:tcPr>
            <w:tcW w:type="dxa" w:w="669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Records actor, action, timestamp, target record and relevant change summary.</w:t>
            </w:r>
          </w:p>
        </w:tc>
      </w:tr>
    </w:tbl>
    <w:p>
      <w:pPr>
        <w:spacing w:after="0"/>
      </w:pPr>
    </w:p>
    <w:p>
      <w:pPr>
        <w:pStyle w:val="Heading1"/>
      </w:pPr>
      <w:r>
        <w:t>3.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4824"/>
        <w:gridCol w:w="936"/>
        <w:gridCol w:w="1368"/>
      </w:tblGrid>
      <w:tr>
        <w:trPr>
          <w:tblHeader w:val="true"/>
        </w:trPr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 / expected behavior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03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BRD trace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Access control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require an authenticated user and enforce the assigned role permissions for each protected action.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BR-05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FR-002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Overview metrics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show counts for received, matched, unmatched, pending and failed transactions for a selected time window.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BR-01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FR-003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Transaction search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support search by payment ID, merchant reference and gateway reference.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BR-06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FR-004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Transaction detail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show internal amount/currency/reference, gateway amount/currency/reference, current statuses and event timestamps when available.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BR-01, BR-02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FR-005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Matching rule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initial sample rule shall match on agreed reference plus amount and currency; exact key and tolerances require business approval.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BR-02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FR-006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Reason codes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 unmatched record shall show a reason such as missing reference, amount mismatch, currency mismatch, duplicate event or timeout.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BR-02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FR-007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Exception creation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create or update one exception case per configured payment/reason combination and prevent duplicate open cases for the same key.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BR-02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FR-008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Assignment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 authorised user shall assign a case to an eligible person or queue and the system shall record the change.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BR-03, BR-04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FR-009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Investigation notes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 authorised user shall add a note or evidence reference without overwriting source transaction values.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BR-03, BR-04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FR-010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Resolution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An authorised user shall select an allowed resolution type and provide a resolution reason before submitting.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BR-03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FR-011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Approval / escalation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Configured high-risk or policy-defined resolutions shall require lead approval before status becomes resolved.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BR-03, BR-05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FR-012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Audit trail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append an audit event for case creation, assignment, note, approval, resolution and status transition.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Must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BR-04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FR-013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Filtering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filter transaction and exception lists by status, date range, reason code and owner.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BR-06</w:t>
            </w:r>
          </w:p>
        </w:tc>
      </w:tr>
      <w:tr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FR-014</w:t>
            </w:r>
          </w:p>
        </w:tc>
        <w:tc>
          <w:tcPr>
            <w:tcW w:type="dxa" w:w="151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Export</w:t>
            </w:r>
          </w:p>
        </w:tc>
        <w:tc>
          <w:tcPr>
            <w:tcW w:type="dxa" w:w="482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export currently filtered rows only to an approved format and omit fields the user is not authorised to view.</w:t>
            </w:r>
          </w:p>
        </w:tc>
        <w:tc>
          <w:tcPr>
            <w:tcW w:type="dxa" w:w="9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Could</w:t>
            </w:r>
          </w:p>
        </w:tc>
        <w:tc>
          <w:tcPr>
            <w:tcW w:type="dxa" w:w="13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BR-07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FR-015</w:t>
            </w:r>
          </w:p>
        </w:tc>
        <w:tc>
          <w:tcPr>
            <w:tcW w:type="dxa" w:w="15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Job status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The system shall expose ingestion and reconciliation job status, last-run time and a safe failure reason to authorised operations users.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Should</w:t>
            </w:r>
          </w:p>
        </w:tc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BR-08</w:t>
            </w:r>
          </w:p>
        </w:tc>
      </w:tr>
    </w:tbl>
    <w:p>
      <w:pPr>
        <w:spacing w:after="0"/>
      </w:pPr>
    </w:p>
    <w:p>
      <w:pPr>
        <w:pStyle w:val="Heading1"/>
      </w:pPr>
      <w:r>
        <w:t>4. Business rules and validations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136"/>
      </w:tblGrid>
      <w:tr>
        <w:trPr>
          <w:tblHeader w:val="true"/>
        </w:trPr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5083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RULE-01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Amounts are compared using currency-aware decimal precision; no floating-point rounding rule is assumed.</w:t>
            </w:r>
          </w:p>
        </w:tc>
      </w:tr>
      <w:tr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RULE-02</w:t>
            </w:r>
          </w:p>
        </w:tc>
        <w:tc>
          <w:tcPr>
            <w:tcW w:type="dxa" w:w="81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match is not inferred solely from amount. A stable agreed reference or composite key is required.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RULE-03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Duplicate events are idempotently ignored or linked to the existing transaction; behavior is configurable and must be confirmed.</w:t>
            </w:r>
          </w:p>
        </w:tc>
      </w:tr>
      <w:tr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RULE-04</w:t>
            </w:r>
          </w:p>
        </w:tc>
        <w:tc>
          <w:tcPr>
            <w:tcW w:type="dxa" w:w="81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Resolution submission requires resolution type, non-empty reason and the user permission to resolve.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RULE-05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Original gateway/internal values remain immutable in the evidence view; corrections are represented as new, auditable actions.</w:t>
            </w:r>
          </w:p>
        </w:tc>
      </w:tr>
      <w:tr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RULE-06</w:t>
            </w:r>
          </w:p>
        </w:tc>
        <w:tc>
          <w:tcPr>
            <w:tcW w:type="dxa" w:w="81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Status transitions must be valid: Open → In Review → Pending Approval (if required) → Resolved, or Escalated.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RULE-07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 resolved case may be reopened only by an authorised role and with a reason.</w:t>
            </w:r>
          </w:p>
        </w:tc>
      </w:tr>
      <w:tr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RULE-08</w:t>
            </w:r>
          </w:p>
        </w:tc>
        <w:tc>
          <w:tcPr>
            <w:tcW w:type="dxa" w:w="813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All timestamps are stored in a consistent standard and displayed in the configured user timezone.</w:t>
            </w:r>
          </w:p>
        </w:tc>
      </w:tr>
    </w:tbl>
    <w:p>
      <w:pPr>
        <w:spacing w:after="0"/>
      </w:pPr>
    </w:p>
    <w:p>
      <w:pPr>
        <w:pStyle w:val="Heading1"/>
      </w:pPr>
      <w:r>
        <w:t>5. Screen / interaction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608"/>
        <w:gridCol w:w="2952"/>
      </w:tblGrid>
      <w:tr>
        <w:trPr>
          <w:tblHeader w:val="true"/>
        </w:trPr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content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Primary actions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Reconciliation overview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Summary counts; trend visualization; exception categories; recent transactions; time-window filter.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Search, change time window, open transaction/case.</w:t>
            </w:r>
          </w:p>
        </w:tc>
      </w:tr>
      <w:tr>
        <w:tc>
          <w:tcPr>
            <w:tcW w:type="dxa" w:w="201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Transaction detail</w:t>
            </w:r>
          </w:p>
        </w:tc>
        <w:tc>
          <w:tcPr>
            <w:tcW w:type="dxa" w:w="46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Internal/gateway fields side by side; event chronology; reconciliation outcome and reason.</w:t>
            </w:r>
          </w:p>
        </w:tc>
        <w:tc>
          <w:tcPr>
            <w:tcW w:type="dxa" w:w="29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 case, inspect event references, copy identifiers.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Exception case detail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Case ID, status, owner, severity/reason, transaction comparison, notes, resolution form and audit history.</w:t>
            </w:r>
          </w:p>
        </w:tc>
        <w:tc>
          <w:tcPr>
            <w:tcW w:type="dxa" w:w="29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Assign, add note, resolve, escalate, request approval.</w:t>
            </w:r>
          </w:p>
        </w:tc>
      </w:tr>
      <w:tr>
        <w:tc>
          <w:tcPr>
            <w:tcW w:type="dxa" w:w="2016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Exception queue</w:t>
            </w:r>
          </w:p>
        </w:tc>
        <w:tc>
          <w:tcPr>
            <w:tcW w:type="dxa" w:w="46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Case ID, payment ID, reason, age, owner, last update and status.</w:t>
            </w:r>
          </w:p>
        </w:tc>
        <w:tc>
          <w:tcPr>
            <w:tcW w:type="dxa" w:w="2952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Filter, sort, assign, open case, export if permitted.</w:t>
            </w:r>
          </w:p>
        </w:tc>
      </w:tr>
    </w:tbl>
    <w:p>
      <w:pPr>
        <w:spacing w:after="0"/>
      </w:pPr>
    </w:p>
    <w:p>
      <w:pPr>
        <w:pStyle w:val="Heading1"/>
      </w:pPr>
      <w:r>
        <w:t>6. Data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08"/>
        <w:gridCol w:w="2880"/>
      </w:tblGrid>
      <w:tr>
        <w:trPr>
          <w:tblHeader w:val="true"/>
        </w:trPr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Sample key fields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Data notes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PaymentTransaction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paymentId, merchantReference, amount, currency, internalStatus, createdAt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Primary internal transaction record; source fields preserved.</w:t>
            </w:r>
          </w:p>
        </w:tc>
      </w:tr>
      <w:tr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GatewayEvent</w:t>
            </w:r>
          </w:p>
        </w:tc>
        <w:tc>
          <w:tcPr>
            <w:tcW w:type="dxa" w:w="46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eventId, paymentId, gatewayReference, eventType, receivedAt, payloadHash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One transaction may have multiple gateway events; sensitive raw payload access restricted.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ReconciliationResult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resultId, paymentId, matchStatus, mismatchCode, comparedAt, ruleVersion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Stores outcome of a comparison and the rule/version used.</w:t>
            </w:r>
          </w:p>
        </w:tc>
      </w:tr>
      <w:tr>
        <w:tc>
          <w:tcPr>
            <w:tcW w:type="dxa" w:w="208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ExceptionCase</w:t>
            </w:r>
          </w:p>
        </w:tc>
        <w:tc>
          <w:tcPr>
            <w:tcW w:type="dxa" w:w="460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caseId, paymentId, reasonCode, caseStatus, assignedTo, resolutionType, updatedAt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Open case deduplication depends on agreed uniqueness rule.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AuditEvent</w:t>
            </w:r>
          </w:p>
        </w:tc>
        <w:tc>
          <w:tcPr>
            <w:tcW w:type="dxa" w:w="4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auditId, targetType, targetId, actorId, action, timestamp, changeSummary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Append-only log; retention and export must follow approved policy.</w:t>
            </w:r>
          </w:p>
        </w:tc>
      </w:tr>
    </w:tbl>
    <w:p>
      <w:pPr>
        <w:spacing w:after="0"/>
      </w:pPr>
    </w:p>
    <w:p>
      <w:pPr>
        <w:pStyle w:val="Heading1"/>
      </w:pPr>
      <w:r>
        <w:t>7. Non-functional requirements (proposed)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968"/>
        <w:gridCol w:w="3528"/>
      </w:tblGrid>
      <w:tr>
        <w:trPr>
          <w:tblHeader w:val="true"/>
        </w:trPr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Validation approach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NFR-01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Performance: key overview and queue views should render within 3 seconds at the 95th percentile under the agreed pilot load.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Performance test using agreed synthetic dataset and environment.</w:t>
            </w:r>
          </w:p>
        </w:tc>
      </w:tr>
      <w:tr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NFR-02</w:t>
            </w:r>
          </w:p>
        </w:tc>
        <w:tc>
          <w:tcPr>
            <w:tcW w:type="dxa" w:w="49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Availability: pilot target 99.5% monthly availability, excluding planned maintenance, pending platform confirmation.</w:t>
            </w:r>
          </w:p>
        </w:tc>
        <w:tc>
          <w:tcPr>
            <w:tcW w:type="dxa" w:w="35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Monitor availability and define outage calculation.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NFR-03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Security: least-privilege role access; secrets are not stored in the browser; audit-sensitive actions are server-authorized.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Role-based negative and positive tests; security review.</w:t>
            </w:r>
          </w:p>
        </w:tc>
      </w:tr>
      <w:tr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NFR-04</w:t>
            </w:r>
          </w:p>
        </w:tc>
        <w:tc>
          <w:tcPr>
            <w:tcW w:type="dxa" w:w="49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Reliability: repeated gateway events do not create duplicate financial actions or duplicate open cases.</w:t>
            </w:r>
          </w:p>
        </w:tc>
        <w:tc>
          <w:tcPr>
            <w:tcW w:type="dxa" w:w="35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Replay/idempotency tests.</w:t>
            </w:r>
          </w:p>
        </w:tc>
      </w:tr>
      <w:tr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NFR-05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Accessibility: core flows are keyboard reachable, labels are associated with fields, and status is not conveyed by color alone.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Keyboard walkthrough and automated/manual accessibility checks.</w:t>
            </w:r>
          </w:p>
        </w:tc>
      </w:tr>
      <w:tr>
        <w:tc>
          <w:tcPr>
            <w:tcW w:type="dxa" w:w="10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NFR-06</w:t>
            </w:r>
          </w:p>
        </w:tc>
        <w:tc>
          <w:tcPr>
            <w:tcW w:type="dxa" w:w="496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Privacy: use synthetic or masked information in non-production environments; define retention/export policy before live deployment.</w:t>
            </w:r>
          </w:p>
        </w:tc>
        <w:tc>
          <w:tcPr>
            <w:tcW w:type="dxa" w:w="3528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 review and security sign-off.</w:t>
            </w:r>
          </w:p>
        </w:tc>
      </w:tr>
    </w:tbl>
    <w:p>
      <w:pPr>
        <w:spacing w:after="0"/>
      </w:pPr>
    </w:p>
    <w:p>
      <w:pPr>
        <w:pStyle w:val="Heading1"/>
      </w:pPr>
      <w:r>
        <w:t>8. Error states and messages</w:t>
      </w:r>
    </w:p>
    <w:p>
      <w:pPr>
        <w:pStyle w:val="ListBullet"/>
        <w:spacing w:after="40"/>
      </w:pPr>
      <w:r>
        <w:t>Source feed unavailable: show the latest successful run and a safe retry/escalation action.</w:t>
      </w:r>
    </w:p>
    <w:p>
      <w:pPr>
        <w:pStyle w:val="ListBullet"/>
        <w:spacing w:after="40"/>
      </w:pPr>
      <w:r>
        <w:t>Required resolution reason missing: keep the case open and highlight the field; do not silently submit.</w:t>
      </w:r>
    </w:p>
    <w:p>
      <w:pPr>
        <w:pStyle w:val="ListBullet"/>
        <w:spacing w:after="40"/>
      </w:pPr>
      <w:r>
        <w:t>Insufficient permission: deny server-side action and display a non-sensitive explanation.</w:t>
      </w:r>
    </w:p>
    <w:p>
      <w:pPr>
        <w:pStyle w:val="ListBullet"/>
        <w:spacing w:after="40"/>
      </w:pPr>
      <w:r>
        <w:t>Duplicate or out-of-order event: retain an operationally useful reason/status without creating a duplicate financial record.</w:t>
      </w:r>
    </w:p>
    <w:p>
      <w:pPr>
        <w:pStyle w:val="ListBullet"/>
        <w:spacing w:after="40"/>
      </w:pPr>
      <w:r>
        <w:t>Export failure: show a recoverable message and do not report a file as ready until generation succeeds.</w:t>
      </w:r>
    </w:p>
    <w:p>
      <w:pPr>
        <w:pStyle w:val="Heading1"/>
      </w:pPr>
      <w:r>
        <w:t>9. Open decisions before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2880"/>
        <w:gridCol w:w="1440"/>
      </w:tblGrid>
      <w:tr>
        <w:trPr>
          <w:tblHeader w:val="true"/>
        </w:trPr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 to confirm</w:t>
            </w:r>
          </w:p>
        </w:tc>
        <w:tc>
          <w:tcPr>
            <w:tcW w:type="dxa" w:w="3389"/>
            <w:shd w:fill="19243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Authoritative matching key and amount tolerance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Product Owner + Finance/Ops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51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Role-to-action matrix and approval thresholds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Operations Lead + Security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Gateway source, event schema, retry strategy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Engineering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5184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Audit retention and permitted exports</w:t>
            </w:r>
          </w:p>
        </w:tc>
        <w:tc>
          <w:tcPr>
            <w:tcW w:type="dxa" w:w="288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Security / Compliance</w:t>
            </w:r>
          </w:p>
        </w:tc>
        <w:tc>
          <w:tcPr>
            <w:tcW w:type="dxa" w:w="1440"/>
            <w:vAlign w:val="top"/>
            <w:shd w:fill="F5F7F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Pilot volume, load profile and performance target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Platform Owner</w:t>
            </w:r>
          </w:p>
        </w:tc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CE3EC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10. Design references</w:t>
      </w:r>
    </w:p>
    <w:p>
      <w:r>
        <w:t>Editable low-fidelity screens: https://www.figma.com/design/qt1PFmcQNvtaJnLnrWxPKD</w:t>
      </w:r>
    </w:p>
    <w:p>
      <w:r>
        <w:t>Editable FigJam business process, API sequence and data model diagrams: https://www.figma.com/board/N90uAbHaqe4OkCOUkNfNxX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7"/>
        <w:sz w:val="14"/>
      </w:rPr>
      <w:t>FICTIONAL PORTFOLIO EXAMPLE  •  NOT CLIENT WORK  •  CONTROLLED SAMPLE</w:t>
    </w:r>
  </w:p>
  <w:p>
    <w:pPr>
      <w:jc w:val="right"/>
    </w:pPr>
    <w:r>
      <w:rPr>
        <w:color w:val="697587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697587"/>
        <w:sz w:val="14"/>
      </w:rPr>
      <w:t>GAUTAM THE ANALYST  /  SAMPLE BA ARTIFACTS                                      FRD-PT-001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9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97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9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9243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