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Date"/>
      </w:pPr>
      <w:r>
        <w:t xml:space="preserve">2024-03-29</w:t>
      </w:r>
    </w:p>
    <w:p>
      <w:pPr>
        <w:pStyle w:val="AbstractTitle"/>
      </w:pPr>
      <w:r>
        <w:t xml:space="preserve">Abstract</w:t>
      </w:r>
    </w:p>
    <w:p>
      <w:pPr>
        <w:pStyle w:val="Abstract"/>
      </w:pPr>
      <w:r>
        <w:rPr>
          <w:bCs/>
          <w:b/>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Cs/>
          <w:b/>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Cs/>
          <w:b/>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Cs/>
          <w:b/>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bookmarkStart w:id="20" w:name="section"/>
    <w:p>
      <w:pPr>
        <w:pStyle w:val="Heading2"/>
      </w:pPr>
      <w:r>
        <w:t xml:space="preserve">Section</w:t>
      </w:r>
    </w:p>
    <w:p>
      <w:pPr>
        <w:pStyle w:val="FirstParagraph"/>
      </w:pPr>
      <w:r>
        <w:t xml:space="preserve">This is a simple placeholder for the manuscript’s main document</w:t>
      </w:r>
      <w:r>
        <w:t xml:space="preserve"> </w:t>
      </w:r>
      <w:r>
        <w:t xml:space="preserve">(Knuth 1984)</w:t>
      </w:r>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SourceCode"/>
      </w:pPr>
      <w:r>
        <w:rPr>
          <w:rStyle w:val="FunctionTok"/>
        </w:rPr>
        <w:t xml:space="preserve">library</w:t>
      </w:r>
      <w:r>
        <w:rPr>
          <w:rStyle w:val="NormalTok"/>
        </w:rPr>
        <w:t xml:space="preserve">(ggplot2)</w:t>
      </w:r>
    </w:p>
    <w:p>
      <w:pPr>
        <w:pStyle w:val="FirstParagraph"/>
      </w:pPr>
      <w:r>
        <w:t xml:space="preserve">Let’s cite here</w:t>
      </w:r>
      <w:r>
        <w:t xml:space="preserve"> </w:t>
      </w:r>
      <w:r>
        <w:t xml:space="preserve">(De Bruin 2020)</w:t>
      </w:r>
      <w:r>
        <w:t xml:space="preserve">.</w:t>
      </w:r>
    </w:p>
    <w:bookmarkEnd w:id="20"/>
    <w:bookmarkStart w:id="26" w:name="references"/>
    <w:p>
      <w:pPr>
        <w:pStyle w:val="Heading2"/>
      </w:pPr>
      <w:r>
        <w:t xml:space="preserve">References</w:t>
      </w:r>
    </w:p>
    <w:bookmarkStart w:id="25" w:name="refs"/>
    <w:bookmarkStart w:id="22"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21">
        <w:r>
          <w:rPr>
            <w:rStyle w:val="Hyperlink"/>
          </w:rPr>
          <w:t xml:space="preserve">https://doi.org/10.7591/cornell/9781501751912.003.0001</w:t>
        </w:r>
      </w:hyperlink>
      <w:r>
        <w:t xml:space="preserve">.</w:t>
      </w:r>
    </w:p>
    <w:bookmarkEnd w:id="22"/>
    <w:bookmarkStart w:id="24" w:name="ref-knuth1984"/>
    <w:p>
      <w:pPr>
        <w:pStyle w:val="Bibliography"/>
      </w:pPr>
      <w:r>
        <w:t xml:space="preserve">Knuth, D. E. 1984.</w:t>
      </w:r>
      <w:r>
        <w:t xml:space="preserve"> </w:t>
      </w:r>
      <w:r>
        <w:t xml:space="preserve">“Literate Programming.”</w:t>
      </w:r>
      <w:r>
        <w:t xml:space="preserve"> </w:t>
      </w:r>
      <w:r>
        <w:rPr>
          <w:iCs/>
          <w:i/>
        </w:rPr>
        <w:t xml:space="preserve">The Computer Journal</w:t>
      </w:r>
      <w:r>
        <w:t xml:space="preserve"> </w:t>
      </w:r>
      <w:r>
        <w:t xml:space="preserve">27 (2): 97–111.</w:t>
      </w:r>
      <w:r>
        <w:t xml:space="preserve"> </w:t>
      </w:r>
      <w:hyperlink r:id="rId23">
        <w:r>
          <w:rPr>
            <w:rStyle w:val="Hyperlink"/>
          </w:rPr>
          <w:t xml:space="preserve">https://doi.org/10.1093/comjnl/27.2.97</w:t>
        </w:r>
      </w:hyperlink>
      <w:r>
        <w:t xml:space="preserve">.</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2024-07-16T23:42:20Z</dcterms:created>
  <dcterms:modified xsi:type="dcterms:W3CDTF">2024-07-16T23:42:20Z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2024-03-29</vt:lpwstr>
  </property>
  <property fmtid="{D5CDD505-2E9C-101B-9397-08002B2CF9AE}" pid="11" name="date-modified">
    <vt:lpwstr>2024-04-04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other-links">
    <vt:lpwstr/>
  </property>
  <property fmtid="{D5CDD505-2E9C-101B-9397-08002B2CF9AE}" pid="19" name="toc-title">
    <vt:lpwstr>Table of contents</vt:lpwstr>
  </property>
</Properties>
</file>