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p>
    <w:p>
      <w:pPr>
        <w:pStyle w:val="Date"/>
      </w:pPr>
      <w:r>
        <w:t xml:space="preserve">2024-03-29</w:t>
      </w:r>
    </w:p>
    <w:p>
      <w:pPr>
        <w:pStyle w:val="AbstractTitle"/>
      </w:pPr>
      <w:r>
        <w:t xml:space="preserve">Abstract</w:t>
      </w:r>
    </w:p>
    <w:p>
      <w:pPr>
        <w:pStyle w:val="Abstract"/>
      </w:pPr>
      <w:r>
        <w:rPr>
          <w:bCs/>
          <w:b/>
        </w:rPr>
        <w:t xml:space="preserve">BACKGROUND</w:t>
      </w:r>
      <w:r>
        <w:t xml:space="preserve"> </w:t>
      </w:r>
      <w:r>
        <w:t xml:space="preserve">Preliminary</w:t>
      </w:r>
      <w:r>
        <w:t xml:space="preserve"> </w:t>
      </w:r>
      <w:r>
        <w:t xml:space="preserve">research</w:t>
      </w:r>
      <w:r>
        <w:t xml:space="preserve"> </w:t>
      </w:r>
      <w:r>
        <w:t xml:space="preserve">suggests</w:t>
      </w:r>
      <w:r>
        <w:t xml:space="preserve"> </w:t>
      </w:r>
      <w:r>
        <w:t xml:space="preserve">that</w:t>
      </w:r>
      <w:r>
        <w:t xml:space="preserve"> </w:t>
      </w:r>
      <w:r>
        <w:t xml:space="preserve">rectally</w:t>
      </w:r>
      <w:r>
        <w:t xml:space="preserve"> </w:t>
      </w:r>
      <w:r>
        <w:t xml:space="preserve">administered</w:t>
      </w:r>
      <w:r>
        <w:t xml:space="preserve"> </w:t>
      </w:r>
      <w:r>
        <w:t xml:space="preserve">nonsteroidal</w:t>
      </w:r>
      <w:r>
        <w:t xml:space="preserve"> </w:t>
      </w:r>
      <w:r>
        <w:t xml:space="preserve">antiinflammatory</w:t>
      </w:r>
      <w:r>
        <w:t xml:space="preserve"> </w:t>
      </w:r>
      <w:r>
        <w:t xml:space="preserve">drugs</w:t>
      </w:r>
      <w:r>
        <w:t xml:space="preserve"> </w:t>
      </w:r>
      <w:r>
        <w:t xml:space="preserve">may</w:t>
      </w:r>
      <w:r>
        <w:t xml:space="preserve"> </w:t>
      </w:r>
      <w:r>
        <w:t xml:space="preserve">reduce</w:t>
      </w:r>
      <w:r>
        <w:t xml:space="preserve"> </w:t>
      </w:r>
      <w:r>
        <w:t xml:space="preserve">the</w:t>
      </w:r>
      <w:r>
        <w:t xml:space="preserve"> </w:t>
      </w:r>
      <w:r>
        <w:t xml:space="preserve">incidence</w:t>
      </w:r>
      <w:r>
        <w:t xml:space="preserve"> </w:t>
      </w:r>
      <w:r>
        <w:t xml:space="preserve">of</w:t>
      </w:r>
      <w:r>
        <w:t xml:space="preserve"> </w:t>
      </w:r>
      <w:r>
        <w:t xml:space="preserve">pancreatitis</w:t>
      </w:r>
      <w:r>
        <w:t xml:space="preserve"> </w:t>
      </w:r>
      <w:r>
        <w:t xml:space="preserve">after</w:t>
      </w:r>
      <w:r>
        <w:t xml:space="preserve"> </w:t>
      </w:r>
      <w:r>
        <w:t xml:space="preserve">endoscopic</w:t>
      </w:r>
      <w:r>
        <w:t xml:space="preserve"> </w:t>
      </w:r>
      <w:r>
        <w:t xml:space="preserve">retrograde</w:t>
      </w:r>
      <w:r>
        <w:t xml:space="preserve"> </w:t>
      </w:r>
      <w:r>
        <w:t xml:space="preserve">cholangiopancreatography</w:t>
      </w:r>
      <w:r>
        <w:t xml:space="preserve"> </w:t>
      </w:r>
      <w:r>
        <w:t xml:space="preserve">(ERCP).</w:t>
      </w:r>
    </w:p>
    <w:p>
      <w:pPr>
        <w:pStyle w:val="Abstract"/>
      </w:pPr>
      <w:r>
        <w:rPr>
          <w:bCs/>
          <w:b/>
        </w:rPr>
        <w:t xml:space="preserve">METHODS</w:t>
      </w:r>
      <w:r>
        <w:t xml:space="preserve"> </w:t>
      </w:r>
      <w:r>
        <w:t xml:space="preserve">In</w:t>
      </w:r>
      <w:r>
        <w:t xml:space="preserve"> </w:t>
      </w:r>
      <w:r>
        <w:t xml:space="preserve">this</w:t>
      </w:r>
      <w:r>
        <w:t xml:space="preserve"> </w:t>
      </w:r>
      <w:r>
        <w:t xml:space="preserve">multicenter,</w:t>
      </w:r>
      <w:r>
        <w:t xml:space="preserve"> </w:t>
      </w:r>
      <w:r>
        <w:t xml:space="preserve">randomized,</w:t>
      </w:r>
      <w:r>
        <w:t xml:space="preserve"> </w:t>
      </w:r>
      <w:r>
        <w:t xml:space="preserve">placebo-controlled,</w:t>
      </w:r>
      <w:r>
        <w:t xml:space="preserve"> </w:t>
      </w:r>
      <w:r>
        <w:t xml:space="preserve">double-blind</w:t>
      </w:r>
      <w:r>
        <w:t xml:space="preserve"> </w:t>
      </w:r>
      <w:r>
        <w:t xml:space="preserve">clinical</w:t>
      </w:r>
      <w:r>
        <w:t xml:space="preserve"> </w:t>
      </w:r>
      <w:r>
        <w:t xml:space="preserve">trial,</w:t>
      </w:r>
      <w:r>
        <w:t xml:space="preserve"> </w:t>
      </w:r>
      <w:r>
        <w:t xml:space="preserve">we</w:t>
      </w:r>
      <w:r>
        <w:t xml:space="preserve"> </w:t>
      </w:r>
      <w:r>
        <w:t xml:space="preserve">assigned</w:t>
      </w:r>
      <w:r>
        <w:t xml:space="preserve"> </w:t>
      </w:r>
      <w:r>
        <w:t xml:space="preserve">patients</w:t>
      </w:r>
      <w:r>
        <w:t xml:space="preserve"> </w:t>
      </w:r>
      <w:r>
        <w:t xml:space="preserve">at</w:t>
      </w:r>
      <w:r>
        <w:t xml:space="preserve"> </w:t>
      </w:r>
      <w:r>
        <w:t xml:space="preserve">elevated</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to</w:t>
      </w:r>
      <w:r>
        <w:t xml:space="preserve"> </w:t>
      </w:r>
      <w:r>
        <w:t xml:space="preserve">receive</w:t>
      </w:r>
      <w:r>
        <w:t xml:space="preserve"> </w:t>
      </w:r>
      <w:r>
        <w:t xml:space="preserve">a</w:t>
      </w:r>
      <w:r>
        <w:t xml:space="preserve"> </w:t>
      </w:r>
      <w:r>
        <w:t xml:space="preserve">single</w:t>
      </w:r>
      <w:r>
        <w:t xml:space="preserve"> </w:t>
      </w:r>
      <w:r>
        <w:t xml:space="preserve">dose</w:t>
      </w:r>
      <w:r>
        <w:t xml:space="preserve"> </w:t>
      </w:r>
      <w:r>
        <w:t xml:space="preserve">of</w:t>
      </w:r>
      <w:r>
        <w:t xml:space="preserve"> </w:t>
      </w:r>
      <w:r>
        <w:t xml:space="preserve">rectal</w:t>
      </w:r>
      <w:r>
        <w:t xml:space="preserve"> </w:t>
      </w:r>
      <w:r>
        <w:t xml:space="preserve">indomethacin</w:t>
      </w:r>
      <w:r>
        <w:t xml:space="preserve"> </w:t>
      </w:r>
      <w:r>
        <w:t xml:space="preserve">or</w:t>
      </w:r>
      <w:r>
        <w:t xml:space="preserve"> </w:t>
      </w:r>
      <w:r>
        <w:t xml:space="preserve">placebo</w:t>
      </w:r>
      <w:r>
        <w:t xml:space="preserve"> </w:t>
      </w:r>
      <w:r>
        <w:t xml:space="preserve">immediately</w:t>
      </w:r>
      <w:r>
        <w:t xml:space="preserve"> </w:t>
      </w:r>
      <w:r>
        <w:t xml:space="preserve">after</w:t>
      </w:r>
      <w:r>
        <w:t xml:space="preserve"> </w:t>
      </w:r>
      <w:r>
        <w:t xml:space="preserve">ERCP.</w:t>
      </w:r>
      <w:r>
        <w:t xml:space="preserve"> </w:t>
      </w:r>
      <w:r>
        <w:t xml:space="preserve">Patients</w:t>
      </w:r>
      <w:r>
        <w:t xml:space="preserve"> </w:t>
      </w:r>
      <w:r>
        <w:t xml:space="preserve">were</w:t>
      </w:r>
      <w:r>
        <w:t xml:space="preserve"> </w:t>
      </w:r>
      <w:r>
        <w:t xml:space="preserve">determined</w:t>
      </w:r>
      <w:r>
        <w:t xml:space="preserve"> </w:t>
      </w:r>
      <w:r>
        <w:t xml:space="preserve">to</w:t>
      </w:r>
      <w:r>
        <w:t xml:space="preserve"> </w:t>
      </w:r>
      <w:r>
        <w:t xml:space="preserve">be</w:t>
      </w:r>
      <w:r>
        <w:t xml:space="preserve"> </w:t>
      </w:r>
      <w:r>
        <w:t xml:space="preserve">at</w:t>
      </w:r>
      <w:r>
        <w:t xml:space="preserve"> </w:t>
      </w:r>
      <w:r>
        <w:t xml:space="preserve">high</w:t>
      </w:r>
      <w:r>
        <w:t xml:space="preserve"> </w:t>
      </w:r>
      <w:r>
        <w:t xml:space="preserve">risk</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validated</w:t>
      </w:r>
      <w:r>
        <w:t xml:space="preserve"> </w:t>
      </w:r>
      <w:r>
        <w:t xml:space="preserve">patient-</w:t>
      </w:r>
      <w:r>
        <w:t xml:space="preserve"> </w:t>
      </w:r>
      <w:r>
        <w:t xml:space="preserve">and</w:t>
      </w:r>
      <w:r>
        <w:t xml:space="preserve"> </w:t>
      </w:r>
      <w:r>
        <w:t xml:space="preserve">procedure-related</w:t>
      </w:r>
      <w:r>
        <w:t xml:space="preserve"> </w:t>
      </w:r>
      <w:r>
        <w:t xml:space="preserve">risk</w:t>
      </w:r>
      <w:r>
        <w:t xml:space="preserve"> </w:t>
      </w:r>
      <w:r>
        <w:t xml:space="preserve">factors.</w:t>
      </w:r>
      <w:r>
        <w:t xml:space="preserve"> </w:t>
      </w:r>
      <w:r>
        <w:t xml:space="preserve">The</w:t>
      </w:r>
      <w:r>
        <w:t xml:space="preserve"> </w:t>
      </w:r>
      <w:r>
        <w:t xml:space="preserve">primary</w:t>
      </w:r>
      <w:r>
        <w:t xml:space="preserve"> </w:t>
      </w:r>
      <w:r>
        <w:t xml:space="preserve">outcome</w:t>
      </w:r>
      <w:r>
        <w:t xml:space="preserve"> </w:t>
      </w:r>
      <w:r>
        <w:t xml:space="preserve">was</w:t>
      </w:r>
      <w:r>
        <w:t xml:space="preserve"> </w:t>
      </w:r>
      <w:r>
        <w:t xml:space="preserve">post-ERCP</w:t>
      </w:r>
      <w:r>
        <w:t xml:space="preserve"> </w:t>
      </w:r>
      <w:r>
        <w:t xml:space="preserve">pancreatitis,</w:t>
      </w:r>
      <w:r>
        <w:t xml:space="preserve"> </w:t>
      </w:r>
      <w:r>
        <w:t xml:space="preserve">which</w:t>
      </w:r>
      <w:r>
        <w:t xml:space="preserve"> </w:t>
      </w:r>
      <w:r>
        <w:t xml:space="preserve">was</w:t>
      </w:r>
      <w:r>
        <w:t xml:space="preserve"> </w:t>
      </w:r>
      <w:r>
        <w:t xml:space="preserve">defined</w:t>
      </w:r>
      <w:r>
        <w:t xml:space="preserve"> </w:t>
      </w:r>
      <w:r>
        <w:t xml:space="preserve">as</w:t>
      </w:r>
      <w:r>
        <w:t xml:space="preserve"> </w:t>
      </w:r>
      <w:r>
        <w:t xml:space="preserve">new</w:t>
      </w:r>
      <w:r>
        <w:t xml:space="preserve"> </w:t>
      </w:r>
      <w:r>
        <w:t xml:space="preserve">upper</w:t>
      </w:r>
      <w:r>
        <w:t xml:space="preserve"> </w:t>
      </w:r>
      <w:r>
        <w:t xml:space="preserve">abdominal</w:t>
      </w:r>
      <w:r>
        <w:t xml:space="preserve"> </w:t>
      </w:r>
      <w:r>
        <w:t xml:space="preserve">pain,</w:t>
      </w:r>
      <w:r>
        <w:t xml:space="preserve"> </w:t>
      </w:r>
      <w:r>
        <w:t xml:space="preserve">an</w:t>
      </w:r>
      <w:r>
        <w:t xml:space="preserve"> </w:t>
      </w:r>
      <w:r>
        <w:t xml:space="preserve">elevation</w:t>
      </w:r>
      <w:r>
        <w:t xml:space="preserve"> </w:t>
      </w:r>
      <w:r>
        <w:t xml:space="preserve">in</w:t>
      </w:r>
      <w:r>
        <w:t xml:space="preserve"> </w:t>
      </w:r>
      <w:r>
        <w:t xml:space="preserve">pancreatic</w:t>
      </w:r>
      <w:r>
        <w:t xml:space="preserve"> </w:t>
      </w:r>
      <w:r>
        <w:t xml:space="preserve">enzymes</w:t>
      </w:r>
      <w:r>
        <w:t xml:space="preserve"> </w:t>
      </w:r>
      <w:r>
        <w:t xml:space="preserve">to</w:t>
      </w:r>
      <w:r>
        <w:t xml:space="preserve"> </w:t>
      </w:r>
      <w:r>
        <w:t xml:space="preserve">at</w:t>
      </w:r>
      <w:r>
        <w:t xml:space="preserve"> </w:t>
      </w:r>
      <w:r>
        <w:t xml:space="preserve">least</w:t>
      </w:r>
      <w:r>
        <w:t xml:space="preserve"> </w:t>
      </w:r>
      <w:r>
        <w:t xml:space="preserve">three</w:t>
      </w:r>
      <w:r>
        <w:t xml:space="preserve"> </w:t>
      </w:r>
      <w:r>
        <w:t xml:space="preserve">times</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the</w:t>
      </w:r>
      <w:r>
        <w:t xml:space="preserve"> </w:t>
      </w:r>
      <w:r>
        <w:t xml:space="preserve">normal</w:t>
      </w:r>
      <w:r>
        <w:t xml:space="preserve"> </w:t>
      </w:r>
      <w:r>
        <w:t xml:space="preserve">range</w:t>
      </w:r>
      <w:r>
        <w:t xml:space="preserve"> </w:t>
      </w:r>
      <w:r>
        <w:t xml:space="preserve">24</w:t>
      </w:r>
      <w:r>
        <w:t xml:space="preserve"> </w:t>
      </w:r>
      <w:r>
        <w:t xml:space="preserve">hours</w:t>
      </w:r>
      <w:r>
        <w:t xml:space="preserve"> </w:t>
      </w:r>
      <w:r>
        <w:t xml:space="preserve">after</w:t>
      </w:r>
      <w:r>
        <w:t xml:space="preserve"> </w:t>
      </w:r>
      <w:r>
        <w:t xml:space="preserve">the</w:t>
      </w:r>
      <w:r>
        <w:t xml:space="preserve"> </w:t>
      </w:r>
      <w:r>
        <w:t xml:space="preserve">procedure,</w:t>
      </w:r>
      <w:r>
        <w:t xml:space="preserve"> </w:t>
      </w:r>
      <w:r>
        <w:t xml:space="preserve">and</w:t>
      </w:r>
      <w:r>
        <w:t xml:space="preserve"> </w:t>
      </w:r>
      <w:r>
        <w:t xml:space="preserve">hospitalization</w:t>
      </w:r>
      <w:r>
        <w:t xml:space="preserve"> </w:t>
      </w:r>
      <w:r>
        <w:t xml:space="preserve">for</w:t>
      </w:r>
      <w:r>
        <w:t xml:space="preserve"> </w:t>
      </w:r>
      <w:r>
        <w:t xml:space="preserve">at</w:t>
      </w:r>
      <w:r>
        <w:t xml:space="preserve"> </w:t>
      </w:r>
      <w:r>
        <w:t xml:space="preserve">least</w:t>
      </w:r>
      <w:r>
        <w:t xml:space="preserve"> </w:t>
      </w:r>
      <w:r>
        <w:t xml:space="preserve">2</w:t>
      </w:r>
      <w:r>
        <w:t xml:space="preserve"> </w:t>
      </w:r>
      <w:r>
        <w:t xml:space="preserve">nights.</w:t>
      </w:r>
    </w:p>
    <w:p>
      <w:pPr>
        <w:pStyle w:val="Abstract"/>
      </w:pPr>
      <w:r>
        <w:rPr>
          <w:bCs/>
          <w:b/>
        </w:rPr>
        <w:t xml:space="preserve">RESULTS</w:t>
      </w:r>
      <w:r>
        <w:t xml:space="preserve"> </w:t>
      </w:r>
      <w:r>
        <w:t xml:space="preserve">A</w:t>
      </w:r>
      <w:r>
        <w:t xml:space="preserve"> </w:t>
      </w:r>
      <w:r>
        <w:t xml:space="preserve">total</w:t>
      </w:r>
      <w:r>
        <w:t xml:space="preserve"> </w:t>
      </w:r>
      <w:r>
        <w:t xml:space="preserve">of</w:t>
      </w:r>
      <w:r>
        <w:t xml:space="preserve"> </w:t>
      </w:r>
      <w:r>
        <w:t xml:space="preserve">602</w:t>
      </w:r>
      <w:r>
        <w:t xml:space="preserve"> </w:t>
      </w:r>
      <w:r>
        <w:t xml:space="preserve">patients</w:t>
      </w:r>
      <w:r>
        <w:t xml:space="preserve"> </w:t>
      </w:r>
      <w:r>
        <w:t xml:space="preserve">were</w:t>
      </w:r>
      <w:r>
        <w:t xml:space="preserve"> </w:t>
      </w:r>
      <w:r>
        <w:t xml:space="preserve">enrolled</w:t>
      </w:r>
      <w:r>
        <w:t xml:space="preserve"> </w:t>
      </w:r>
      <w:r>
        <w:t xml:space="preserve">and</w:t>
      </w:r>
      <w:r>
        <w:t xml:space="preserve"> </w:t>
      </w:r>
      <w:r>
        <w:t xml:space="preserve">completed</w:t>
      </w:r>
      <w:r>
        <w:t xml:space="preserve"> </w:t>
      </w:r>
      <w:r>
        <w:t xml:space="preserve">follow-up.</w:t>
      </w:r>
      <w:r>
        <w:t xml:space="preserve"> </w:t>
      </w:r>
      <w:r>
        <w:t xml:space="preserve">The</w:t>
      </w:r>
      <w:r>
        <w:t xml:space="preserve"> </w:t>
      </w:r>
      <w:r>
        <w:t xml:space="preserve">majority</w:t>
      </w:r>
      <w:r>
        <w:t xml:space="preserve"> </w:t>
      </w:r>
      <w:r>
        <w:t xml:space="preserve">of</w:t>
      </w:r>
      <w:r>
        <w:t xml:space="preserve"> </w:t>
      </w:r>
      <w:r>
        <w:t xml:space="preserve">patients</w:t>
      </w:r>
      <w:r>
        <w:t xml:space="preserve"> </w:t>
      </w:r>
      <w:r>
        <w:t xml:space="preserve">(82%)</w:t>
      </w:r>
      <w:r>
        <w:t xml:space="preserve"> </w:t>
      </w:r>
      <w:r>
        <w:t xml:space="preserve">had</w:t>
      </w:r>
      <w:r>
        <w:t xml:space="preserve"> </w:t>
      </w:r>
      <w:r>
        <w:t xml:space="preserve">a</w:t>
      </w:r>
      <w:r>
        <w:t xml:space="preserve"> </w:t>
      </w:r>
      <w:r>
        <w:t xml:space="preserve">clinical</w:t>
      </w:r>
      <w:r>
        <w:t xml:space="preserve"> </w:t>
      </w:r>
      <w:r>
        <w:t xml:space="preserve">suspicion</w:t>
      </w:r>
      <w:r>
        <w:t xml:space="preserve"> </w:t>
      </w:r>
      <w:r>
        <w:t xml:space="preserve">of</w:t>
      </w:r>
      <w:r>
        <w:t xml:space="preserve"> </w:t>
      </w:r>
      <w:r>
        <w:t xml:space="preserve">sphincter</w:t>
      </w:r>
      <w:r>
        <w:t xml:space="preserve"> </w:t>
      </w:r>
      <w:r>
        <w:t xml:space="preserve">of</w:t>
      </w:r>
      <w:r>
        <w:t xml:space="preserve"> </w:t>
      </w:r>
      <w:r>
        <w:t xml:space="preserve">Oddi</w:t>
      </w:r>
      <w:r>
        <w:t xml:space="preserve"> </w:t>
      </w:r>
      <w:r>
        <w:t xml:space="preserve">dysfunction.</w:t>
      </w:r>
      <w:r>
        <w:t xml:space="preserve"> </w:t>
      </w:r>
      <w:r>
        <w:t xml:space="preserve">Post-ERCP</w:t>
      </w:r>
      <w:r>
        <w:t xml:space="preserve"> </w:t>
      </w:r>
      <w:r>
        <w:t xml:space="preserve">pancreatitis</w:t>
      </w:r>
      <w:r>
        <w:t xml:space="preserve"> </w:t>
      </w:r>
      <w:r>
        <w:t xml:space="preserve">developed</w:t>
      </w:r>
      <w:r>
        <w:t xml:space="preserve"> </w:t>
      </w:r>
      <w:r>
        <w:t xml:space="preserve">in</w:t>
      </w:r>
      <w:r>
        <w:t xml:space="preserve"> </w:t>
      </w:r>
      <w:r>
        <w:t xml:space="preserve">27</w:t>
      </w:r>
      <w:r>
        <w:t xml:space="preserve"> </w:t>
      </w:r>
      <w:r>
        <w:t xml:space="preserve">of</w:t>
      </w:r>
      <w:r>
        <w:t xml:space="preserve"> </w:t>
      </w:r>
      <w:r>
        <w:t xml:space="preserve">295</w:t>
      </w:r>
      <w:r>
        <w:t xml:space="preserve"> </w:t>
      </w:r>
      <w:r>
        <w:t xml:space="preserve">patients</w:t>
      </w:r>
      <w:r>
        <w:t xml:space="preserve"> </w:t>
      </w:r>
      <w:r>
        <w:t xml:space="preserve">(9.2%)</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52</w:t>
      </w:r>
      <w:r>
        <w:t xml:space="preserve"> </w:t>
      </w:r>
      <w:r>
        <w:t xml:space="preserve">of</w:t>
      </w:r>
      <w:r>
        <w:t xml:space="preserve"> </w:t>
      </w:r>
      <w:r>
        <w:t xml:space="preserve">307</w:t>
      </w:r>
      <w:r>
        <w:t xml:space="preserve"> </w:t>
      </w:r>
      <w:r>
        <w:t xml:space="preserve">patients</w:t>
      </w:r>
      <w:r>
        <w:t xml:space="preserve"> </w:t>
      </w:r>
      <w:r>
        <w:t xml:space="preserve">(16.9%)</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(P=0.005).</w:t>
      </w:r>
      <w:r>
        <w:t xml:space="preserve"> </w:t>
      </w:r>
      <w:r>
        <w:t xml:space="preserve">Moderate-to-severe</w:t>
      </w:r>
      <w:r>
        <w:t xml:space="preserve"> </w:t>
      </w:r>
      <w:r>
        <w:t xml:space="preserve">pancreatitis</w:t>
      </w:r>
      <w:r>
        <w:t xml:space="preserve"> </w:t>
      </w:r>
      <w:r>
        <w:t xml:space="preserve">developed</w:t>
      </w:r>
      <w:r>
        <w:t xml:space="preserve"> </w:t>
      </w:r>
      <w:r>
        <w:t xml:space="preserve">in</w:t>
      </w:r>
      <w:r>
        <w:t xml:space="preserve"> </w:t>
      </w:r>
      <w:r>
        <w:t xml:space="preserve">13</w:t>
      </w:r>
      <w:r>
        <w:t xml:space="preserve"> </w:t>
      </w:r>
      <w:r>
        <w:t xml:space="preserve">patients</w:t>
      </w:r>
      <w:r>
        <w:t xml:space="preserve"> </w:t>
      </w:r>
      <w:r>
        <w:t xml:space="preserve">(4.4%)</w:t>
      </w:r>
      <w:r>
        <w:t xml:space="preserve"> </w:t>
      </w:r>
      <w:r>
        <w:t xml:space="preserve">in</w:t>
      </w:r>
      <w:r>
        <w:t xml:space="preserve"> </w:t>
      </w:r>
      <w:r>
        <w:t xml:space="preserve">the</w:t>
      </w:r>
      <w:r>
        <w:t xml:space="preserve"> </w:t>
      </w:r>
      <w:r>
        <w:t xml:space="preserve">indomethacin</w:t>
      </w:r>
      <w:r>
        <w:t xml:space="preserve"> </w:t>
      </w:r>
      <w:r>
        <w:t xml:space="preserve">group</w:t>
      </w:r>
      <w:r>
        <w:t xml:space="preserve"> </w:t>
      </w:r>
      <w:r>
        <w:t xml:space="preserve">and</w:t>
      </w:r>
      <w:r>
        <w:t xml:space="preserve"> </w:t>
      </w:r>
      <w:r>
        <w:t xml:space="preserve">in</w:t>
      </w:r>
      <w:r>
        <w:t xml:space="preserve"> </w:t>
      </w:r>
      <w:r>
        <w:t xml:space="preserve">27</w:t>
      </w:r>
      <w:r>
        <w:t xml:space="preserve"> </w:t>
      </w:r>
      <w:r>
        <w:t xml:space="preserve">patients</w:t>
      </w:r>
      <w:r>
        <w:t xml:space="preserve"> </w:t>
      </w:r>
      <w:r>
        <w:t xml:space="preserve">(8.8%)</w:t>
      </w:r>
      <w:r>
        <w:t xml:space="preserve"> </w:t>
      </w:r>
      <w:r>
        <w:t xml:space="preserve">in</w:t>
      </w:r>
      <w:r>
        <w:t xml:space="preserve"> </w:t>
      </w:r>
      <w:r>
        <w:t xml:space="preserve">the</w:t>
      </w:r>
      <w:r>
        <w:t xml:space="preserve"> </w:t>
      </w:r>
      <w:r>
        <w:t xml:space="preserve">placebo</w:t>
      </w:r>
      <w:r>
        <w:t xml:space="preserve"> </w:t>
      </w:r>
      <w:r>
        <w:t xml:space="preserve">group</w:t>
      </w:r>
      <w:r>
        <w:t xml:space="preserve"> </w:t>
      </w:r>
      <w:r>
        <w:t xml:space="preserve">(P=0.03).</w:t>
      </w:r>
    </w:p>
    <w:p>
      <w:pPr>
        <w:pStyle w:val="Abstract"/>
      </w:pPr>
      <w:r>
        <w:rPr>
          <w:bCs/>
          <w:b/>
        </w:rPr>
        <w:t xml:space="preserve">CONCLUSIONS</w:t>
      </w:r>
      <w:r>
        <w:t xml:space="preserve"> </w:t>
      </w:r>
      <w:r>
        <w:t xml:space="preserve">Among</w:t>
      </w:r>
      <w:r>
        <w:t xml:space="preserve"> </w:t>
      </w:r>
      <w:r>
        <w:t xml:space="preserve">patients</w:t>
      </w:r>
      <w:r>
        <w:t xml:space="preserve"> </w:t>
      </w:r>
      <w:r>
        <w:t xml:space="preserve">at</w:t>
      </w:r>
      <w:r>
        <w:t xml:space="preserve"> </w:t>
      </w:r>
      <w:r>
        <w:t xml:space="preserve">high</w:t>
      </w:r>
      <w:r>
        <w:t xml:space="preserve"> </w:t>
      </w:r>
      <w:r>
        <w:t xml:space="preserve">risk</w:t>
      </w:r>
      <w:r>
        <w:t xml:space="preserve"> </w:t>
      </w:r>
      <w:r>
        <w:t xml:space="preserve">for</w:t>
      </w:r>
      <w:r>
        <w:t xml:space="preserve"> </w:t>
      </w:r>
      <w:r>
        <w:t xml:space="preserve">post-ERCP</w:t>
      </w:r>
      <w:r>
        <w:t xml:space="preserve"> </w:t>
      </w:r>
      <w:r>
        <w:t xml:space="preserve">pancreatitis,</w:t>
      </w:r>
      <w:r>
        <w:t xml:space="preserve"> </w:t>
      </w:r>
      <w:r>
        <w:t xml:space="preserve">rectal</w:t>
      </w:r>
      <w:r>
        <w:t xml:space="preserve"> </w:t>
      </w:r>
      <w:r>
        <w:t xml:space="preserve">indomethacin</w:t>
      </w:r>
      <w:r>
        <w:t xml:space="preserve"> </w:t>
      </w:r>
      <w:r>
        <w:t xml:space="preserve">significantly</w:t>
      </w:r>
      <w:r>
        <w:t xml:space="preserve"> </w:t>
      </w:r>
      <w:r>
        <w:t xml:space="preserve">reduced</w:t>
      </w:r>
      <w:r>
        <w:t xml:space="preserve"> </w:t>
      </w:r>
      <w:r>
        <w:t xml:space="preserve">the</w:t>
      </w:r>
      <w:r>
        <w:t xml:space="preserve"> </w:t>
      </w:r>
      <w:r>
        <w:t xml:space="preserve">incidence</w:t>
      </w:r>
      <w:r>
        <w:t xml:space="preserve"> </w:t>
      </w:r>
      <w:r>
        <w:t xml:space="preserve">of</w:t>
      </w:r>
      <w:r>
        <w:t xml:space="preserve"> </w:t>
      </w:r>
      <w:r>
        <w:t xml:space="preserve">the</w:t>
      </w:r>
      <w:r>
        <w:t xml:space="preserve"> </w:t>
      </w:r>
      <w:r>
        <w:t xml:space="preserve">condition.</w:t>
      </w:r>
      <w:r>
        <w:t xml:space="preserve"> </w:t>
      </w:r>
      <w:r>
        <w:t xml:space="preserve">(Funded</w:t>
      </w:r>
      <w:r>
        <w:t xml:space="preserve"> </w:t>
      </w:r>
      <w:r>
        <w:t xml:space="preserve">by</w:t>
      </w:r>
      <w:r>
        <w:t xml:space="preserve"> </w:t>
      </w:r>
      <w:r>
        <w:t xml:space="preserve">the</w:t>
      </w:r>
      <w:r>
        <w:t xml:space="preserve"> </w:t>
      </w:r>
      <w:r>
        <w:t xml:space="preserve">National</w:t>
      </w:r>
      <w:r>
        <w:t xml:space="preserve"> </w:t>
      </w:r>
      <w:r>
        <w:t xml:space="preserve">Institutes</w:t>
      </w:r>
      <w:r>
        <w:t xml:space="preserve"> </w:t>
      </w:r>
      <w:r>
        <w:t xml:space="preserve">of</w:t>
      </w:r>
      <w:r>
        <w:t xml:space="preserve"> </w:t>
      </w:r>
      <w:r>
        <w:t xml:space="preserve">Health;</w:t>
      </w:r>
      <w:r>
        <w:t xml:space="preserve"> </w:t>
      </w:r>
      <w:r>
        <w:t xml:space="preserve">ClinicalTrials.gov</w:t>
      </w:r>
      <w:r>
        <w:t xml:space="preserve"> </w:t>
      </w:r>
      <w:r>
        <w:t xml:space="preserve">number,</w:t>
      </w:r>
      <w:r>
        <w:t xml:space="preserve"> </w:t>
      </w:r>
      <w:r>
        <w:t xml:space="preserve">NCT00820612.</w:t>
      </w:r>
      <w:r>
        <w:t xml:space="preserve"> </w:t>
      </w:r>
      <w:r>
        <w:t xml:space="preserve">opens</w:t>
      </w:r>
      <w:r>
        <w:t xml:space="preserve"> </w:t>
      </w:r>
      <w:r>
        <w:t xml:space="preserve">in</w:t>
      </w:r>
      <w:r>
        <w:t xml:space="preserve"> </w:t>
      </w:r>
      <w:r>
        <w:t xml:space="preserve">new</w:t>
      </w:r>
      <w:r>
        <w:t xml:space="preserve"> </w:t>
      </w:r>
      <w:r>
        <w:t xml:space="preserve">tab.)</w:t>
      </w:r>
    </w:p>
    <w:bookmarkStart w:id="20" w:name="section"/>
    <w:p>
      <w:pPr>
        <w:pStyle w:val="Heading2"/>
      </w:pPr>
      <w:r>
        <w:t xml:space="preserve">Section</w:t>
      </w:r>
    </w:p>
    <w:p>
      <w:pPr>
        <w:pStyle w:val="FirstParagraph"/>
      </w:pPr>
      <w:r>
        <w:t xml:space="preserve">This is a simple placeholder for the manuscript’s main document</w:t>
      </w:r>
      <w:r>
        <w:t xml:space="preserve"> </w:t>
      </w:r>
      <w:r>
        <w:t xml:space="preserve">(Knuth 1984)</w:t>
      </w:r>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p>
      <w:pPr>
        <w:pStyle w:val="SourceCode"/>
      </w:pPr>
      <w:r>
        <w:rPr>
          <w:rStyle w:val="FunctionTok"/>
        </w:rPr>
        <w:t xml:space="preserve">library</w:t>
      </w:r>
      <w:r>
        <w:rPr>
          <w:rStyle w:val="NormalTok"/>
        </w:rPr>
        <w:t xml:space="preserve">(ggplot2)</w:t>
      </w:r>
    </w:p>
    <w:p>
      <w:pPr>
        <w:pStyle w:val="FirstParagraph"/>
      </w:pPr>
      <w:r>
        <w:t xml:space="preserve">Let’s cite here</w:t>
      </w:r>
      <w:r>
        <w:t xml:space="preserve"> </w:t>
      </w:r>
      <w:r>
        <w:t xml:space="preserve">(De Bruin 2020)</w:t>
      </w:r>
      <w:r>
        <w:t xml:space="preserve">.</w:t>
      </w:r>
    </w:p>
    <w:bookmarkEnd w:id="20"/>
    <w:bookmarkStart w:id="26" w:name="references"/>
    <w:p>
      <w:pPr>
        <w:pStyle w:val="Heading2"/>
      </w:pPr>
      <w:r>
        <w:t xml:space="preserve">References</w:t>
      </w:r>
    </w:p>
    <w:bookmarkStart w:id="25" w:name="refs"/>
    <w:bookmarkStart w:id="22" w:name="ref-debruin2020"/>
    <w:p>
      <w:pPr>
        <w:pStyle w:val="Bibliography"/>
      </w:pPr>
      <w:r>
        <w:t xml:space="preserve">De Bruin, Erica. 2020.</w:t>
      </w:r>
      <w:r>
        <w:t xml:space="preserve"> </w:t>
      </w:r>
      <w:r>
        <w:t xml:space="preserve">“Preventing Coups d</w:t>
      </w:r>
      <w:r>
        <w:t xml:space="preserve">’</w:t>
      </w:r>
      <w:r>
        <w:t xml:space="preserve">état.”</w:t>
      </w:r>
      <w:r>
        <w:t xml:space="preserve"> </w:t>
      </w:r>
      <w:r>
        <w:t xml:space="preserve">In, 1–12. Cornell University Press.</w:t>
      </w:r>
      <w:r>
        <w:t xml:space="preserve"> </w:t>
      </w:r>
      <w:hyperlink r:id="rId21">
        <w:r>
          <w:rPr>
            <w:rStyle w:val="Hyperlink"/>
          </w:rPr>
          <w:t xml:space="preserve">https://doi.org/10.7591/cornell/9781501751912.003.0001</w:t>
        </w:r>
      </w:hyperlink>
      <w:r>
        <w:t xml:space="preserve">.</w:t>
      </w:r>
    </w:p>
    <w:bookmarkEnd w:id="22"/>
    <w:bookmarkStart w:id="24" w:name="ref-knuth1984"/>
    <w:p>
      <w:pPr>
        <w:pStyle w:val="Bibliography"/>
      </w:pPr>
      <w:r>
        <w:t xml:space="preserve">Knuth, D. E. 1984.</w:t>
      </w:r>
      <w:r>
        <w:t xml:space="preserve"> </w:t>
      </w:r>
      <w:r>
        <w:t xml:space="preserve">“Literate Programming.”</w:t>
      </w:r>
      <w:r>
        <w:t xml:space="preserve"> </w:t>
      </w:r>
      <w:r>
        <w:rPr>
          <w:iCs/>
          <w:i/>
        </w:rPr>
        <w:t xml:space="preserve">The Computer Journal</w:t>
      </w:r>
      <w:r>
        <w:t xml:space="preserve"> </w:t>
      </w:r>
      <w:r>
        <w:t xml:space="preserve">27 (2): 97–111.</w:t>
      </w:r>
      <w:r>
        <w:t xml:space="preserve"> </w:t>
      </w:r>
      <w:hyperlink r:id="rId23">
        <w:r>
          <w:rPr>
            <w:rStyle w:val="Hyperlink"/>
          </w:rPr>
          <w:t xml:space="preserve">https://doi.org/10.1093/comjnl/27.2.97</w:t>
        </w:r>
      </w:hyperlink>
      <w:r>
        <w:t xml:space="preserve">.</w:t>
      </w:r>
    </w:p>
    <w:bookmarkEnd w:id="24"/>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_rels/footnotes.xml.rels><?xml version="1.0" encoding="UTF-8"?><Relationships xmlns="http://schemas.openxmlformats.org/package/2006/relationships"><Relationship Type="http://schemas.openxmlformats.org/officeDocument/2006/relationships/hyperlink" Id="rId23" Target="https://doi.org/10.1093/comjnl/27.2.97" TargetMode="External" /><Relationship Type="http://schemas.openxmlformats.org/officeDocument/2006/relationships/hyperlink" Id="rId21" Target="https://doi.org/10.7591/cornell/9781501751912.003.00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c:title>
  <dc:creator/>
  <cp:keywords/>
  <dcterms:created xsi:type="dcterms:W3CDTF">2024-04-18T17:05:18Z</dcterms:created>
  <dcterms:modified xsi:type="dcterms:W3CDTF">2024-04-18T17:05:18Z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Preliminary research suggests that rectally administered nonsteroidal antiinflammatory drugs may reduce the incidence of pancreatitis after endoscopic retrograde cholangiopancreatography (ERCP).METHODS In this multicenter, randomized, placebo-controlled, double-blind clinical trial, we assigned patients at elevated risk for post-ERCP pancreatitis to receive a single dose of rectal indomethacin or placebo immediately after ERCP. Patients were determined to be at high risk on the basis of validated patient- and procedure-related risk factors. The primary outcome was post-ERCP pancreatitis, which was defined as new upper abdominal pain, an elevation in pancreatic enzymes to at least three times the upper limit of the normal range 24 hours after the procedure, and hospitalization for at least 2 nights.RESULTS A total of 602 patients were enrolled and completed follow-up. The majority of patients (82%) had a clinical suspicion of sphincter of Oddi dysfunction. Post-ERCP pancreatitis developed in 27 of 295 patients (9.2%) in the indomethacin group and in 52 of 307 patients (16.9%) in the placebo group (P=0.005). Moderate-to-severe pancreatitis developed in 13 patients (4.4%) in the indomethacin group and in 27 patients (8.8%) in the placebo group (P=0.03).CONCLUSIONS Among patients at high risk for post-ERCP pancreatitis, rectal indomethacin significantly reduced the incidence of the condition. (Funded by the National Institutes of Health; ClinicalTrials.gov number, NCT00820612. opens in new tab.)</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2024-03-29</vt:lpwstr>
  </property>
  <property fmtid="{D5CDD505-2E9C-101B-9397-08002B2CF9AE}" pid="11" name="date-modified">
    <vt:lpwstr>2024-04-04</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other-links">
    <vt:lpwstr/>
  </property>
  <property fmtid="{D5CDD505-2E9C-101B-9397-08002B2CF9AE}" pid="19" name="toc-title">
    <vt:lpwstr>Table of contents</vt:lpwstr>
  </property>
</Properties>
</file>