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Cameron (1998)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60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0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0"/>
    <w:bookmarkStart w:id="42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1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1"/>
    <w:bookmarkStart w:id="32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2"/>
    <w:bookmarkStart w:id="37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3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3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4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4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5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6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6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7"/>
    <w:bookmarkStart w:id="41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8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9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39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0"/>
        </w:tc>
      </w:tr>
    </w:tbl>
    <w:bookmarkEnd w:id="41"/>
    <w:bookmarkEnd w:id="42"/>
    <w:bookmarkStart w:id="49" w:name="research-design"/>
    <w:p>
      <w:pPr>
        <w:pStyle w:val="Heading3"/>
      </w:pPr>
      <w:r>
        <w:t xml:space="preserve">Research Design</w:t>
      </w:r>
    </w:p>
    <w:bookmarkStart w:id="47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3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3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4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4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5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5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6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6"/>
    </w:p>
    <w:bookmarkEnd w:id="47"/>
    <w:bookmarkStart w:id="48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r>
        <w:rPr>
          <w:bCs/>
          <w:b/>
        </w:rPr>
        <w:t xml:space="preserve">?@tbl-coups</w:t>
      </w:r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2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48"/>
    <w:bookmarkEnd w:id="49"/>
    <w:bookmarkStart w:id="58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offers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(Table</w:t>
      </w:r>
      <w:r>
        <w:t xml:space="preserve"> </w:t>
      </w:r>
      <w:r>
        <w:t xml:space="preserve">). Models 1 and 2 use the</w:t>
      </w:r>
      <w:r>
        <w:t xml:space="preserve"> </w:t>
      </w:r>
      <w:r>
        <w:t xml:space="preserve">numbers of previous coups</w:t>
      </w:r>
    </w:p>
    <w:p>
      <w:r>
        <w:br w:type="page"/>
      </w:r>
    </w:p>
    <w:bookmarkStart w:id="51" w:name="the-selection-model-coup-attempts"/>
    <w:p>
      <w:pPr>
        <w:pStyle w:val="Heading4"/>
      </w:pPr>
      <w:r>
        <w:t xml:space="preserve">The Selection Model: Coup Attempts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0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Average marginal effects of coup attempts (Selection Model)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80.620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0"/>
        </w:tc>
      </w:tr>
    </w:tbl>
    <w:p>
      <w:pPr>
        <w:pStyle w:val="BodyText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Using a</w:t>
      </w:r>
      <w:r>
        <w:t xml:space="preserve"> </w:t>
      </w:r>
      <w:r>
        <w:t xml:space="preserve">marginal effect package</w:t>
      </w:r>
      <w:r>
        <w:t xml:space="preserve"> </w:t>
      </w:r>
      <w:r>
        <w:t xml:space="preserve">(Arel-Bundock, Greifer, and Heiss NaN)</w:t>
      </w:r>
      <w:r>
        <w:t xml:space="preserve">, as shown in</w:t>
      </w:r>
      <w:r>
        <w:t xml:space="preserve"> </w:t>
      </w:r>
      <w:hyperlink w:anchor="tbl-mfx1">
        <w:r>
          <w:rPr>
            <w:rStyle w:val="Hyperlink"/>
          </w:rPr>
          <w:t xml:space="preserve">Table 3</w:t>
        </w:r>
      </w:hyperlink>
      <w:r>
        <w:t xml:space="preserve">, the</w:t>
      </w:r>
      <w:r>
        <w:t xml:space="preserve"> </w:t>
      </w:r>
      <w:r>
        <w:t xml:space="preserve">probability of coup attempts in military regimes is, on average, 7 percentage</w:t>
      </w:r>
      <w:r>
        <w:t xml:space="preserve"> </w:t>
      </w:r>
      <w:r>
        <w:t xml:space="preserve">points (pp) higher than in dominant-party regimes, while personalist regimes are</w:t>
      </w:r>
      <w:r>
        <w:t xml:space="preserve"> </w:t>
      </w:r>
      <w:r>
        <w:t xml:space="preserve">2.4 pp higher, holding other factors constant. Monarch regimes also display a</w:t>
      </w:r>
      <w:r>
        <w:t xml:space="preserve"> </w:t>
      </w:r>
      <w:r>
        <w:t xml:space="preserve">positive effect similar to personalist regimes, reflecting the fact that</w:t>
      </w:r>
      <w:r>
        <w:t xml:space="preserve"> </w:t>
      </w:r>
      <w:r>
        <w:t xml:space="preserve">monarchies are a subset of personalist regimes with royal titles.</w:t>
      </w:r>
    </w:p>
    <w:p>
      <w:pPr>
        <w:pStyle w:val="BodyText"/>
      </w:pPr>
      <w:r>
        <w:t xml:space="preserve">While a 7 pp increase might initially seem modest, it is substantial in context.</w:t>
      </w:r>
      <w:r>
        <w:t xml:space="preserve"> </w:t>
      </w:r>
      <w:r>
        <w:t xml:space="preserve">The average probability of a coup attempt in dominant-party regimes is only about</w:t>
      </w:r>
      <w:r>
        <w:t xml:space="preserve"> </w:t>
      </w:r>
      <w:r>
        <w:t xml:space="preserve">2.53%. A 7 pp increase means that military regimes are approximately 2.8 times</w:t>
      </w:r>
      <w:r>
        <w:t xml:space="preserve"> </w:t>
      </w:r>
      <w:r>
        <w:t xml:space="preserve">more likely to encounter coups than dominant-party regimes, which represents a</w:t>
      </w:r>
      <w:r>
        <w:t xml:space="preserve"> </w:t>
      </w:r>
      <w:r>
        <w:t xml:space="preserve">significant change.</w:t>
      </w:r>
    </w:p>
    <w:p>
      <w:pPr>
        <w:pStyle w:val="BodyText"/>
      </w:pPr>
      <w:r>
        <w:t xml:space="preserve">The results aligns with theoretical expectations regarding the internal power</w:t>
      </w:r>
      <w:r>
        <w:t xml:space="preserve"> </w:t>
      </w:r>
      <w:r>
        <w:t xml:space="preserve">struggles within military juntas and the succession vulnerabilities in</w:t>
      </w:r>
      <w:r>
        <w:t xml:space="preserve"> </w:t>
      </w:r>
      <w:r>
        <w:t xml:space="preserve">personalist regimes, underscoring the importance of regime structure in</w:t>
      </w:r>
      <w:r>
        <w:t xml:space="preserve"> </w:t>
      </w:r>
      <w:r>
        <w:t xml:space="preserve">understanding coup likelihood.</w:t>
      </w:r>
    </w:p>
    <w:p>
      <w:pPr>
        <w:pStyle w:val="BodyText"/>
      </w:pPr>
      <w:r>
        <w:t xml:space="preserve">Control variables also show effects in the expected directions. Stronger economic</w:t>
      </w:r>
      <w:r>
        <w:t xml:space="preserve"> </w:t>
      </w:r>
      <w:r>
        <w:t xml:space="preserve">performance, as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performance and relatively higher living standards diminish the</w:t>
      </w:r>
      <w:r>
        <w:t xml:space="preserve"> </w:t>
      </w:r>
      <w:r>
        <w:t xml:space="preserve">incentives for coups. Political violence has a positive and significant effect on</w:t>
      </w:r>
      <w:r>
        <w:t xml:space="preserve"> </w:t>
      </w:r>
      <w:r>
        <w:t xml:space="preserve">coup attempts, indicating that higher levels of instability increase the</w:t>
      </w:r>
      <w:r>
        <w:t xml:space="preserve"> </w:t>
      </w:r>
      <w:r>
        <w:t xml:space="preserve">likelihood of coups. The positive coefficient for the number of previous coups</w:t>
      </w:r>
      <w:r>
        <w:t xml:space="preserve"> </w:t>
      </w:r>
      <w:r>
        <w:t xml:space="preserve">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examples. However, the control variables</w:t>
      </w:r>
      <w:r>
        <w:t xml:space="preserve"> </w:t>
      </w:r>
      <w:r>
        <w:t xml:space="preserve">are less substantial in predicting coup attempts, as the average marginal effect</w:t>
      </w:r>
      <w:r>
        <w:t xml:space="preserve"> </w:t>
      </w:r>
      <w:r>
        <w:t xml:space="preserve">shown, a one-unit increase in these factors’ value results in only 0.2 pp change</w:t>
      </w:r>
      <w:r>
        <w:t xml:space="preserve"> </w:t>
      </w:r>
      <w:r>
        <w:t xml:space="preserve">in coup probability, ceteris paribus. As the average probability of coup attempt</w:t>
      </w:r>
      <w:r>
        <w:t xml:space="preserve"> </w:t>
      </w:r>
      <w:r>
        <w:t xml:space="preserve">is about 2%, 0.2 pp change means the average marginal effects is only 10% change,</w:t>
      </w:r>
      <w:r>
        <w:t xml:space="preserve"> </w:t>
      </w:r>
      <w:r>
        <w:t xml:space="preserve">which is not substantial.</w:t>
      </w:r>
    </w:p>
    <w:p>
      <w:pPr>
        <w:pStyle w:val="BodyText"/>
      </w:pPr>
      <w:r>
        <w:t xml:space="preserve">Control variables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p>
      <w:pPr>
        <w:pStyle w:val="BodyText"/>
      </w:pPr>
      <w:r>
        <w:t xml:space="preserve">However, these control variables have less substantial impacts in predicting coup</w:t>
      </w:r>
      <w:r>
        <w:t xml:space="preserve"> </w:t>
      </w:r>
      <w:r>
        <w:t xml:space="preserve">attempts. As shown by the average marginal effects (AME), a one-unit increase in</w:t>
      </w:r>
      <w:r>
        <w:t xml:space="preserve"> </w:t>
      </w:r>
      <w:r>
        <w:t xml:space="preserve">these factors’ values results in only a 0.2 pp change in coup probability,</w:t>
      </w:r>
      <w:r>
        <w:t xml:space="preserve"> </w:t>
      </w:r>
      <w:r>
        <w:t xml:space="preserve">ceteris paribus. Given that the average probability of a coup attempt is</w:t>
      </w:r>
      <w:r>
        <w:t xml:space="preserve"> </w:t>
      </w:r>
      <w:r>
        <w:t xml:space="preserve">approximately 2%, a 0.2 pp change represents only a 10% relative change, which is</w:t>
      </w:r>
      <w:r>
        <w:t xml:space="preserve"> </w:t>
      </w:r>
      <w:r>
        <w:t xml:space="preserve">not substantial.</w:t>
      </w:r>
    </w:p>
    <w:bookmarkEnd w:id="51"/>
    <w:bookmarkStart w:id="56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 2 in Table</w:t>
      </w:r>
      <w:r>
        <w:t xml:space="preserve"> </w:t>
      </w:r>
      <w:r>
        <w:t xml:space="preserve">) reveals determinants of coup</w:t>
      </w:r>
      <w:r>
        <w:t xml:space="preserve"> </w:t>
      </w:r>
      <w:r>
        <w:t xml:space="preserve">success. Military regimes have a higher probability of coup success compared to</w:t>
      </w:r>
      <w:r>
        <w:t xml:space="preserve"> </w:t>
      </w:r>
      <w:r>
        <w:t xml:space="preserve">dominant-party regimes, meeting expectations that military regimes face higher</w:t>
      </w:r>
      <w:r>
        <w:t xml:space="preserve"> </w:t>
      </w:r>
      <w:r>
        <w:t xml:space="preserve">coup risks due to their better chances of success. Personalist and monarch</w:t>
      </w:r>
      <w:r>
        <w:t xml:space="preserve"> </w:t>
      </w:r>
      <w:r>
        <w:t xml:space="preserve">regimes show a slight positive effect on coup success, but these are not</w:t>
      </w:r>
      <w:r>
        <w:t xml:space="preserve"> </w:t>
      </w:r>
      <w:r>
        <w:t xml:space="preserve">statistically significant.</w:t>
      </w:r>
    </w:p>
    <w:p>
      <w:pPr>
        <w:pStyle w:val="BodyText"/>
      </w:pPr>
      <w:r>
        <w:t xml:space="preserve">Control variables exhibit different effects in the outcome model. Both GDP per</w:t>
      </w:r>
      <w:r>
        <w:t xml:space="preserve"> </w:t>
      </w:r>
      <w:r>
        <w:t xml:space="preserve">capita and political violence maintain a weak influence similar to the selection</w:t>
      </w:r>
      <w:r>
        <w:t xml:space="preserve"> </w:t>
      </w:r>
      <w:r>
        <w:t xml:space="preserve">model, while the economic trend shows a less significant negative effect.</w:t>
      </w:r>
    </w:p>
    <w:p>
      <w:pPr>
        <w:pStyle w:val="BodyText"/>
      </w:pPr>
      <w:r>
        <w:t xml:space="preserve">These results indicate that regime type remains a significant determinant of coup</w:t>
      </w:r>
      <w:r>
        <w:t xml:space="preserve"> </w:t>
      </w:r>
      <w:r>
        <w:t xml:space="preserve">attempts and successes, even after controlling for other factors, strongly</w:t>
      </w:r>
      <w:r>
        <w:t xml:space="preserve"> </w:t>
      </w:r>
      <w:r>
        <w:t xml:space="preserve">supporting the theoretical framework.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5" w:name="fig-margins"/>
          <w:p>
            <w:pPr>
              <w:pStyle w:val="Compact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margins-1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Probability of Coup Attempts + Coup Success</w:t>
            </w:r>
          </w:p>
          <w:bookmarkEnd w:id="55"/>
        </w:tc>
      </w:tr>
    </w:tbl>
    <w:bookmarkEnd w:id="56"/>
    <w:bookmarkStart w:id="57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of 0.898, which is highly significant (p &lt; 0.01), is a crucial</w:t>
      </w:r>
      <w:r>
        <w:t xml:space="preserve"> </w:t>
      </w:r>
      <w:r>
        <w:t xml:space="preserve">parameter in the sample selection model. This value represents the correlation</w:t>
      </w:r>
      <w:r>
        <w:t xml:space="preserve"> </w:t>
      </w:r>
      <w:r>
        <w:t xml:space="preserve">between the error terms of the selection equation (coup attempts) and the outcome</w:t>
      </w:r>
      <w:r>
        <w:t xml:space="preserve"> </w:t>
      </w:r>
      <w:r>
        <w:t xml:space="preserve">equation (coup outcomes). A high and 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</w:t>
      </w:r>
      <w:r>
        <w:t xml:space="preserve"> </w:t>
      </w:r>
      <w:r>
        <w:t xml:space="preserve">factors influencing the likelihood of a coup attempt are strongly correlated with</w:t>
      </w:r>
      <w:r>
        <w:t xml:space="preserve"> </w:t>
      </w:r>
      <w:r>
        <w:t xml:space="preserve">those influencing the likelihood of a successful coup. In practical terms, this</w:t>
      </w:r>
      <w:r>
        <w:t xml:space="preserve"> </w:t>
      </w:r>
      <w:r>
        <w:t xml:space="preserve">means that the selection model is appropriate and that accounting for the</w:t>
      </w:r>
      <w:r>
        <w:t xml:space="preserve"> </w:t>
      </w:r>
      <w:r>
        <w:t xml:space="preserve">selection bias (i.e., the fact that only coups with high chances of success will</w:t>
      </w:r>
      <w:r>
        <w:t xml:space="preserve"> </w:t>
      </w:r>
      <w:r>
        <w:t xml:space="preserve">be attempted) is critical to obtaining 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indicates that the same underlying conditions that lead to a coup attempt also</w:t>
      </w:r>
      <w:r>
        <w:t xml:space="preserve"> </w:t>
      </w:r>
      <w:r>
        <w:t xml:space="preserve">affect the success of the coup, underscoring the importance of considering both</w:t>
      </w:r>
      <w:r>
        <w:t xml:space="preserve"> </w:t>
      </w:r>
      <w:r>
        <w:t xml:space="preserve">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7"/>
    <w:bookmarkEnd w:id="58"/>
    <w:bookmarkStart w:id="59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9"/>
    <w:bookmarkEnd w:id="60"/>
    <w:bookmarkStart w:id="61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End w:id="61"/>
    <w:bookmarkStart w:id="62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62"/>
    <w:bookmarkStart w:id="123" w:name="conclusion-1"/>
    <w:p>
      <w:pPr>
        <w:pStyle w:val="Heading2"/>
      </w:pPr>
      <w:r>
        <w:t xml:space="preserve">Conclusion</w:t>
      </w:r>
    </w:p>
    <w:bookmarkStart w:id="63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63"/>
    <w:bookmarkStart w:id="68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2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7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Comparison of the number of democratic and non-democratic countries (1945-2020)</w:t>
            </w:r>
          </w:p>
          <w:bookmarkEnd w:id="67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68"/>
    <w:bookmarkStart w:id="122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121" w:name="refs"/>
    <w:bookmarkStart w:id="70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69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70"/>
    <w:bookmarkStart w:id="71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71"/>
    <w:bookmarkStart w:id="73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72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73"/>
    <w:bookmarkStart w:id="75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74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75"/>
    <w:bookmarkStart w:id="77" w:name="ref-cameron1998a"/>
    <w:p>
      <w:pPr>
        <w:pStyle w:val="Bibliography"/>
      </w:pPr>
      <w:r>
        <w:t xml:space="preserve">Cameron, Maxwell A. 1998.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76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77"/>
    <w:bookmarkStart w:id="79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78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79"/>
    <w:bookmarkStart w:id="80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80"/>
    <w:bookmarkStart w:id="82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81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82"/>
    <w:bookmarkStart w:id="84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83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84"/>
    <w:bookmarkStart w:id="86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85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86"/>
    <w:bookmarkStart w:id="88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87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88"/>
    <w:bookmarkStart w:id="90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89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90"/>
    <w:bookmarkStart w:id="92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91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92"/>
    <w:bookmarkStart w:id="94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93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94"/>
    <w:bookmarkStart w:id="95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95"/>
    <w:bookmarkStart w:id="97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96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97"/>
    <w:bookmarkStart w:id="99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98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99"/>
    <w:bookmarkStart w:id="100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100"/>
    <w:bookmarkStart w:id="102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101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02"/>
    <w:bookmarkStart w:id="104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03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04"/>
    <w:bookmarkStart w:id="106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05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06"/>
    <w:bookmarkStart w:id="108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07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08"/>
    <w:bookmarkStart w:id="110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09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10"/>
    <w:bookmarkStart w:id="112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11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12"/>
    <w:bookmarkStart w:id="11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1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14"/>
    <w:bookmarkStart w:id="116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15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16"/>
    <w:bookmarkStart w:id="118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117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118"/>
    <w:bookmarkStart w:id="120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119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120"/>
    <w:bookmarkEnd w:id="121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52" Target="media/rId52.png" /><Relationship Type="http://schemas.openxmlformats.org/officeDocument/2006/relationships/hyperlink" Id="rId98" Target="https://doi.org/10.1007/s11127-013-0124-4" TargetMode="External" /><Relationship Type="http://schemas.openxmlformats.org/officeDocument/2006/relationships/hyperlink" Id="rId85" Target="https://doi.org/10.1007/s11127-016-0365-0" TargetMode="External" /><Relationship Type="http://schemas.openxmlformats.org/officeDocument/2006/relationships/hyperlink" Id="rId111" Target="https://doi.org/10.1017/s0043887111000049" TargetMode="External" /><Relationship Type="http://schemas.openxmlformats.org/officeDocument/2006/relationships/hyperlink" Id="rId89" Target="https://doi.org/10.1017/s1537592714000851" TargetMode="External" /><Relationship Type="http://schemas.openxmlformats.org/officeDocument/2006/relationships/hyperlink" Id="rId76" Target="https://doi.org/10.1080/01436599814433" TargetMode="External" /><Relationship Type="http://schemas.openxmlformats.org/officeDocument/2006/relationships/hyperlink" Id="rId109" Target="https://doi.org/10.1080/13510347.2018.1450389" TargetMode="External" /><Relationship Type="http://schemas.openxmlformats.org/officeDocument/2006/relationships/hyperlink" Id="rId117" Target="https://doi.org/10.1093/acrefore/9780190846626.013.369" TargetMode="External" /><Relationship Type="http://schemas.openxmlformats.org/officeDocument/2006/relationships/hyperlink" Id="rId78" Target="https://doi.org/10.1093/isq/sqab058" TargetMode="External" /><Relationship Type="http://schemas.openxmlformats.org/officeDocument/2006/relationships/hyperlink" Id="rId96" Target="https://doi.org/10.1093/isq/sqz006" TargetMode="External" /><Relationship Type="http://schemas.openxmlformats.org/officeDocument/2006/relationships/hyperlink" Id="rId91" Target="https://doi.org/10.1093/oso/9780198837404.003.0003" TargetMode="External" /><Relationship Type="http://schemas.openxmlformats.org/officeDocument/2006/relationships/hyperlink" Id="rId69" Target="https://doi.org/10.1093/oxfordhb/9780190469771.013.15" TargetMode="External" /><Relationship Type="http://schemas.openxmlformats.org/officeDocument/2006/relationships/hyperlink" Id="rId87" Target="https://doi.org/10.1146/annurev.polisci.2.1.115" TargetMode="External" /><Relationship Type="http://schemas.openxmlformats.org/officeDocument/2006/relationships/hyperlink" Id="rId115" Target="https://doi.org/10.1177/0010414016688004" TargetMode="External" /><Relationship Type="http://schemas.openxmlformats.org/officeDocument/2006/relationships/hyperlink" Id="rId105" Target="https://doi.org/10.1177/0022002712445732" TargetMode="External" /><Relationship Type="http://schemas.openxmlformats.org/officeDocument/2006/relationships/hyperlink" Id="rId81" Target="https://doi.org/10.1177/00220027211054432" TargetMode="External" /><Relationship Type="http://schemas.openxmlformats.org/officeDocument/2006/relationships/hyperlink" Id="rId93" Target="https://doi.org/10.1177/0022343308100719" TargetMode="External" /><Relationship Type="http://schemas.openxmlformats.org/officeDocument/2006/relationships/hyperlink" Id="rId107" Target="https://doi.org/10.1177/0022343310397436" TargetMode="External" /><Relationship Type="http://schemas.openxmlformats.org/officeDocument/2006/relationships/hyperlink" Id="rId72" Target="https://doi.org/10.1177/00223433221075183" TargetMode="External" /><Relationship Type="http://schemas.openxmlformats.org/officeDocument/2006/relationships/hyperlink" Id="rId103" Target="https://doi.org/10.13012/B2IDB-9651987_V7" TargetMode="External" /><Relationship Type="http://schemas.openxmlformats.org/officeDocument/2006/relationships/hyperlink" Id="rId113" Target="https://doi.org/10.1353/book.31450" TargetMode="External" /><Relationship Type="http://schemas.openxmlformats.org/officeDocument/2006/relationships/hyperlink" Id="rId74" Target="https://doi.org/10.1353/jod.2016.0012" TargetMode="External" /><Relationship Type="http://schemas.openxmlformats.org/officeDocument/2006/relationships/hyperlink" Id="rId101" Target="https://doi.org/10.1353/jod.2017.0075" TargetMode="External" /><Relationship Type="http://schemas.openxmlformats.org/officeDocument/2006/relationships/hyperlink" Id="rId83" Target="https://freedomhouse.org/sites/default/files/2024-02/FIW_2024_DigitalBooklet.pdf" TargetMode="External" /><Relationship Type="http://schemas.openxmlformats.org/officeDocument/2006/relationships/hyperlink" Id="rId119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s://doi.org/10.1007/s11127-013-0124-4" TargetMode="External" /><Relationship Type="http://schemas.openxmlformats.org/officeDocument/2006/relationships/hyperlink" Id="rId85" Target="https://doi.org/10.1007/s11127-016-0365-0" TargetMode="External" /><Relationship Type="http://schemas.openxmlformats.org/officeDocument/2006/relationships/hyperlink" Id="rId111" Target="https://doi.org/10.1017/s0043887111000049" TargetMode="External" /><Relationship Type="http://schemas.openxmlformats.org/officeDocument/2006/relationships/hyperlink" Id="rId89" Target="https://doi.org/10.1017/s1537592714000851" TargetMode="External" /><Relationship Type="http://schemas.openxmlformats.org/officeDocument/2006/relationships/hyperlink" Id="rId76" Target="https://doi.org/10.1080/01436599814433" TargetMode="External" /><Relationship Type="http://schemas.openxmlformats.org/officeDocument/2006/relationships/hyperlink" Id="rId109" Target="https://doi.org/10.1080/13510347.2018.1450389" TargetMode="External" /><Relationship Type="http://schemas.openxmlformats.org/officeDocument/2006/relationships/hyperlink" Id="rId117" Target="https://doi.org/10.1093/acrefore/9780190846626.013.369" TargetMode="External" /><Relationship Type="http://schemas.openxmlformats.org/officeDocument/2006/relationships/hyperlink" Id="rId78" Target="https://doi.org/10.1093/isq/sqab058" TargetMode="External" /><Relationship Type="http://schemas.openxmlformats.org/officeDocument/2006/relationships/hyperlink" Id="rId96" Target="https://doi.org/10.1093/isq/sqz006" TargetMode="External" /><Relationship Type="http://schemas.openxmlformats.org/officeDocument/2006/relationships/hyperlink" Id="rId91" Target="https://doi.org/10.1093/oso/9780198837404.003.0003" TargetMode="External" /><Relationship Type="http://schemas.openxmlformats.org/officeDocument/2006/relationships/hyperlink" Id="rId69" Target="https://doi.org/10.1093/oxfordhb/9780190469771.013.15" TargetMode="External" /><Relationship Type="http://schemas.openxmlformats.org/officeDocument/2006/relationships/hyperlink" Id="rId87" Target="https://doi.org/10.1146/annurev.polisci.2.1.115" TargetMode="External" /><Relationship Type="http://schemas.openxmlformats.org/officeDocument/2006/relationships/hyperlink" Id="rId115" Target="https://doi.org/10.1177/0010414016688004" TargetMode="External" /><Relationship Type="http://schemas.openxmlformats.org/officeDocument/2006/relationships/hyperlink" Id="rId105" Target="https://doi.org/10.1177/0022002712445732" TargetMode="External" /><Relationship Type="http://schemas.openxmlformats.org/officeDocument/2006/relationships/hyperlink" Id="rId81" Target="https://doi.org/10.1177/00220027211054432" TargetMode="External" /><Relationship Type="http://schemas.openxmlformats.org/officeDocument/2006/relationships/hyperlink" Id="rId93" Target="https://doi.org/10.1177/0022343308100719" TargetMode="External" /><Relationship Type="http://schemas.openxmlformats.org/officeDocument/2006/relationships/hyperlink" Id="rId107" Target="https://doi.org/10.1177/0022343310397436" TargetMode="External" /><Relationship Type="http://schemas.openxmlformats.org/officeDocument/2006/relationships/hyperlink" Id="rId72" Target="https://doi.org/10.1177/00223433221075183" TargetMode="External" /><Relationship Type="http://schemas.openxmlformats.org/officeDocument/2006/relationships/hyperlink" Id="rId103" Target="https://doi.org/10.13012/B2IDB-9651987_V7" TargetMode="External" /><Relationship Type="http://schemas.openxmlformats.org/officeDocument/2006/relationships/hyperlink" Id="rId113" Target="https://doi.org/10.1353/book.31450" TargetMode="External" /><Relationship Type="http://schemas.openxmlformats.org/officeDocument/2006/relationships/hyperlink" Id="rId74" Target="https://doi.org/10.1353/jod.2016.0012" TargetMode="External" /><Relationship Type="http://schemas.openxmlformats.org/officeDocument/2006/relationships/hyperlink" Id="rId101" Target="https://doi.org/10.1353/jod.2017.0075" TargetMode="External" /><Relationship Type="http://schemas.openxmlformats.org/officeDocument/2006/relationships/hyperlink" Id="rId83" Target="https://freedomhouse.org/sites/default/files/2024-02/FIW_2024_DigitalBooklet.pdf" TargetMode="External" /><Relationship Type="http://schemas.openxmlformats.org/officeDocument/2006/relationships/hyperlink" Id="rId119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2024-07-20T22:41:19Z</dcterms:created>
  <dcterms:modified xsi:type="dcterms:W3CDTF">2024-07-20T22:41:19Z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