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59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9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bookmarkEnd w:id="42"/>
    <w:bookmarkEnd w:id="43"/>
    <w:bookmarkStart w:id="50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49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49"/>
    <w:bookmarkEnd w:id="50"/>
    <w:bookmarkStart w:id="57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(Table</w:t>
      </w:r>
      <w:r>
        <w:t xml:space="preserve"> </w:t>
      </w:r>
      <w:r>
        <w:t xml:space="preserve">). We present two models that</w:t>
      </w:r>
      <w:r>
        <w:t xml:space="preserve"> </w:t>
      </w:r>
      <w:r>
        <w:t xml:space="preserve">differ slightly in their treatment of previous coups: Model 1 incorporates the</w:t>
      </w:r>
      <w:r>
        <w:t xml:space="preserve"> </w:t>
      </w:r>
      <w:r>
        <w:t xml:space="preserve">number of previous coups, while Model 2 utilizes the time elapsed since the last</w:t>
      </w:r>
      <w:r>
        <w:t xml:space="preserve"> </w:t>
      </w:r>
      <w:r>
        <w:t xml:space="preserve">coup.</w:t>
      </w:r>
    </w:p>
    <w:p>
      <w:r>
        <w:br w:type="page"/>
      </w:r>
    </w:p>
    <w:bookmarkStart w:id="53" w:name="the-selection-model-coup-attempts"/>
    <w:p>
      <w:pPr>
        <w:pStyle w:val="Heading4"/>
      </w:pPr>
      <w:r>
        <w:t xml:space="preserve">The Selection Model: Coup Attempts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1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80.620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1"/>
        </w:tc>
      </w:tr>
    </w:tbl>
    <w:p>
      <w:pPr>
        <w:pStyle w:val="BodyText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Control</w:t>
      </w:r>
      <w:r>
        <w:t xml:space="preserve"> </w:t>
      </w:r>
      <w:r>
        <w:t xml:space="preserve">variables also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p>
      <w:pPr>
        <w:pStyle w:val="BodyText"/>
      </w:pPr>
      <w:r>
        <w:t xml:space="preserve">While interpreting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results directly is not intuitive,</w:t>
      </w:r>
      <w:r>
        <w:t xml:space="preserve"> </w:t>
      </w:r>
      <w:hyperlink w:anchor="tbl-mfx1">
        <w:r>
          <w:rPr>
            <w:rStyle w:val="Hyperlink"/>
          </w:rPr>
          <w:t xml:space="preserve">Table 4</w:t>
        </w:r>
      </w:hyperlink>
      <w:r>
        <w:t xml:space="preserve">,</w:t>
      </w:r>
      <w:r>
        <w:t xml:space="preserve"> </w:t>
      </w:r>
      <w:r>
        <w:t xml:space="preserve">generated using</w:t>
      </w:r>
      <w:r>
        <w:t xml:space="preserve"> </w:t>
      </w:r>
      <w:r>
        <w:rPr>
          <w:rStyle w:val="VerbatimChar"/>
        </w:rPr>
        <w:t xml:space="preserve">marginaleffects</w:t>
      </w:r>
      <w:r>
        <w:t xml:space="preserve"> </w:t>
      </w:r>
      <w:r>
        <w:t xml:space="preserve">package</w:t>
      </w:r>
      <w:r>
        <w:t xml:space="preserve"> </w:t>
      </w:r>
      <w:r>
        <w:t xml:space="preserve">(Arel-Bundock, Greifer, and Heiss NaN)</w:t>
      </w:r>
      <w:r>
        <w:t xml:space="preserve">, helps clarify the</w:t>
      </w:r>
      <w:r>
        <w:t xml:space="preserve"> </w:t>
      </w:r>
      <w:r>
        <w:t xml:space="preserve">regime effects. The Average Marginal Effect (AME) column shows changes in</w:t>
      </w:r>
      <w:r>
        <w:t xml:space="preserve"> </w:t>
      </w:r>
      <w:r>
        <w:t xml:space="preserve">probability when a variable increases by one unit (for numeric variables) or</w:t>
      </w:r>
      <w:r>
        <w:t xml:space="preserve"> </w:t>
      </w:r>
      <w:r>
        <w:t xml:space="preserve">compared to a reference category (for categorical variables). For instance, the</w:t>
      </w:r>
      <w:r>
        <w:t xml:space="preserve"> </w:t>
      </w:r>
      <w:r>
        <w:t xml:space="preserve">military regime’s marginal effect of 0.07 indicates that the probability of coup</w:t>
      </w:r>
      <w:r>
        <w:t xml:space="preserve"> </w:t>
      </w:r>
      <w:r>
        <w:t xml:space="preserve">attempts in military regimes is 7 percentage points (pp) higher than in</w:t>
      </w:r>
      <w:r>
        <w:t xml:space="preserve"> </w:t>
      </w:r>
      <w:r>
        <w:t xml:space="preserve">dominant-party regimes, ceteris paribus. For GDP per capita, the marginal effect</w:t>
      </w:r>
      <w:r>
        <w:t xml:space="preserve"> </w:t>
      </w:r>
      <w:r>
        <w:t xml:space="preserve">of -0.002 suggests that a $1000 increase reduces the probability of coup</w:t>
      </w:r>
      <w:r>
        <w:t xml:space="preserve"> </w:t>
      </w:r>
      <w:r>
        <w:t xml:space="preserve">attempts by 0.2 pp under average conditions.</w:t>
      </w:r>
    </w:p>
    <w:p>
      <w:pPr>
        <w:pStyle w:val="BodyText"/>
      </w:pPr>
      <w:r>
        <w:t xml:space="preserve">The Ratio column displays the relative change in percent. While a 7 pp increase</w:t>
      </w:r>
      <w:r>
        <w:t xml:space="preserve"> </w:t>
      </w:r>
      <w:r>
        <w:t xml:space="preserve">might seem modest, it is substantial in context. Given that the average</w:t>
      </w:r>
      <w:r>
        <w:t xml:space="preserve"> </w:t>
      </w:r>
      <w:r>
        <w:t xml:space="preserve">probability of a coup attempt in dominant-party regimes is approximately 2.53%,</w:t>
      </w:r>
      <w:r>
        <w:t xml:space="preserve"> </w:t>
      </w:r>
      <w:r>
        <w:t xml:space="preserve">the 7 pp increase means military regimes are about 277.7% more likely to</w:t>
      </w:r>
      <w:r>
        <w:t xml:space="preserve"> </w:t>
      </w:r>
      <w:r>
        <w:t xml:space="preserve">encounter coups than dominant-party regimes—a significant change. Similarly,</w:t>
      </w:r>
      <w:r>
        <w:t xml:space="preserve"> </w:t>
      </w:r>
      <w:r>
        <w:t xml:space="preserve">personalist regimes show a 2.4 pp higher probability, about 94% more likely</w:t>
      </w:r>
      <w:r>
        <w:t xml:space="preserve"> </w:t>
      </w:r>
      <w:r>
        <w:t xml:space="preserve">compared to dominant-party regimes. Monarchies display a positive effect similar</w:t>
      </w:r>
      <w:r>
        <w:t xml:space="preserve"> </w:t>
      </w:r>
      <w:r>
        <w:t xml:space="preserve">to personalist regimes, reflecting that monarchies are essentially a subset of</w:t>
      </w:r>
      <w:r>
        <w:t xml:space="preserve"> </w:t>
      </w:r>
      <w:r>
        <w:t xml:space="preserve">personalist regimes with royal titles.</w:t>
      </w:r>
    </w:p>
    <w:p>
      <w:pPr>
        <w:pStyle w:val="BodyText"/>
      </w:pPr>
      <w:r>
        <w:t xml:space="preserve">Control variables, however, show weak effects in predicting coup attempts. None</w:t>
      </w:r>
      <w:r>
        <w:t xml:space="preserve"> </w:t>
      </w:r>
      <w:r>
        <w:t xml:space="preserve">of their marginal effects reach 1 pp in probability, and all are less than 7% in</w:t>
      </w:r>
      <w:r>
        <w:t xml:space="preserve"> </w:t>
      </w:r>
      <w:r>
        <w:t xml:space="preserve">ratio. Given that the actual probability of a coup attempt is only 2% to 3%,</w:t>
      </w:r>
      <w:r>
        <w:t xml:space="preserve"> </w:t>
      </w:r>
      <w:r>
        <w:t xml:space="preserve">these small increases or decreases can be considered negligible.</w:t>
      </w:r>
    </w:p>
    <w:p>
      <w:pPr>
        <w:pStyle w:val="BodyText"/>
      </w:pPr>
      <w:r>
        <w:t xml:space="preserve">These results align with our theoretical expectations regarding internal power</w:t>
      </w:r>
      <w:r>
        <w:t xml:space="preserve"> </w:t>
      </w:r>
      <w:r>
        <w:t xml:space="preserve">struggles within military juntas and succession vulnerabilities in personalist</w:t>
      </w:r>
      <w:r>
        <w:t xml:space="preserve"> </w:t>
      </w:r>
      <w:r>
        <w:t xml:space="preserve">regimes, underscoring the importance of regime structure in understanding coup</w:t>
      </w:r>
      <w:r>
        <w:t xml:space="preserve"> </w:t>
      </w:r>
      <w:r>
        <w:t xml:space="preserve">likelihood.</w:t>
      </w:r>
    </w:p>
    <w:p>
      <w:pPr>
        <w:pStyle w:val="BodyText"/>
      </w:pPr>
      <w:r>
        <w:t xml:space="preserve">Model 2 employs years since the last coup instead of the number of previous</w:t>
      </w:r>
      <w:r>
        <w:t xml:space="preserve"> </w:t>
      </w:r>
      <w:r>
        <w:t xml:space="preserve">coups. Due to most countries not experiencing coups, an interaction term between</w:t>
      </w:r>
      <w:r>
        <w:t xml:space="preserve"> </w:t>
      </w:r>
      <w:r>
        <w:t xml:space="preserve">previous coups (as a binary variable indicating presence or absence of coups) and</w:t>
      </w:r>
      <w:r>
        <w:t xml:space="preserve"> </w:t>
      </w:r>
      <w:r>
        <w:t xml:space="preserve">years since the last coup is used. Generally, Model 2 shows results in the same</w:t>
      </w:r>
      <w:r>
        <w:t xml:space="preserve"> </w:t>
      </w:r>
      <w:r>
        <w:t xml:space="preserve">direction as Model 1, albeit with relatively lower coefficients (</w:t>
      </w:r>
      <w:hyperlink w:anchor="tbl-mfx2">
        <w:r>
          <w:rPr>
            <w:rStyle w:val="Hyperlink"/>
          </w:rPr>
          <w:t xml:space="preserve">Table 5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57.040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91.990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2"/>
        </w:tc>
      </w:tr>
    </w:tbl>
    <w:bookmarkEnd w:id="53"/>
    <w:bookmarkStart w:id="54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(Columns 2 and 4 in Table</w:t>
      </w:r>
      <w:r>
        <w:t xml:space="preserve"> </w:t>
      </w:r>
      <w:r>
        <w:t xml:space="preserve">) reveals determinants</w:t>
      </w:r>
      <w:r>
        <w:t xml:space="preserve"> </w:t>
      </w:r>
      <w:r>
        <w:t xml:space="preserve">of coup success. Military regimes demonstrate a higher probability of coup</w:t>
      </w:r>
      <w:r>
        <w:t xml:space="preserve"> </w:t>
      </w:r>
      <w:r>
        <w:t xml:space="preserve">success compared to dominant-party regimes, aligning with expectations that</w:t>
      </w:r>
      <w:r>
        <w:t xml:space="preserve"> </w:t>
      </w:r>
      <w:r>
        <w:t xml:space="preserve">military regimes face higher coup risks due to their increased chances of</w:t>
      </w:r>
      <w:r>
        <w:t xml:space="preserve"> </w:t>
      </w:r>
      <w:r>
        <w:t xml:space="preserve">success. Personalist and monarchical regimes show slight positive effects on coup</w:t>
      </w:r>
      <w:r>
        <w:t xml:space="preserve"> </w:t>
      </w:r>
      <w:r>
        <w:t xml:space="preserve">success, 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p>
      <w:pPr>
        <w:pStyle w:val="BodyText"/>
      </w:pPr>
      <w:r>
        <w:t xml:space="preserve">These results indicate that regime type remains a significant determinant of both</w:t>
      </w:r>
      <w:r>
        <w:t xml:space="preserve"> </w:t>
      </w:r>
      <w:r>
        <w:t xml:space="preserve">coup attempts and successes, even after controlling for other factors, strongly</w:t>
      </w:r>
      <w:r>
        <w:t xml:space="preserve"> </w:t>
      </w:r>
      <w:r>
        <w:t xml:space="preserve">supporting the proposed theoretical framework.</w:t>
      </w:r>
    </w:p>
    <w:bookmarkEnd w:id="54"/>
    <w:bookmarkStart w:id="55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are crucial parameters in the sample selection model.</w:t>
      </w:r>
      <w:r>
        <w:t xml:space="preserve"> </w:t>
      </w:r>
      <w:r>
        <w:t xml:space="preserve">These values represent the correlation between the error terms of the selection</w:t>
      </w:r>
      <w:r>
        <w:t xml:space="preserve"> </w:t>
      </w:r>
      <w:r>
        <w:t xml:space="preserve">equation (coup attempts) and the outcome equation (coup outcomes). A high and</w:t>
      </w:r>
      <w:r>
        <w:t xml:space="preserve"> </w:t>
      </w:r>
      <w:r>
        <w:t xml:space="preserve">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 factors influencing the likelihood of</w:t>
      </w:r>
      <w:r>
        <w:t xml:space="preserve"> </w:t>
      </w:r>
      <w:r>
        <w:t xml:space="preserve">a coup attempt are strongly correlated with those influencing the likelihood of a</w:t>
      </w:r>
      <w:r>
        <w:t xml:space="preserve"> </w:t>
      </w:r>
      <w:r>
        <w:t xml:space="preserve">successful coup. Practically, this indicates that the selection model is</w:t>
      </w:r>
      <w:r>
        <w:t xml:space="preserve"> </w:t>
      </w:r>
      <w:r>
        <w:t xml:space="preserve">appropriate and that accounting for selection bias (i.e., the fact that only</w:t>
      </w:r>
      <w:r>
        <w:t xml:space="preserve"> </w:t>
      </w:r>
      <w:r>
        <w:t xml:space="preserve">coups with high chances of success will be attempted) is critical for obtaining</w:t>
      </w:r>
      <w:r>
        <w:t xml:space="preserve"> </w:t>
      </w:r>
      <w:r>
        <w:t xml:space="preserve">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indicates that the same underlying</w:t>
      </w:r>
      <w:r>
        <w:t xml:space="preserve"> </w:t>
      </w:r>
      <w:r>
        <w:t xml:space="preserve">conditions that lead to a coup attempt also affect its success, underscoring the</w:t>
      </w:r>
      <w:r>
        <w:t xml:space="preserve"> </w:t>
      </w:r>
      <w:r>
        <w:t xml:space="preserve">importance of considering both 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favourable.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5"/>
    <w:bookmarkStart w:id="56" w:name="implications"/>
    <w:p>
      <w:pPr>
        <w:pStyle w:val="Heading4"/>
      </w:pPr>
      <w:r>
        <w:t xml:space="preserve">Implications</w:t>
      </w:r>
    </w:p>
    <w:p>
      <w:pPr>
        <w:pStyle w:val="FirstParagraph"/>
      </w:pPr>
      <w:r>
        <w:t xml:space="preserve">The finding that regime type plays a crucial role in determining coup attempts,</w:t>
      </w:r>
      <w:r>
        <w:t xml:space="preserve"> </w:t>
      </w:r>
      <w:r>
        <w:t xml:space="preserve">while not surprising, has received relatively little attention as a primary</w:t>
      </w:r>
      <w:r>
        <w:t xml:space="preserve"> </w:t>
      </w:r>
      <w:r>
        <w:t xml:space="preserve">research focus. However, even if this result is acknowledged more widely by</w:t>
      </w:r>
      <w:r>
        <w:t xml:space="preserve"> </w:t>
      </w:r>
      <w:r>
        <w:t xml:space="preserve">academics or politicians, it is unlikely to be implemented as a coup-proofing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Firstly, regime type is not a policy that can be easily altered. It is largely</w:t>
      </w:r>
      <w:r>
        <w:t xml:space="preserve"> </w:t>
      </w:r>
      <w:r>
        <w:t xml:space="preserve">established during the formation of the regime, resulting from power struggles</w:t>
      </w:r>
      <w:r>
        <w:t xml:space="preserve"> </w:t>
      </w:r>
      <w:r>
        <w:t xml:space="preserve">within the ruling group. As previously discussed, there are specific reasons why</w:t>
      </w:r>
      <w:r>
        <w:t xml:space="preserve"> </w:t>
      </w:r>
      <w:r>
        <w:t xml:space="preserve">one regime type is chosen over another. Regimes established through irregular</w:t>
      </w:r>
      <w:r>
        <w:t xml:space="preserve"> </w:t>
      </w:r>
      <w:r>
        <w:t xml:space="preserve">means are unlikely to transition to a more stable regime type peacefully and</w:t>
      </w:r>
      <w:r>
        <w:t xml:space="preserve"> </w:t>
      </w:r>
      <w:r>
        <w:t xml:space="preserve">smoothly.</w:t>
      </w:r>
    </w:p>
    <w:p>
      <w:pPr>
        <w:pStyle w:val="BodyText"/>
      </w:pPr>
      <w:r>
        <w:t xml:space="preserve">Secondly, even if a particular regime type is more effective at preventing coups,</w:t>
      </w:r>
      <w:r>
        <w:t xml:space="preserve"> </w:t>
      </w:r>
      <w:r>
        <w:t xml:space="preserve">this may hold little significance for those in power. Autocratic leaders often</w:t>
      </w:r>
      <w:r>
        <w:t xml:space="preserve"> </w:t>
      </w:r>
      <w:r>
        <w:t xml:space="preserve">prioritize personal power and survival over long-term regime stability, as more</w:t>
      </w:r>
      <w:r>
        <w:t xml:space="preserve"> </w:t>
      </w:r>
      <w:r>
        <w:t xml:space="preserve">stable systems may not benefit them personally. Democratic norms and constraints</w:t>
      </w:r>
      <w:r>
        <w:t xml:space="preserve"> </w:t>
      </w:r>
      <w:r>
        <w:t xml:space="preserve">may be seen as obstacles to their goals rather than as safeguards against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While this conclusion might seem discouraging, it is not entirely pessimistic.</w:t>
      </w:r>
      <w:r>
        <w:t xml:space="preserve"> </w:t>
      </w:r>
      <w:r>
        <w:t xml:space="preserve">The power game involves not only the top leaders but also the majority of other</w:t>
      </w:r>
      <w:r>
        <w:t xml:space="preserve"> </w:t>
      </w:r>
      <w:r>
        <w:t xml:space="preserve">elites. While top leaders may prioritize personal gains, other elites, including</w:t>
      </w:r>
      <w:r>
        <w:t xml:space="preserve"> </w:t>
      </w:r>
      <w:r>
        <w:t xml:space="preserve">the military, economic elites, and civil society, have a vested interest in a</w:t>
      </w:r>
      <w:r>
        <w:t xml:space="preserve"> </w:t>
      </w:r>
      <w:r>
        <w:t xml:space="preserve">stable political environment. Therefore, it is possible to reach a consensus for</w:t>
      </w:r>
      <w:r>
        <w:t xml:space="preserve"> </w:t>
      </w:r>
      <w:r>
        <w:t xml:space="preserve">a political system that is less susceptible to coups, potentially benefiting a</w:t>
      </w:r>
      <w:r>
        <w:t xml:space="preserve"> </w:t>
      </w:r>
      <w:r>
        <w:t xml:space="preserve">broader spectrum of society.</w:t>
      </w:r>
    </w:p>
    <w:bookmarkEnd w:id="56"/>
    <w:bookmarkEnd w:id="57"/>
    <w:bookmarkStart w:id="58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8"/>
    <w:bookmarkEnd w:id="59"/>
    <w:bookmarkStart w:id="60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60"/>
    <w:bookmarkStart w:id="61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61"/>
    <w:bookmarkStart w:id="122" w:name="conclusion-1"/>
    <w:p>
      <w:pPr>
        <w:pStyle w:val="Heading2"/>
      </w:pPr>
      <w:r>
        <w:t xml:space="preserve">Conclusion</w:t>
      </w:r>
    </w:p>
    <w:bookmarkStart w:id="62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62"/>
    <w:bookmarkStart w:id="67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6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66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7"/>
    <w:bookmarkStart w:id="121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20" w:name="refs"/>
    <w:bookmarkStart w:id="69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8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69"/>
    <w:bookmarkStart w:id="70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70"/>
    <w:bookmarkStart w:id="72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71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72"/>
    <w:bookmarkStart w:id="74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73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4"/>
    <w:bookmarkStart w:id="76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5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6"/>
    <w:bookmarkStart w:id="78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7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8"/>
    <w:bookmarkStart w:id="79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79"/>
    <w:bookmarkStart w:id="81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80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81"/>
    <w:bookmarkStart w:id="83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82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83"/>
    <w:bookmarkStart w:id="85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4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5"/>
    <w:bookmarkStart w:id="87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6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7"/>
    <w:bookmarkStart w:id="89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8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89"/>
    <w:bookmarkStart w:id="91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90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91"/>
    <w:bookmarkStart w:id="93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92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93"/>
    <w:bookmarkStart w:id="94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4"/>
    <w:bookmarkStart w:id="96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5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6"/>
    <w:bookmarkStart w:id="98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7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8"/>
    <w:bookmarkStart w:id="99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99"/>
    <w:bookmarkStart w:id="101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100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01"/>
    <w:bookmarkStart w:id="103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02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03"/>
    <w:bookmarkStart w:id="105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4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5"/>
    <w:bookmarkStart w:id="107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6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7"/>
    <w:bookmarkStart w:id="109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8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09"/>
    <w:bookmarkStart w:id="111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10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11"/>
    <w:bookmarkStart w:id="113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12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13"/>
    <w:bookmarkStart w:id="115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4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5"/>
    <w:bookmarkStart w:id="117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6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7"/>
    <w:bookmarkStart w:id="119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118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119"/>
    <w:bookmarkEnd w:id="120"/>
    <w:bookmarkEnd w:id="121"/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3" Target="media/rId63.png" /><Relationship Type="http://schemas.openxmlformats.org/officeDocument/2006/relationships/hyperlink" Id="rId97" Target="https://doi.org/10.1007/s11127-013-0124-4" TargetMode="External" /><Relationship Type="http://schemas.openxmlformats.org/officeDocument/2006/relationships/hyperlink" Id="rId84" Target="https://doi.org/10.1007/s11127-016-0365-0" TargetMode="External" /><Relationship Type="http://schemas.openxmlformats.org/officeDocument/2006/relationships/hyperlink" Id="rId110" Target="https://doi.org/10.1017/s0043887111000049" TargetMode="External" /><Relationship Type="http://schemas.openxmlformats.org/officeDocument/2006/relationships/hyperlink" Id="rId88" Target="https://doi.org/10.1017/s1537592714000851" TargetMode="External" /><Relationship Type="http://schemas.openxmlformats.org/officeDocument/2006/relationships/hyperlink" Id="rId75" Target="https://doi.org/10.1080/01436599814433" TargetMode="External" /><Relationship Type="http://schemas.openxmlformats.org/officeDocument/2006/relationships/hyperlink" Id="rId108" Target="https://doi.org/10.1080/13510347.2018.1450389" TargetMode="External" /><Relationship Type="http://schemas.openxmlformats.org/officeDocument/2006/relationships/hyperlink" Id="rId116" Target="https://doi.org/10.1093/acrefore/9780190846626.013.369" TargetMode="External" /><Relationship Type="http://schemas.openxmlformats.org/officeDocument/2006/relationships/hyperlink" Id="rId77" Target="https://doi.org/10.1093/isq/sqab058" TargetMode="External" /><Relationship Type="http://schemas.openxmlformats.org/officeDocument/2006/relationships/hyperlink" Id="rId95" Target="https://doi.org/10.1093/isq/sqz006" TargetMode="External" /><Relationship Type="http://schemas.openxmlformats.org/officeDocument/2006/relationships/hyperlink" Id="rId90" Target="https://doi.org/10.1093/oso/9780198837404.003.0003" TargetMode="External" /><Relationship Type="http://schemas.openxmlformats.org/officeDocument/2006/relationships/hyperlink" Id="rId68" Target="https://doi.org/10.1093/oxfordhb/9780190469771.013.15" TargetMode="External" /><Relationship Type="http://schemas.openxmlformats.org/officeDocument/2006/relationships/hyperlink" Id="rId86" Target="https://doi.org/10.1146/annurev.polisci.2.1.115" TargetMode="External" /><Relationship Type="http://schemas.openxmlformats.org/officeDocument/2006/relationships/hyperlink" Id="rId114" Target="https://doi.org/10.1177/0010414016688004" TargetMode="External" /><Relationship Type="http://schemas.openxmlformats.org/officeDocument/2006/relationships/hyperlink" Id="rId104" Target="https://doi.org/10.1177/0022002712445732" TargetMode="External" /><Relationship Type="http://schemas.openxmlformats.org/officeDocument/2006/relationships/hyperlink" Id="rId80" Target="https://doi.org/10.1177/00220027211054432" TargetMode="External" /><Relationship Type="http://schemas.openxmlformats.org/officeDocument/2006/relationships/hyperlink" Id="rId92" Target="https://doi.org/10.1177/0022343308100719" TargetMode="External" /><Relationship Type="http://schemas.openxmlformats.org/officeDocument/2006/relationships/hyperlink" Id="rId106" Target="https://doi.org/10.1177/0022343310397436" TargetMode="External" /><Relationship Type="http://schemas.openxmlformats.org/officeDocument/2006/relationships/hyperlink" Id="rId71" Target="https://doi.org/10.1177/00223433221075183" TargetMode="External" /><Relationship Type="http://schemas.openxmlformats.org/officeDocument/2006/relationships/hyperlink" Id="rId102" Target="https://doi.org/10.13012/B2IDB-9651987_V7" TargetMode="External" /><Relationship Type="http://schemas.openxmlformats.org/officeDocument/2006/relationships/hyperlink" Id="rId112" Target="https://doi.org/10.1353/book.31450" TargetMode="External" /><Relationship Type="http://schemas.openxmlformats.org/officeDocument/2006/relationships/hyperlink" Id="rId73" Target="https://doi.org/10.1353/jod.2016.0012" TargetMode="External" /><Relationship Type="http://schemas.openxmlformats.org/officeDocument/2006/relationships/hyperlink" Id="rId100" Target="https://doi.org/10.1353/jod.2017.0075" TargetMode="External" /><Relationship Type="http://schemas.openxmlformats.org/officeDocument/2006/relationships/hyperlink" Id="rId82" Target="https://freedomhouse.org/sites/default/files/2024-02/FIW_2024_DigitalBooklet.pdf" TargetMode="External" /><Relationship Type="http://schemas.openxmlformats.org/officeDocument/2006/relationships/hyperlink" Id="rId118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7" Target="https://doi.org/10.1007/s11127-013-0124-4" TargetMode="External" /><Relationship Type="http://schemas.openxmlformats.org/officeDocument/2006/relationships/hyperlink" Id="rId84" Target="https://doi.org/10.1007/s11127-016-0365-0" TargetMode="External" /><Relationship Type="http://schemas.openxmlformats.org/officeDocument/2006/relationships/hyperlink" Id="rId110" Target="https://doi.org/10.1017/s0043887111000049" TargetMode="External" /><Relationship Type="http://schemas.openxmlformats.org/officeDocument/2006/relationships/hyperlink" Id="rId88" Target="https://doi.org/10.1017/s1537592714000851" TargetMode="External" /><Relationship Type="http://schemas.openxmlformats.org/officeDocument/2006/relationships/hyperlink" Id="rId75" Target="https://doi.org/10.1080/01436599814433" TargetMode="External" /><Relationship Type="http://schemas.openxmlformats.org/officeDocument/2006/relationships/hyperlink" Id="rId108" Target="https://doi.org/10.1080/13510347.2018.1450389" TargetMode="External" /><Relationship Type="http://schemas.openxmlformats.org/officeDocument/2006/relationships/hyperlink" Id="rId116" Target="https://doi.org/10.1093/acrefore/9780190846626.013.369" TargetMode="External" /><Relationship Type="http://schemas.openxmlformats.org/officeDocument/2006/relationships/hyperlink" Id="rId77" Target="https://doi.org/10.1093/isq/sqab058" TargetMode="External" /><Relationship Type="http://schemas.openxmlformats.org/officeDocument/2006/relationships/hyperlink" Id="rId95" Target="https://doi.org/10.1093/isq/sqz006" TargetMode="External" /><Relationship Type="http://schemas.openxmlformats.org/officeDocument/2006/relationships/hyperlink" Id="rId90" Target="https://doi.org/10.1093/oso/9780198837404.003.0003" TargetMode="External" /><Relationship Type="http://schemas.openxmlformats.org/officeDocument/2006/relationships/hyperlink" Id="rId68" Target="https://doi.org/10.1093/oxfordhb/9780190469771.013.15" TargetMode="External" /><Relationship Type="http://schemas.openxmlformats.org/officeDocument/2006/relationships/hyperlink" Id="rId86" Target="https://doi.org/10.1146/annurev.polisci.2.1.115" TargetMode="External" /><Relationship Type="http://schemas.openxmlformats.org/officeDocument/2006/relationships/hyperlink" Id="rId114" Target="https://doi.org/10.1177/0010414016688004" TargetMode="External" /><Relationship Type="http://schemas.openxmlformats.org/officeDocument/2006/relationships/hyperlink" Id="rId104" Target="https://doi.org/10.1177/0022002712445732" TargetMode="External" /><Relationship Type="http://schemas.openxmlformats.org/officeDocument/2006/relationships/hyperlink" Id="rId80" Target="https://doi.org/10.1177/00220027211054432" TargetMode="External" /><Relationship Type="http://schemas.openxmlformats.org/officeDocument/2006/relationships/hyperlink" Id="rId92" Target="https://doi.org/10.1177/0022343308100719" TargetMode="External" /><Relationship Type="http://schemas.openxmlformats.org/officeDocument/2006/relationships/hyperlink" Id="rId106" Target="https://doi.org/10.1177/0022343310397436" TargetMode="External" /><Relationship Type="http://schemas.openxmlformats.org/officeDocument/2006/relationships/hyperlink" Id="rId71" Target="https://doi.org/10.1177/00223433221075183" TargetMode="External" /><Relationship Type="http://schemas.openxmlformats.org/officeDocument/2006/relationships/hyperlink" Id="rId102" Target="https://doi.org/10.13012/B2IDB-9651987_V7" TargetMode="External" /><Relationship Type="http://schemas.openxmlformats.org/officeDocument/2006/relationships/hyperlink" Id="rId112" Target="https://doi.org/10.1353/book.31450" TargetMode="External" /><Relationship Type="http://schemas.openxmlformats.org/officeDocument/2006/relationships/hyperlink" Id="rId73" Target="https://doi.org/10.1353/jod.2016.0012" TargetMode="External" /><Relationship Type="http://schemas.openxmlformats.org/officeDocument/2006/relationships/hyperlink" Id="rId100" Target="https://doi.org/10.1353/jod.2017.0075" TargetMode="External" /><Relationship Type="http://schemas.openxmlformats.org/officeDocument/2006/relationships/hyperlink" Id="rId82" Target="https://freedomhouse.org/sites/default/files/2024-02/FIW_2024_DigitalBooklet.pdf" TargetMode="External" /><Relationship Type="http://schemas.openxmlformats.org/officeDocument/2006/relationships/hyperlink" Id="rId118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2024-07-22T22:01:12Z</dcterms:created>
  <dcterms:modified xsi:type="dcterms:W3CDTF">2024-07-22T22:01:12Z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