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2024-05-11</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it’s crucial not to overlook the most significant</w:t>
      </w:r>
      <w:r>
        <w:t xml:space="preserve"> </w:t>
      </w:r>
      <w:r>
        <w:t xml:space="preserve">characteristic of coups themselves. As noted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are automatically filtered</w:t>
      </w:r>
      <w:r>
        <w:t xml:space="preserve"> </w:t>
      </w:r>
      <w:r>
        <w:t xml:space="preserve">out. Fundamentally, launching a coup is not like participating in a general</w:t>
      </w:r>
      <w:r>
        <w:t xml:space="preserve"> </w:t>
      </w:r>
      <w:r>
        <w:t xml:space="preserve">election, where failure in one election allows for another attempt in the next</w:t>
      </w:r>
      <w:r>
        <w:t xml:space="preserve"> </w:t>
      </w:r>
      <w:r>
        <w:t xml:space="preserve">election. A coup is a high-stakes gamble where success brings substantial</w:t>
      </w:r>
      <w:r>
        <w:t xml:space="preserve"> </w:t>
      </w:r>
      <w:r>
        <w:t xml:space="preserve">rewards, while failure may result in martyrdom. Failure, put differently, means</w:t>
      </w:r>
      <w:r>
        <w:t xml:space="preserve"> </w:t>
      </w:r>
      <w:r>
        <w:t xml:space="preserve">permanent and absolute defeat. Furthermore, the outcomes of coups are typically</w:t>
      </w:r>
      <w:r>
        <w:t xml:space="preserve"> </w:t>
      </w:r>
      <w:r>
        <w:t xml:space="preserve">decided within a matter of days, sometimes even mere hours. Unlike prolonged</w:t>
      </w:r>
      <w:r>
        <w:t xml:space="preserve"> </w:t>
      </w:r>
      <w:r>
        <w:t xml:space="preserve">conflicts where victories or defeats may shift over time, the success of a coup</w:t>
      </w:r>
      <w:r>
        <w:t xml:space="preserve"> </w:t>
      </w:r>
      <w:r>
        <w:t xml:space="preserve">is often sealed at its inception. Every detail must be meticulously planned and</w:t>
      </w:r>
      <w:r>
        <w:t xml:space="preserve"> </w:t>
      </w:r>
      <w:r>
        <w:t xml:space="preserve">arranged 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w:t>
      </w:r>
      <w:r>
        <w:t xml:space="preserve"> </w:t>
      </w:r>
      <w:r>
        <w:t xml:space="preserve">hypotheses. Part 4 provides insights into the data and variables utilized in the</w:t>
      </w:r>
      <w:r>
        <w:t xml:space="preserve"> </w:t>
      </w:r>
      <w:r>
        <w:t xml:space="preserve">study. The testing results are discussed in Part</w:t>
      </w:r>
      <w:r>
        <w:t xml:space="preserve"> </w:t>
      </w:r>
      <m:oMath>
        <m:r>
          <m:t>5</m:t>
        </m:r>
      </m:oMath>
      <w:r>
        <w:t xml:space="preserve">, followed by the conclusion</w:t>
      </w:r>
      <w:r>
        <w:t xml:space="preserve"> </w:t>
      </w:r>
      <w:r>
        <w:t xml:space="preserve">in Part</w:t>
      </w:r>
      <w:r>
        <w:t xml:space="preserve"> </w:t>
      </w:r>
      <m:oMath>
        <m:r>
          <m:t>6</m:t>
        </m:r>
      </m:oMath>
      <w:r>
        <w:t xml:space="preserve">.</w:t>
      </w:r>
    </w:p>
    <w:bookmarkEnd w:id="23"/>
    <w:bookmarkStart w:id="33"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 formalized by</w:t>
      </w:r>
      <w:r>
        <w:t xml:space="preserve"> </w:t>
      </w:r>
      <w:r>
        <w:t xml:space="preserve">Leon (2013a)</w:t>
      </w:r>
      <w:r>
        <w:t xml:space="preserve"> </w:t>
      </w:r>
      <w:r>
        <w:t xml:space="preserve">and</w:t>
      </w:r>
      <w:r>
        <w:t xml:space="preserve"> </w:t>
      </w:r>
      <w:r>
        <w:t xml:space="preserve">Aidt and Leon (2019)</w:t>
      </w:r>
      <w:r>
        <w:t xml:space="preserve">, provides a</w:t>
      </w:r>
      <w:r>
        <w:t xml:space="preserve"> </w:t>
      </w:r>
      <w:r>
        <w:t xml:space="preserve">structured approach to assess the disposition and capability of coup attempts by</w:t>
      </w:r>
      <w:r>
        <w:t xml:space="preserve"> </w:t>
      </w:r>
      <w:r>
        <w:t xml:space="preserve">evaluating the anticipated benefits for coup plotters. This framework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rPr>
                    <m:nor/>
                    <m:sty m:val="p"/>
                  </m:rPr>
                  <m:t>Expected Payoff of coups</m:t>
                </m:r>
                <m:r>
                  <m:rPr>
                    <m:sty m:val="p"/>
                  </m:rPr>
                  <m:t>=</m:t>
                </m:r>
                <m:r>
                  <m:t>σ</m:t>
                </m:r>
                <m:sSub>
                  <m:e>
                    <m:r>
                      <m:t>V</m:t>
                    </m:r>
                  </m:e>
                  <m:sub>
                    <m:r>
                      <m:t>S</m:t>
                    </m:r>
                  </m:sub>
                </m:sSub>
                <m:r>
                  <m:rPr>
                    <m:sty m:val="p"/>
                  </m:rPr>
                  <m:t>+</m:t>
                </m:r>
                <m:d>
                  <m:dPr>
                    <m:begChr m:val="("/>
                    <m:endChr m:val=")"/>
                    <m:sepChr m:val=""/>
                    <m:grow/>
                  </m:dPr>
                  <m:e>
                    <m:r>
                      <m:t>1</m:t>
                    </m:r>
                    <m:r>
                      <m:rPr>
                        <m:sty m:val="p"/>
                      </m:rPr>
                      <m:t>−</m:t>
                    </m:r>
                    <m:r>
                      <m:t>σ</m:t>
                    </m:r>
                  </m:e>
                </m:d>
                <m:d>
                  <m:dPr>
                    <m:begChr m:val="("/>
                    <m:endChr m:val=")"/>
                    <m:sepChr m:val=""/>
                    <m:grow/>
                  </m:dPr>
                  <m:e>
                    <m:sSub>
                      <m:e>
                        <m:r>
                          <m:t>V</m:t>
                        </m:r>
                      </m:e>
                      <m:sub>
                        <m:r>
                          <m:t>I</m:t>
                        </m:r>
                      </m:sub>
                    </m:sSub>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sSub>
          <m:e>
            <m:r>
              <m:t>V</m:t>
            </m:r>
          </m:e>
          <m:sub>
            <m:r>
              <m:t>S</m:t>
            </m:r>
          </m:sub>
        </m:sSub>
      </m:oMath>
      <w:r>
        <w:t xml:space="preserve"> </w:t>
      </w:r>
      <w:r>
        <w:t xml:space="preserve">represents the return of a successful coup,</w:t>
      </w:r>
      <w:r>
        <w:t xml:space="preserve"> </w:t>
      </w:r>
      <m:oMath>
        <m:sSub>
          <m:e>
            <m:r>
              <m:t>V</m:t>
            </m:r>
          </m:e>
          <m:sub>
            <m:r>
              <m:t>I</m:t>
            </m:r>
          </m:sub>
        </m:sSub>
      </m:oMath>
      <w:r>
        <w:t xml:space="preserve"> </w:t>
      </w:r>
      <w:r>
        <w:t xml:space="preserve">denotes the normal</w:t>
      </w:r>
      <w:r>
        <w:t xml:space="preserve"> </w:t>
      </w:r>
      <w:r>
        <w:t xml:space="preserve">value paid by the incumbent in the status quo,</w:t>
      </w:r>
      <w:r>
        <w:t xml:space="preserve"> </w:t>
      </w:r>
      <m:oMath>
        <m:r>
          <m:t>C</m:t>
        </m:r>
      </m:oMath>
      <w:r>
        <w:t xml:space="preserve"> </w:t>
      </w:r>
      <w:r>
        <w:t xml:space="preserve">signifies the cost of a failed</w:t>
      </w:r>
      <w:r>
        <w:t xml:space="preserve"> </w:t>
      </w:r>
      <w:r>
        <w:t xml:space="preserve">coup, and</w:t>
      </w:r>
      <w:r>
        <w:t xml:space="preserve"> </w:t>
      </w:r>
      <m:oMath>
        <m:r>
          <m:t>σ</m:t>
        </m:r>
      </m:oMath>
      <w:r>
        <w:t xml:space="preserve"> </w:t>
      </w:r>
      <w:r>
        <w:t xml:space="preserve">represents the probability of coup success. The condition for</w:t>
      </w:r>
      <w:r>
        <w:t xml:space="preserve"> </w:t>
      </w:r>
      <w:r>
        <w:t xml:space="preserve">staging a coup is when the expected benefit is positive, meaning that the</w:t>
      </w:r>
      <w:r>
        <w:t xml:space="preserve"> </w:t>
      </w:r>
      <w:r>
        <w:t xml:space="preserve">expected pay-off is greater than 0. Rearranging and simplifying the equation, we</w:t>
      </w:r>
      <w:r>
        <w:t xml:space="preserve"> </w:t>
      </w:r>
      <w:r>
        <w:t xml:space="preserve">get:</w:t>
      </w:r>
    </w:p>
    <w:p>
      <w:pPr>
        <w:pStyle w:val="BodyText"/>
      </w:pPr>
      <w:bookmarkStart w:id="27" w:name="eq-eq2"/>
      <m:oMathPara>
        <m:oMathParaPr>
          <m:jc m:val="center"/>
        </m:oMathParaPr>
        <m:oMath>
          <m:m>
            <m:mPr>
              <m:baseJc m:val="center"/>
              <m:plcHide m:val="on"/>
              <m:mcs>
                <m:mc>
                  <m:mcPr>
                    <m:mcJc m:val="right"/>
                    <m:count m:val="1"/>
                  </m:mcPr>
                </m:mc>
              </m:mcs>
            </m:mPr>
            <m:mr>
              <m:e>
                <m:r>
                  <m:t>σ</m:t>
                </m:r>
                <m:d>
                  <m:dPr>
                    <m:begChr m:val="["/>
                    <m:endChr m:val="]"/>
                    <m:sepChr m:val=""/>
                    <m:grow/>
                  </m:dPr>
                  <m:e>
                    <m:sSub>
                      <m:e>
                        <m:r>
                          <m:t>V</m:t>
                        </m:r>
                      </m:e>
                      <m:sub>
                        <m:r>
                          <m:t>S</m:t>
                        </m:r>
                      </m:sub>
                    </m:sSub>
                    <m:r>
                      <m:rPr>
                        <m:sty m:val="p"/>
                      </m:rPr>
                      <m:t>−</m:t>
                    </m:r>
                    <m:sSub>
                      <m:e>
                        <m:r>
                          <m:t>V</m:t>
                        </m:r>
                      </m:e>
                      <m:sub>
                        <m:r>
                          <m:t>I</m:t>
                        </m:r>
                      </m:sub>
                    </m:sSub>
                  </m:e>
                </m:d>
                <m:r>
                  <m:rPr>
                    <m:sty m:val="p"/>
                  </m:rPr>
                  <m:t>&gt;</m:t>
                </m:r>
                <m:d>
                  <m:dPr>
                    <m:begChr m:val="("/>
                    <m:endChr m:val=")"/>
                    <m:sepChr m:val=""/>
                    <m:grow/>
                  </m:dPr>
                  <m:e>
                    <m:r>
                      <m:t>1</m:t>
                    </m:r>
                    <m:r>
                      <m:rPr>
                        <m:sty m:val="p"/>
                      </m:rPr>
                      <m:t>−</m:t>
                    </m:r>
                    <m:r>
                      <m:t>σ</m:t>
                    </m:r>
                  </m:e>
                </m:d>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 Both the</w:t>
      </w:r>
      <w:r>
        <w:t xml:space="preserve"> </w:t>
      </w:r>
      <w:r>
        <w:t xml:space="preserve">motivation (disposition) and chance of success (capability) are embedded within</w:t>
      </w:r>
      <w:r>
        <w:t xml:space="preserve"> </w:t>
      </w:r>
      <w:hyperlink w:anchor="eq-eq2">
        <w:r>
          <w:rPr>
            <w:rStyle w:val="Hyperlink"/>
          </w:rPr>
          <w:t xml:space="preserve">Equation 2</w:t>
        </w:r>
      </w:hyperlink>
      <w:r>
        <w:t xml:space="preserve">. The motivation is reflected by the difference in benefits (</w:t>
      </w:r>
      <m:oMath>
        <m:sSub>
          <m:e>
            <m:r>
              <m:t>V</m:t>
            </m:r>
          </m:e>
          <m:sub>
            <m:r>
              <m:t>S</m:t>
            </m:r>
          </m:sub>
        </m:sSub>
        <m:r>
          <m:rPr>
            <m:sty m:val="p"/>
          </m:rPr>
          <m:t>−</m:t>
        </m:r>
        <m:sSub>
          <m:e>
            <m:r>
              <m:t>V</m:t>
            </m:r>
          </m:e>
          <m:sub>
            <m:r>
              <m:t>I</m:t>
            </m:r>
          </m:sub>
        </m:sSub>
      </m:oMath>
      <w:r>
        <w:t xml:space="preserve">),</w:t>
      </w:r>
      <w:r>
        <w:t xml:space="preserve"> </w:t>
      </w:r>
      <w:r>
        <w:t xml:space="preserve">while the opportunity is represented by the probability of success (</w:t>
      </w:r>
      <m:oMath>
        <m:r>
          <m:t>σ</m:t>
        </m:r>
      </m:oMath>
      <w:r>
        <w:t xml:space="preserve">).</w:t>
      </w:r>
    </w:p>
    <w:p>
      <w:pPr>
        <w:pStyle w:val="BodyText"/>
      </w:pPr>
      <w:r>
        <w:t xml:space="preserve">While seemingly clear, the equation faces practical challenges. Quantifying</w:t>
      </w:r>
      <w:r>
        <w:t xml:space="preserve"> </w:t>
      </w:r>
      <m:oMath>
        <m:sSub>
          <m:e>
            <m:r>
              <m:t>V</m:t>
            </m:r>
          </m:e>
          <m:sub>
            <m:r>
              <m:t>S</m:t>
            </m:r>
          </m:sub>
        </m:sSub>
      </m:oMath>
      <w:r>
        <w:t xml:space="preserve"> </w:t>
      </w:r>
      <w:r>
        <w:t xml:space="preserve">(the value of a successful coup) and</w:t>
      </w:r>
      <w:r>
        <w:t xml:space="preserve"> </w:t>
      </w:r>
      <m:oMath>
        <m:r>
          <m:t>C</m:t>
        </m:r>
      </m:oMath>
      <w:r>
        <w:t xml:space="preserve"> </w:t>
      </w:r>
      <w:r>
        <w:t xml:space="preserve">(the cost of failure) is difficult. The</w:t>
      </w:r>
      <w:r>
        <w:t xml:space="preserve"> </w:t>
      </w:r>
      <w:r>
        <w:t xml:space="preserve">loss of life, freedom, or loved ones after a failed coup, as well as the value of</w:t>
      </w:r>
      <w:r>
        <w:t xml:space="preserve"> </w:t>
      </w:r>
      <w:r>
        <w:t xml:space="preserve">assuming leadership after a successful coup, are intangible concepts that defy</w:t>
      </w:r>
      <w:r>
        <w:t xml:space="preserve"> </w:t>
      </w:r>
      <w:r>
        <w:t xml:space="preserve">precise measurement. As evidenced by the 1979 coup in Ghana</w:t>
      </w:r>
      <w:r>
        <w:rPr>
          <w:rStyle w:val="FootnoteReference"/>
        </w:rPr>
        <w:footnoteReference w:id="28"/>
      </w:r>
      <w:r>
        <w:t xml:space="preserve">, the fate of the</w:t>
      </w:r>
      <w:r>
        <w:t xml:space="preserve"> </w:t>
      </w:r>
      <w:r>
        <w:t xml:space="preserve">coup leader(s) hangs in the balance; they are high likely to be killed if the</w:t>
      </w:r>
      <w:r>
        <w:t xml:space="preserve"> </w:t>
      </w:r>
      <w:r>
        <w:t xml:space="preserve">coup fails, or to execute others if the coup succeeds</w:t>
      </w:r>
      <w:r>
        <w:t xml:space="preserve"> </w:t>
      </w:r>
      <w:r>
        <w:t xml:space="preserve">(Aidt and Leon 2019)</w:t>
      </w:r>
      <w:r>
        <w:t xml:space="preserve">.</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sSub>
          <m:e>
            <m:r>
              <m:t>V</m:t>
            </m:r>
          </m:e>
          <m:sub>
            <m:r>
              <m:t>S</m:t>
            </m:r>
          </m:sub>
        </m:sSub>
      </m:oMath>
      <w:r>
        <w:t xml:space="preserve"> </w:t>
      </w:r>
      <w:r>
        <w:t xml:space="preserve">and</w:t>
      </w:r>
      <w:r>
        <w:t xml:space="preserve"> </w:t>
      </w:r>
      <m:oMath>
        <m:r>
          <m:t>C</m:t>
        </m:r>
      </m:oMath>
      <w:r>
        <w:t xml:space="preserve">, they can be treated as roughly equal.</w:t>
      </w:r>
      <w:r>
        <w:t xml:space="preserve"> </w:t>
      </w:r>
      <w:r>
        <w:t xml:space="preserve">Consequently, there is no need to fret over how to measure and compare these</w:t>
      </w:r>
      <w:r>
        <w:t xml:space="preserve"> </w:t>
      </w:r>
      <w:r>
        <w:t xml:space="preserve">values precisely. Instead, we can shift our focus from</w:t>
      </w:r>
      <w:r>
        <w:t xml:space="preserve"> </w:t>
      </w:r>
      <m:oMath>
        <m:sSub>
          <m:e>
            <m:r>
              <m:t>V</m:t>
            </m:r>
          </m:e>
          <m:sub>
            <m:r>
              <m:t>S</m:t>
            </m:r>
          </m:sub>
        </m:sSub>
      </m:oMath>
      <w:r>
        <w:t xml:space="preserve">​ and</w:t>
      </w:r>
      <w:r>
        <w:t xml:space="preserve"> </w:t>
      </w:r>
      <m:oMath>
        <m:r>
          <m:t>C</m:t>
        </m:r>
      </m:oMath>
      <w:r>
        <w:t xml:space="preserve"> </w:t>
      </w:r>
      <w:r>
        <w:t xml:space="preserve">to the</w:t>
      </w:r>
      <w:r>
        <w:t xml:space="preserve"> </w:t>
      </w:r>
      <w:r>
        <w:t xml:space="preserve">probability of success (</w:t>
      </w:r>
      <m:oMath>
        <m:r>
          <m:t>σ</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σ</m:t>
                </m:r>
                <m:r>
                  <m:rPr>
                    <m:sty m:val="p"/>
                  </m:rPr>
                  <m:t>&gt;</m:t>
                </m:r>
                <m:d>
                  <m:dPr>
                    <m:begChr m:val="("/>
                    <m:endChr m:val=")"/>
                    <m:sepChr m:val=""/>
                    <m:grow/>
                  </m:dPr>
                  <m:e>
                    <m:r>
                      <m:t>1</m:t>
                    </m:r>
                    <m:r>
                      <m:rPr>
                        <m:sty m:val="p"/>
                      </m:rPr>
                      <m:t>−</m:t>
                    </m:r>
                    <m:r>
                      <m:t>σ</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w:t>
      </w:r>
      <w:r>
        <w:t xml:space="preserve"> </w:t>
      </w:r>
      <m:oMath>
        <m:r>
          <m:t>50</m:t>
        </m:r>
        <m:r>
          <m:rPr>
            <m:sty m:val="p"/>
          </m:rPr>
          <m:t>%</m:t>
        </m:r>
      </m:oMath>
      <w:r>
        <w:rPr>
          <w:iCs/>
          <w:i/>
          <w:bCs/>
          <w:b/>
        </w:rPr>
        <w:t xml:space="preserve">.</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2" w:name="regime-types-and-power-dynamics"/>
    <w:p>
      <w:pPr>
        <w:pStyle w:val="Heading3"/>
      </w:pPr>
      <w:r>
        <w:t xml:space="preserve">Regime types and power dynamics</w:t>
      </w:r>
    </w:p>
    <w:p>
      <w:pPr>
        <w:pStyle w:val="FirstParagraph"/>
      </w:pPr>
      <w:r>
        <w:t xml:space="preserve">When discussing the balance of power, the first aspect that comes to mind is</w:t>
      </w:r>
      <w:r>
        <w:t xml:space="preserve"> </w:t>
      </w:r>
      <w:r>
        <w:t xml:space="preserve">military strength. It’s evident that control over the military gives individuals</w:t>
      </w:r>
      <w:r>
        <w:t xml:space="preserve"> </w:t>
      </w:r>
      <w:r>
        <w:t xml:space="preserve">the upper hand in coup attempts. This explains why military coups are often at</w:t>
      </w:r>
      <w:r>
        <w:t xml:space="preserve"> </w:t>
      </w:r>
      <w:r>
        <w:t xml:space="preserve">the forefront of political science discussions. In much of the literature on</w:t>
      </w:r>
      <w:r>
        <w:t xml:space="preserve"> </w:t>
      </w:r>
      <w:r>
        <w:t xml:space="preserve">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used interchangeably, with little</w:t>
      </w:r>
      <w:r>
        <w:t xml:space="preserve"> </w:t>
      </w:r>
      <w:r>
        <w:t xml:space="preserve">exploration into why this is the case. Consequently, more attention is directed</w:t>
      </w:r>
      <w:r>
        <w:t xml:space="preserve"> </w:t>
      </w:r>
      <w:r>
        <w:t xml:space="preserve">towards preventing military involvement in politics. Strategies such as</w:t>
      </w:r>
      <w:r>
        <w:t xml:space="preserve"> </w:t>
      </w:r>
      <w:r>
        <w:t xml:space="preserve">“</w:t>
      </w:r>
      <w:r>
        <w:rPr>
          <w:iCs/>
          <w:i/>
        </w:rPr>
        <w:t xml:space="preserve">Keeping</w:t>
      </w:r>
      <w:r>
        <w:rPr>
          <w:iCs/>
          <w:i/>
        </w:rPr>
        <w:t xml:space="preserve"> </w:t>
      </w:r>
      <w:r>
        <w:rPr>
          <w:iCs/>
          <w:i/>
        </w:rPr>
        <w:t xml:space="preserve">the military happy</w:t>
      </w:r>
      <w:r>
        <w:t xml:space="preserve">”</w:t>
      </w:r>
      <w:r>
        <w:t xml:space="preserve"> </w:t>
      </w:r>
      <w:r>
        <w:t xml:space="preserve">(Aidt and Leon 2019, 15)</w:t>
      </w:r>
      <w:r>
        <w:t xml:space="preserve"> </w:t>
      </w:r>
      <w:r>
        <w:t xml:space="preserve">or</w:t>
      </w:r>
      <w:r>
        <w:t xml:space="preserve"> </w:t>
      </w:r>
      <w:r>
        <w:t xml:space="preserve">“</w:t>
      </w:r>
      <w:r>
        <w:rPr>
          <w:iCs/>
          <w:i/>
        </w:rPr>
        <w:t xml:space="preserve">giving them toys</w:t>
      </w:r>
      <w:r>
        <w:t xml:space="preserve">”</w:t>
      </w:r>
      <w:r>
        <w:t xml:space="preserve"> </w:t>
      </w:r>
      <w:r>
        <w:t xml:space="preserve">(Huntington 1991, 252)</w:t>
      </w:r>
      <w:r>
        <w:t xml:space="preserve"> </w:t>
      </w:r>
      <w:r>
        <w:t xml:space="preserve">have been proposed to mitigate military</w:t>
      </w:r>
      <w:r>
        <w:t xml:space="preserve"> </w:t>
      </w:r>
      <w:r>
        <w:t xml:space="preserve">intervention. Many coup-proofing strategies, informed by empirical research, aim</w:t>
      </w:r>
      <w:r>
        <w:t xml:space="preserve"> </w:t>
      </w:r>
      <w:r>
        <w:t xml:space="preserve">to either diminish the military’s inclination to stage coups or create obstacles</w:t>
      </w:r>
      <w:r>
        <w:t xml:space="preserve"> </w:t>
      </w:r>
      <w:r>
        <w:t xml:space="preserve">to their success. For example, studies by</w:t>
      </w:r>
      <w:r>
        <w:t xml:space="preserve"> </w:t>
      </w:r>
      <w:r>
        <w:t xml:space="preserve">Leon (2013b)</w:t>
      </w:r>
      <w:r>
        <w:t xml:space="preserve"> </w:t>
      </w:r>
      <w:r>
        <w:t xml:space="preserve">suggest that nations with</w:t>
      </w:r>
      <w:r>
        <w:t xml:space="preserve"> </w:t>
      </w:r>
      <w:r>
        <w:t xml:space="preserve">lower military spending as a percentage of GDP are more susceptible to coups.</w:t>
      </w:r>
      <w:r>
        <w:t xml:space="preserve"> </w:t>
      </w:r>
      <w:r>
        <w:t xml:space="preserve">Similarly,</w:t>
      </w:r>
      <w:r>
        <w:t xml:space="preserve"> </w:t>
      </w:r>
      <w:r>
        <w:t xml:space="preserve">J. Powell et al. (2018)</w:t>
      </w:r>
      <w:r>
        <w:t xml:space="preserve"> </w:t>
      </w:r>
      <w:r>
        <w:t xml:space="preserve">argues that increased military expenditures may reduce the</w:t>
      </w:r>
      <w:r>
        <w:t xml:space="preserve"> </w:t>
      </w:r>
      <w:r>
        <w:t xml:space="preserve">likelihood of coups among military factions.</w:t>
      </w:r>
    </w:p>
    <w:p>
      <w:pPr>
        <w:pStyle w:val="BodyText"/>
      </w:pPr>
      <w:r>
        <w:t xml:space="preserve">However, previous studies have often oversimplified the intricate balance of</w:t>
      </w:r>
      <w:r>
        <w:t xml:space="preserve"> </w:t>
      </w:r>
      <w:r>
        <w:t xml:space="preserve">power within military forces. They have frequently assumed, without substantial</w:t>
      </w:r>
      <w:r>
        <w:t xml:space="preserve"> </w:t>
      </w:r>
      <w:r>
        <w:t xml:space="preserve">evidence, that the military operates as a monolithic entity, uniformly and</w:t>
      </w:r>
      <w:r>
        <w:t xml:space="preserve"> </w:t>
      </w:r>
      <w:r>
        <w:t xml:space="preserve">decisively. Such a notion fails to capture the complexities of real-world</w:t>
      </w:r>
      <w:r>
        <w:t xml:space="preserve"> </w:t>
      </w:r>
      <w:r>
        <w:t xml:space="preserve">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Therefore, the success of a coup heavily depends on the reactions of</w:t>
      </w:r>
      <w:r>
        <w:t xml:space="preserve"> </w:t>
      </w:r>
      <w:r>
        <w:t xml:space="preserve">other military factions</w:t>
      </w:r>
      <w:r>
        <w:t xml:space="preserve"> </w:t>
      </w:r>
      <w:r>
        <w:t xml:space="preserve">(Geddes 1999)</w:t>
      </w:r>
      <w:r>
        <w:t xml:space="preserve">.</w:t>
      </w:r>
    </w:p>
    <w:p>
      <w:pPr>
        <w:pStyle w:val="BodyText"/>
      </w:pPr>
      <w:r>
        <w:t xml:space="preserve">Furthermore, the structure of military forces, especially their relationships</w:t>
      </w:r>
      <w:r>
        <w:t xml:space="preserve"> </w:t>
      </w:r>
      <w:r>
        <w:t xml:space="preserve">with other state departments, particularly civilian officials, varies across</w:t>
      </w:r>
      <w:r>
        <w:t xml:space="preserve"> </w:t>
      </w:r>
      <w:r>
        <w:t xml:space="preserve">different regime types. In democratic countries, the military is nationalized and</w:t>
      </w:r>
      <w:r>
        <w:t xml:space="preserve"> </w:t>
      </w:r>
      <w:r>
        <w:t xml:space="preserve">bound by constitutional authority rather than individual leaders. For instance,</w:t>
      </w:r>
      <w:r>
        <w:t xml:space="preserve"> </w:t>
      </w:r>
      <w:r>
        <w:t xml:space="preserve">the United States Armed Forces are under the command of the President but remain</w:t>
      </w:r>
      <w:r>
        <w:t xml:space="preserve"> </w:t>
      </w:r>
      <w:r>
        <w:t xml:space="preserve">loyal to the Constitution, refraining from intervening in politics. In military</w:t>
      </w:r>
      <w:r>
        <w:t xml:space="preserve"> </w:t>
      </w:r>
      <w:r>
        <w:t xml:space="preserve">regimes, power is often centralized in the hands of top generals or a junta,</w:t>
      </w:r>
      <w:r>
        <w:t xml:space="preserve"> </w:t>
      </w:r>
      <w:r>
        <w:t xml:space="preserve">while in personal dictatorships, the leader retains ultimate authority over the</w:t>
      </w:r>
      <w:r>
        <w:t xml:space="preserve"> </w:t>
      </w:r>
      <w:r>
        <w:t xml:space="preserve">military. In dominant-party regimes, the military serves the interests of the</w:t>
      </w:r>
      <w:r>
        <w:t xml:space="preserve"> </w:t>
      </w:r>
      <w:r>
        <w:t xml:space="preserve">ruling party. Thus, the balance of power within military forces is deeply</w:t>
      </w:r>
      <w:r>
        <w:t xml:space="preserve"> </w:t>
      </w:r>
      <w:r>
        <w:t xml:space="preserve">influenced by the nature of the regime in question.</w:t>
      </w:r>
    </w:p>
    <w:p>
      <w:pPr>
        <w:pStyle w:val="BodyText"/>
      </w:pPr>
      <w:r>
        <w:t xml:space="preserve">To gain a thorough understanding of military power dynamics across diverse</w:t>
      </w:r>
      <w:r>
        <w:t xml:space="preserve"> </w:t>
      </w:r>
      <w:r>
        <w:t xml:space="preserve">political landscapes, it is imperative to explore their intricate nuances. This</w:t>
      </w:r>
      <w:r>
        <w:t xml:space="preserve"> </w:t>
      </w:r>
      <w:r>
        <w:t xml:space="preserve">section adopts the foundational concepts articulated by</w:t>
      </w:r>
      <w:r>
        <w:t xml:space="preserve"> </w:t>
      </w:r>
      <w:r>
        <w:t xml:space="preserve">Geddes, Wright, and Frantz (2014)</w:t>
      </w:r>
      <w:r>
        <w:t xml:space="preserve"> </w:t>
      </w:r>
      <w:r>
        <w:t xml:space="preserve">(GWF), which</w:t>
      </w:r>
      <w:r>
        <w:t xml:space="preserve"> </w:t>
      </w:r>
      <w:r>
        <w:t xml:space="preserve">categorize regimes based on the origins of their leadership and the factors</w:t>
      </w:r>
      <w:r>
        <w:t xml:space="preserve"> </w:t>
      </w:r>
      <w:r>
        <w:t xml:space="preserve">influencing their policy decisions. These regimes are broadly classified into</w:t>
      </w:r>
      <w:r>
        <w:t xml:space="preserve"> </w:t>
      </w:r>
      <w:r>
        <w:t xml:space="preserve">four categories: military regimes, personalist regimes (including monarchies),</w:t>
      </w:r>
      <w:r>
        <w:t xml:space="preserve"> </w:t>
      </w:r>
      <w:r>
        <w:t xml:space="preserve">dominant-party regimes, and democratic regimes.</w:t>
      </w:r>
    </w:p>
    <w:p>
      <w:pPr>
        <w:pStyle w:val="BodyText"/>
      </w:pPr>
      <w:r>
        <w:rPr>
          <w:bCs/>
          <w:b/>
        </w:rPr>
        <w:t xml:space="preserve">Military regimes</w:t>
      </w:r>
      <w:r>
        <w:t xml:space="preserve">, as defined by GWF, are characterized by the dominance of a</w:t>
      </w:r>
      <w:r>
        <w:t xml:space="preserve"> </w:t>
      </w:r>
      <w:r>
        <w:t xml:space="preserve">junta composed of military officers who exercise control over the regime’s power</w:t>
      </w:r>
      <w:r>
        <w:t xml:space="preserve"> </w:t>
      </w:r>
      <w:r>
        <w:t xml:space="preserve">structure, including leadership selection and policy formulation. Examples of</w:t>
      </w:r>
      <w:r>
        <w:t xml:space="preserve"> </w:t>
      </w:r>
      <w:r>
        <w:t xml:space="preserve">such regimes include the Brazilian regime (1964–1985), the Argentine regime</w:t>
      </w:r>
      <w:r>
        <w:t xml:space="preserve"> </w:t>
      </w:r>
      <w:r>
        <w:t xml:space="preserve">(1976–1983), and the Salvadoran regime (1948–1984)</w:t>
      </w:r>
      <w:r>
        <w:t xml:space="preserve"> </w:t>
      </w:r>
      <w:r>
        <w:t xml:space="preserve">(Geddes 1999)</w:t>
      </w:r>
      <w:r>
        <w:t xml:space="preserve">. It’s noteworthy</w:t>
      </w:r>
      <w:r>
        <w:t xml:space="preserve"> </w:t>
      </w:r>
      <w:r>
        <w:t xml:space="preserve">that within military regimes, political parties may persist, but they typically</w:t>
      </w:r>
      <w:r>
        <w:t xml:space="preserve"> </w:t>
      </w:r>
      <w:r>
        <w:t xml:space="preserve">serve as conduits for the military junta or align with the directives of military</w:t>
      </w:r>
      <w:r>
        <w:t xml:space="preserve"> </w:t>
      </w:r>
      <w:r>
        <w:t xml:space="preserve">officers to avoid being categorized as dominant-party regimes. Additionally,</w:t>
      </w:r>
      <w:r>
        <w:t xml:space="preserve"> </w:t>
      </w:r>
      <w:r>
        <w:t xml:space="preserve">while a junta may appoint a senior officer as the executive or enlist civilian</w:t>
      </w:r>
      <w:r>
        <w:t xml:space="preserve"> </w:t>
      </w:r>
      <w:r>
        <w:t xml:space="preserve">administrators and technocrats as intermediaries, their authority over other</w:t>
      </w:r>
      <w:r>
        <w:t xml:space="preserve"> </w:t>
      </w:r>
      <w:r>
        <w:t xml:space="preserve">officers remains restricted, distinguishing military regimes from personalist</w:t>
      </w:r>
      <w:r>
        <w:t xml:space="preserve"> </w:t>
      </w:r>
      <w:r>
        <w:t xml:space="preserve">ones.</w:t>
      </w:r>
    </w:p>
    <w:p>
      <w:pPr>
        <w:pStyle w:val="BodyText"/>
      </w:pPr>
      <w:r>
        <w:t xml:space="preserve">In a typical</w:t>
      </w:r>
      <w:r>
        <w:t xml:space="preserve"> </w:t>
      </w:r>
      <w:r>
        <w:rPr>
          <w:bCs/>
          <w:b/>
        </w:rPr>
        <w:t xml:space="preserve">personalist regime</w:t>
      </w:r>
      <w:r>
        <w:t xml:space="preserve">, supreme power rests with the dictator,</w:t>
      </w:r>
      <w:r>
        <w:t xml:space="preserve"> </w:t>
      </w:r>
      <w:r>
        <w:t xml:space="preserve">encompassing policy making, control over the military, and the authority to</w:t>
      </w:r>
      <w:r>
        <w:t xml:space="preserve"> </w:t>
      </w:r>
      <w:r>
        <w:t xml:space="preserve">nominate top officials and successors. Personalist rules often emerge under</w:t>
      </w:r>
      <w:r>
        <w:t xml:space="preserve"> </w:t>
      </w:r>
      <w:r>
        <w:t xml:space="preserve">charismatic leaders, particularly founding fathers of newly independent nations.</w:t>
      </w:r>
      <w:r>
        <w:t xml:space="preserve"> </w:t>
      </w:r>
      <w:r>
        <w:t xml:space="preserve">Regimes such as Rafael Trujillo’s in the Dominican Republic (1930–1961), Idi</w:t>
      </w:r>
      <w:r>
        <w:t xml:space="preserve"> </w:t>
      </w:r>
      <w:r>
        <w:t xml:space="preserve">Amin’s in Uganda (1971–1979), and Jean-Bédel Bokassa’s in the Central African</w:t>
      </w:r>
      <w:r>
        <w:t xml:space="preserve"> </w:t>
      </w:r>
      <w:r>
        <w:t xml:space="preserve">Republic (1966–1979) serve as illustrative examples of personalist rule</w:t>
      </w:r>
      <w:r>
        <w:t xml:space="preserve"> </w:t>
      </w:r>
      <w:r>
        <w:t xml:space="preserve">(Geddes 1999)</w:t>
      </w:r>
      <w:r>
        <w:t xml:space="preserve">. In such regimes, either political parties are absent or they are</w:t>
      </w:r>
      <w:r>
        <w:t xml:space="preserve"> </w:t>
      </w:r>
      <w:r>
        <w:t xml:space="preserve">established by or subservient to the dictator. Importantly, the dictator may or</w:t>
      </w:r>
      <w:r>
        <w:t xml:space="preserve"> </w:t>
      </w:r>
      <w:r>
        <w:t xml:space="preserve">may not be a military officer themselves, but the military is invariably under</w:t>
      </w:r>
      <w:r>
        <w:t xml:space="preserve"> </w:t>
      </w:r>
      <w:r>
        <w:t xml:space="preserve">the dictator’s control.</w:t>
      </w:r>
    </w:p>
    <w:p>
      <w:pPr>
        <w:pStyle w:val="BodyText"/>
      </w:pPr>
      <w:r>
        <w:t xml:space="preserve">In a typical</w:t>
      </w:r>
      <w:r>
        <w:t xml:space="preserve"> </w:t>
      </w:r>
      <w:r>
        <w:rPr>
          <w:bCs/>
          <w:b/>
        </w:rPr>
        <w:t xml:space="preserve">dominant-party regime</w:t>
      </w:r>
      <w:r>
        <w:t xml:space="preserve">, supreme power lies within the party, with</w:t>
      </w:r>
      <w:r>
        <w:t xml:space="preserve"> </w:t>
      </w:r>
      <w:r>
        <w:t xml:space="preserve">the incumbent serving as its representative and subject to collective party</w:t>
      </w:r>
      <w:r>
        <w:t xml:space="preserve"> </w:t>
      </w:r>
      <w:r>
        <w:t xml:space="preserve">leadership. Examples of dominant-party regimes include the Partido Revolucionario</w:t>
      </w:r>
      <w:r>
        <w:t xml:space="preserve"> </w:t>
      </w:r>
      <w:r>
        <w:t xml:space="preserve">Institucional (PRI) in Mexico, the Revolutionary Party of Tanzania (CCM), and</w:t>
      </w:r>
      <w:r>
        <w:t xml:space="preserve"> </w:t>
      </w:r>
      <w:r>
        <w:t xml:space="preserve">Leninist parties in various East European countries</w:t>
      </w:r>
      <w:r>
        <w:t xml:space="preserve"> </w:t>
      </w:r>
      <w:r>
        <w:t xml:space="preserve">(Geddes 1999)</w:t>
      </w:r>
      <w:r>
        <w:t xml:space="preserve">. The party</w:t>
      </w:r>
      <w:r>
        <w:t xml:space="preserve"> </w:t>
      </w:r>
      <w:r>
        <w:t xml:space="preserve">functions as a well-organized and highly disciplined entity, with its own</w:t>
      </w:r>
      <w:r>
        <w:t xml:space="preserve"> </w:t>
      </w:r>
      <w:r>
        <w:t xml:space="preserve">ideology and political agenda to unite and mobilize its members and supporters.</w:t>
      </w:r>
      <w:r>
        <w:t xml:space="preserve"> </w:t>
      </w:r>
      <w:r>
        <w:t xml:space="preserve">While powerful leaders may emerge within such regimes, such as Stalin in the</w:t>
      </w:r>
      <w:r>
        <w:t xml:space="preserve"> </w:t>
      </w:r>
      <w:r>
        <w:t xml:space="preserve">Soviet Union (1924-1953 and Mao Zedong in China (1949-1976), they do not wield</w:t>
      </w:r>
      <w:r>
        <w:t xml:space="preserve"> </w:t>
      </w:r>
      <w:r>
        <w:t xml:space="preserve">enough power to supplant or replace the party with a new one.</w:t>
      </w:r>
    </w:p>
    <w:tbl>
      <w:tblPr>
        <w:tblStyle w:val="Table"/>
        <w:tblW w:type="pct" w:w="5000"/>
        <w:tblLook w:firstRow="0" w:lastRow="0" w:firstColumn="0" w:lastColumn="0" w:noHBand="0" w:noVBand="0" w:val="0000"/>
        <w:jc w:val="start"/>
        <w:tblLayout w:type="fixed"/>
      </w:tblPr>
      <w:tblGrid>
        <w:gridCol w:w="7920"/>
      </w:tblGrid>
      <w:tr>
        <w:tc>
          <w:tcPr/>
          <w:bookmarkStart w:id="31" w:name="tbl-regimes"/>
          <w:p>
            <w:pPr>
              <w:jc w:val="center"/>
            </w:pPr>
            <w:pPr>
              <w:jc w:val="start"/>
              <w:spacing w:before="200"/>
              <w:pStyle w:val="ImageCaption"/>
            </w:pPr>
            <w:r>
              <w:t xml:space="preserve">Table 2: Regime types and their distribution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Share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gridSpan w:val="3"/>
                </w:tcPr>
                <w:p>
                  <w:pPr>
                    <w:spacing w:before="0" w:after="60"/>
                    <w:keepNext/>
                  </w:pPr>
                  <w:r>
                    <w:rPr>
                      <w:i/>
                      <w:rFonts w:ascii="Calibri" w:hAnsi="Calibri"/>
                      <w:sz w:val="20"/>
                    </w:rPr>
                    <w:t xml:space="preserve">Source: REIGN dataset</w:t>
                  </w:r>
                </w:p>
              </w:tc>
            </w:tr>
          </w:tbl>
          <w:bookmarkEnd w:id="31"/>
        </w:tc>
      </w:tr>
    </w:tbl>
    <w:bookmarkEnd w:id="32"/>
    <w:bookmarkEnd w:id="33"/>
    <w:bookmarkStart w:id="34" w:name="research-framework-and-hypotheses"/>
    <w:p>
      <w:pPr>
        <w:pStyle w:val="Heading2"/>
      </w:pPr>
      <w:r>
        <w:t xml:space="preserve">Research Framework and Hypotheses</w:t>
      </w:r>
    </w:p>
    <w:bookmarkEnd w:id="34"/>
    <w:bookmarkStart w:id="35" w:name="data-and-variables"/>
    <w:p>
      <w:pPr>
        <w:pStyle w:val="Heading2"/>
      </w:pPr>
      <w:r>
        <w:t xml:space="preserve">Data and Variables</w:t>
      </w:r>
    </w:p>
    <w:bookmarkEnd w:id="35"/>
    <w:bookmarkStart w:id="36" w:name="results-and-discussion"/>
    <w:p>
      <w:pPr>
        <w:pStyle w:val="Heading2"/>
      </w:pPr>
      <w:r>
        <w:t xml:space="preserve">Results and Discussion</w:t>
      </w:r>
    </w:p>
    <w:bookmarkEnd w:id="36"/>
    <w:bookmarkStart w:id="61" w:name="conclusion"/>
    <w:p>
      <w:pPr>
        <w:pStyle w:val="Heading2"/>
      </w:pPr>
      <w:r>
        <w:t xml:space="preserve">Conclusion</w:t>
      </w:r>
    </w:p>
    <w:bookmarkStart w:id="60" w:name="refs"/>
    <w:bookmarkStart w:id="38"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37">
        <w:r>
          <w:rPr>
            <w:rStyle w:val="Hyperlink"/>
          </w:rPr>
          <w:t xml:space="preserve">https://doi.org/10.1093/oxfordhb/9780190469771.013.15</w:t>
        </w:r>
      </w:hyperlink>
      <w:r>
        <w:t xml:space="preserve">.</w:t>
      </w:r>
    </w:p>
    <w:bookmarkEnd w:id="38"/>
    <w:bookmarkStart w:id="40"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39">
        <w:r>
          <w:rPr>
            <w:rStyle w:val="Hyperlink"/>
          </w:rPr>
          <w:t xml:space="preserve">https://doi.org/10.2139/ssrn.2851758</w:t>
        </w:r>
      </w:hyperlink>
      <w:r>
        <w:t xml:space="preserve">.</w:t>
      </w:r>
    </w:p>
    <w:bookmarkEnd w:id="40"/>
    <w:bookmarkStart w:id="42"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41">
        <w:r>
          <w:rPr>
            <w:rStyle w:val="Hyperlink"/>
          </w:rPr>
          <w:t xml:space="preserve">https://doi.org/10.1146/annurev.polisci.2.1.115</w:t>
        </w:r>
      </w:hyperlink>
      <w:r>
        <w:t xml:space="preserve">.</w:t>
      </w:r>
    </w:p>
    <w:bookmarkEnd w:id="42"/>
    <w:bookmarkStart w:id="44"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43">
        <w:r>
          <w:rPr>
            <w:rStyle w:val="Hyperlink"/>
          </w:rPr>
          <w:t xml:space="preserve">https://doi.org/10.1017/s1537592714000851</w:t>
        </w:r>
      </w:hyperlink>
      <w:r>
        <w:t xml:space="preserve">.</w:t>
      </w:r>
    </w:p>
    <w:bookmarkEnd w:id="44"/>
    <w:bookmarkStart w:id="46"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45">
        <w:r>
          <w:rPr>
            <w:rStyle w:val="Hyperlink"/>
          </w:rPr>
          <w:t xml:space="preserve">https://doi.org/10.1093/oso/9780198837404.003.0003</w:t>
        </w:r>
      </w:hyperlink>
      <w:r>
        <w:t xml:space="preserve">.</w:t>
      </w:r>
    </w:p>
    <w:bookmarkEnd w:id="46"/>
    <w:bookmarkStart w:id="47"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47"/>
    <w:bookmarkStart w:id="49" w:name="ref-leon2013"/>
    <w:p>
      <w:pPr>
        <w:pStyle w:val="Bibliography"/>
      </w:pPr>
      <w:r>
        <w:t xml:space="preserve">Leon, Gabriel. 2013a.</w:t>
      </w:r>
      <w:r>
        <w:t xml:space="preserve"> </w:t>
      </w:r>
      <w:r>
        <w:t xml:space="preserve">“Soldiers or Politicians? Institutions, Conflict, and the Military</w:t>
      </w:r>
      <w:r>
        <w:t xml:space="preserve">’</w:t>
      </w:r>
      <w:r>
        <w:t xml:space="preserve">s Role in Politics.”</w:t>
      </w:r>
      <w:r>
        <w:t xml:space="preserve"> </w:t>
      </w:r>
      <w:r>
        <w:rPr>
          <w:iCs/>
          <w:i/>
        </w:rPr>
        <w:t xml:space="preserve">Oxford Economic Papers</w:t>
      </w:r>
      <w:r>
        <w:t xml:space="preserve"> </w:t>
      </w:r>
      <w:r>
        <w:t xml:space="preserve">66 (2): 533–56.</w:t>
      </w:r>
      <w:r>
        <w:t xml:space="preserve"> </w:t>
      </w:r>
      <w:hyperlink r:id="rId48">
        <w:r>
          <w:rPr>
            <w:rStyle w:val="Hyperlink"/>
          </w:rPr>
          <w:t xml:space="preserve">https://doi.org/10.1093/oep/gpt024</w:t>
        </w:r>
      </w:hyperlink>
      <w:r>
        <w:t xml:space="preserve">.</w:t>
      </w:r>
    </w:p>
    <w:bookmarkEnd w:id="49"/>
    <w:bookmarkStart w:id="51" w:name="ref-leon2013a"/>
    <w:p>
      <w:pPr>
        <w:pStyle w:val="Bibliography"/>
      </w:pPr>
      <w:r>
        <w:t xml:space="preserve">———. 2013b.</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50">
        <w:r>
          <w:rPr>
            <w:rStyle w:val="Hyperlink"/>
          </w:rPr>
          <w:t xml:space="preserve">https://doi.org/10.1007/s11127-013-0124-4</w:t>
        </w:r>
      </w:hyperlink>
      <w:r>
        <w:t xml:space="preserve">.</w:t>
      </w:r>
    </w:p>
    <w:bookmarkEnd w:id="51"/>
    <w:bookmarkStart w:id="5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2">
        <w:r>
          <w:rPr>
            <w:rStyle w:val="Hyperlink"/>
          </w:rPr>
          <w:t xml:space="preserve">https://doi.org/10.1177/0022343310397436</w:t>
        </w:r>
      </w:hyperlink>
      <w:r>
        <w:t xml:space="preserve">.</w:t>
      </w:r>
    </w:p>
    <w:bookmarkEnd w:id="53"/>
    <w:bookmarkStart w:id="5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54">
        <w:r>
          <w:rPr>
            <w:rStyle w:val="Hyperlink"/>
          </w:rPr>
          <w:t xml:space="preserve">https://doi.org/10.1080/13510347.2018.1450389</w:t>
        </w:r>
      </w:hyperlink>
      <w:r>
        <w:t xml:space="preserve">.</w:t>
      </w:r>
    </w:p>
    <w:bookmarkEnd w:id="55"/>
    <w:bookmarkStart w:id="57"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56">
        <w:r>
          <w:rPr>
            <w:rStyle w:val="Hyperlink"/>
          </w:rPr>
          <w:t xml:space="preserve">https://doi.org/10.1177/0010414016688004</w:t>
        </w:r>
      </w:hyperlink>
      <w:r>
        <w:t xml:space="preserve">.</w:t>
      </w:r>
    </w:p>
    <w:bookmarkEnd w:id="57"/>
    <w:bookmarkStart w:id="59"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58">
        <w:r>
          <w:rPr>
            <w:rStyle w:val="Hyperlink"/>
          </w:rPr>
          <w:t xml:space="preserve">https://doi.org/10.1093/oxfordhb/9780190469771.013.13</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2024-05-11</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07/s11127-013-0124-4" TargetMode="External" /><Relationship Type="http://schemas.openxmlformats.org/officeDocument/2006/relationships/hyperlink" Id="rId43" Target="https://doi.org/10.1017/s1537592714000851" TargetMode="External" /><Relationship Type="http://schemas.openxmlformats.org/officeDocument/2006/relationships/hyperlink" Id="rId54" Target="https://doi.org/10.1080/13510347.2018.1450389" TargetMode="External" /><Relationship Type="http://schemas.openxmlformats.org/officeDocument/2006/relationships/hyperlink" Id="rId48" Target="https://doi.org/10.1093/oep/gpt024" TargetMode="External" /><Relationship Type="http://schemas.openxmlformats.org/officeDocument/2006/relationships/hyperlink" Id="rId45" Target="https://doi.org/10.1093/oso/9780198837404.003.0003" TargetMode="External" /><Relationship Type="http://schemas.openxmlformats.org/officeDocument/2006/relationships/hyperlink" Id="rId58" Target="https://doi.org/10.1093/oxfordhb/9780190469771.013.13" TargetMode="External" /><Relationship Type="http://schemas.openxmlformats.org/officeDocument/2006/relationships/hyperlink" Id="rId37" Target="https://doi.org/10.1093/oxfordhb/9780190469771.013.15" TargetMode="External" /><Relationship Type="http://schemas.openxmlformats.org/officeDocument/2006/relationships/hyperlink" Id="rId41" Target="https://doi.org/10.1146/annurev.polisci.2.1.115" TargetMode="External" /><Relationship Type="http://schemas.openxmlformats.org/officeDocument/2006/relationships/hyperlink" Id="rId56" Target="https://doi.org/10.1177/0010414016688004" TargetMode="External" /><Relationship Type="http://schemas.openxmlformats.org/officeDocument/2006/relationships/hyperlink" Id="rId52" Target="https://doi.org/10.1177/0022343310397436" TargetMode="External" /><Relationship Type="http://schemas.openxmlformats.org/officeDocument/2006/relationships/hyperlink" Id="rId39" Target="https://doi.org/10.2139/ssrn.2851758"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11127-013-0124-4" TargetMode="External" /><Relationship Type="http://schemas.openxmlformats.org/officeDocument/2006/relationships/hyperlink" Id="rId43" Target="https://doi.org/10.1017/s1537592714000851" TargetMode="External" /><Relationship Type="http://schemas.openxmlformats.org/officeDocument/2006/relationships/hyperlink" Id="rId54" Target="https://doi.org/10.1080/13510347.2018.1450389" TargetMode="External" /><Relationship Type="http://schemas.openxmlformats.org/officeDocument/2006/relationships/hyperlink" Id="rId48" Target="https://doi.org/10.1093/oep/gpt024" TargetMode="External" /><Relationship Type="http://schemas.openxmlformats.org/officeDocument/2006/relationships/hyperlink" Id="rId45" Target="https://doi.org/10.1093/oso/9780198837404.003.0003" TargetMode="External" /><Relationship Type="http://schemas.openxmlformats.org/officeDocument/2006/relationships/hyperlink" Id="rId58" Target="https://doi.org/10.1093/oxfordhb/9780190469771.013.13" TargetMode="External" /><Relationship Type="http://schemas.openxmlformats.org/officeDocument/2006/relationships/hyperlink" Id="rId37" Target="https://doi.org/10.1093/oxfordhb/9780190469771.013.15" TargetMode="External" /><Relationship Type="http://schemas.openxmlformats.org/officeDocument/2006/relationships/hyperlink" Id="rId41" Target="https://doi.org/10.1146/annurev.polisci.2.1.115" TargetMode="External" /><Relationship Type="http://schemas.openxmlformats.org/officeDocument/2006/relationships/hyperlink" Id="rId56" Target="https://doi.org/10.1177/0010414016688004" TargetMode="External" /><Relationship Type="http://schemas.openxmlformats.org/officeDocument/2006/relationships/hyperlink" Id="rId52" Target="https://doi.org/10.1177/0022343310397436" TargetMode="External" /><Relationship Type="http://schemas.openxmlformats.org/officeDocument/2006/relationships/hyperlink" Id="rId39" Target="https://doi.org/10.2139/ssrn.2851758"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2024-05-11T17:37:42Z</dcterms:created>
  <dcterms:modified xsi:type="dcterms:W3CDTF">2024-05-11T17:37:42Z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2024-05-11</vt:lpwstr>
  </property>
  <property fmtid="{D5CDD505-2E9C-101B-9397-08002B2CF9AE}" pid="11" name="date-modified">
    <vt:lpwstr>2024-05-11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