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2024-04-13</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6" w:name="literature-review"/>
    <w:p>
      <w:pPr>
        <w:pStyle w:val="Heading2"/>
      </w:pPr>
      <w:r>
        <w:t xml:space="preserve">Literature Review</w:t>
      </w:r>
    </w:p>
    <w:p>
      <w:pPr>
        <w:pStyle w:val="FirstParagraph"/>
      </w:pPr>
      <w:r>
        <w:t xml:space="preserve">The majority of studies on coup risks primarily focus on identifying the causes and determinants of coup attempts.</w:t>
      </w:r>
      <w:r>
        <w:t xml:space="preserve"> </w:t>
      </w:r>
      <w:r>
        <w:t xml:space="preserve">As mentioned earlier, despite the multitude of potential determinants proposed—numbering around one hundred</w:t>
      </w:r>
      <w:r>
        <w:t xml:space="preserve"> </w:t>
      </w:r>
      <w:r>
        <w:t xml:space="preserve">(Gassebner, Gutmann, and Voigt 2016)</w:t>
      </w:r>
      <w:r>
        <w:t xml:space="preserve">—only a few studies have discussed both coup attempts and coup success.</w:t>
      </w:r>
      <w:r>
        <w:t xml:space="preserve"> </w:t>
      </w:r>
      <w:r>
        <w:t xml:space="preserve">Moreover, even fewer of these studies have specifically analysed the possible deterrent effect of coup outcomes on coup attempts.</w:t>
      </w:r>
      <w:r>
        <w:t xml:space="preserve"> </w:t>
      </w:r>
      <w:r>
        <w:t xml:space="preserve">Additionally, the dynamics of power balance among various types of regimes are often overlooked in previous studies.</w:t>
      </w:r>
    </w:p>
    <w:p>
      <w:pPr>
        <w:pStyle w:val="BodyText"/>
      </w:pPr>
      <w:r>
        <w:t xml:space="preserve">The oft-cited framework regarding the anticipated gains of coup plotters is formalized by</w:t>
      </w:r>
      <w:r>
        <w:t xml:space="preserve"> </w:t>
      </w:r>
      <w:r>
        <w:t xml:space="preserve">Leon (2013)</w:t>
      </w:r>
      <w:r>
        <w:t xml:space="preserve"> </w:t>
      </w:r>
      <w:r>
        <w:t xml:space="preserve">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Aidt and Leon (2019)</w:t>
      </w:r>
      <w:r>
        <w:t xml:space="preserve"> </w:t>
      </w:r>
      <w:r>
        <w:t xml:space="preserve">suggests that a coup is likely to be initiated when the anticipated benefits of a successful coup outweigh the potential costs of failure.</w:t>
      </w:r>
      <w:r>
        <w:t xml:space="preserve"> </w:t>
      </w:r>
      <w:r>
        <w:t xml:space="preserve">This implies that the decision to orchestrate a coup is heavily influenced by the perceived probability of success.</w:t>
      </w:r>
      <w:r>
        <w:t xml:space="preserve"> </w:t>
      </w:r>
      <w:r>
        <w:t xml:space="preserve">While the discussion of</w:t>
      </w:r>
      <w:r>
        <w:t xml:space="preserve"> </w:t>
      </w:r>
      <w:hyperlink w:anchor="eq-eq1">
        <w:r>
          <w:rPr>
            <w:rStyle w:val="Hyperlink"/>
          </w:rPr>
          <w:t xml:space="preserve">Equation 1</w:t>
        </w:r>
      </w:hyperlink>
      <w:r>
        <w:t xml:space="preserve"> </w:t>
      </w:r>
      <w:r>
        <w:t xml:space="preserve">in</w:t>
      </w:r>
      <w:r>
        <w:t xml:space="preserve"> </w:t>
      </w:r>
      <w:r>
        <w:t xml:space="preserve">Leon (2013)</w:t>
      </w:r>
      <w:r>
        <w:t xml:space="preserve"> </w:t>
      </w:r>
      <w:r>
        <w:t xml:space="preserve">may appear technical and theoretical, it raises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 and cannot be exchanged in a public market.</w:t>
      </w:r>
      <w:r>
        <w:t xml:space="preserve"> </w:t>
      </w:r>
      <w:r>
        <w:t xml:space="preserve">Coup plotters are motivated by more than just superficial gains or losses, as I will delve into further in the subsequent chapter.</w:t>
      </w:r>
      <w:r>
        <w:t xml:space="preserve"> </w:t>
      </w:r>
      <w:r>
        <w:t xml:space="preserve">Nonetheless, the underlying logic of the equation remains robust and offers a valuable framework for comprehending the decision-making dynamics of coup plotters.</w:t>
      </w:r>
    </w:p>
    <w:p>
      <w:pPr>
        <w:pStyle w:val="BodyText"/>
      </w:pPr>
      <w:r>
        <w:t xml:space="preserve">When analysing coup outcomes, it is essential to consider three key dimensions.</w:t>
      </w:r>
      <w:r>
        <w:t xml:space="preserve"> </w:t>
      </w:r>
      <w:r>
        <w:t xml:space="preserve">Firstly, there is the impact coups can have on regime types and socio-economic development.</w:t>
      </w:r>
      <w:r>
        <w:t xml:space="preserve"> </w:t>
      </w:r>
      <w:r>
        <w:t xml:space="preserve">Many studies in this realm focus on the potential shifts towards democracy following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w:t>
      </w:r>
      <w:r>
        <w:t xml:space="preserve"> </w:t>
      </w:r>
      <w:r>
        <w:t xml:space="preserve">(Derpanopoulos et al. 2016, 2017)</w:t>
      </w:r>
      <w:r>
        <w:t xml:space="preserve">.</w:t>
      </w:r>
      <w:r>
        <w:t xml:space="preserve"> </w:t>
      </w:r>
      <w:r>
        <w:t xml:space="preserve">The second dimension involves understanding the varying outcomes of coups: why some succeed while others fail</w:t>
      </w:r>
      <w:r>
        <w:t xml:space="preserve"> </w:t>
      </w:r>
      <w:r>
        <w:t xml:space="preserve">(Quinlivan 1999; Kebschull 1994)</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considered the interdependence between coup attempts and coup success.</w:t>
      </w:r>
      <w:r>
        <w:t xml:space="preserve"> </w:t>
      </w:r>
      <w:r>
        <w:t xml:space="preserve">Although</w:t>
      </w:r>
      <w:r>
        <w:t xml:space="preserve"> </w:t>
      </w:r>
      <w:r>
        <w:t xml:space="preserve">J. Powell (2012)</w:t>
      </w:r>
      <w:r>
        <w:t xml:space="preserve"> </w:t>
      </w:r>
      <w:r>
        <w:t xml:space="preserve">also employs a sample selection model and simultaneously considers both coup attempts and coup success, his primary focus is on military expenditure, personnel, and coup-proofing strategies, such as paramilitary measures, rather than the dynamics of power balance within different types of regimes.</w:t>
      </w:r>
    </w:p>
    <w:bookmarkEnd w:id="26"/>
    <w:bookmarkStart w:id="27" w:name="research-framework-and-hypotheses"/>
    <w:p>
      <w:pPr>
        <w:pStyle w:val="Heading2"/>
      </w:pPr>
      <w:r>
        <w:t xml:space="preserve">Research Framework and Hypotheses</w:t>
      </w:r>
    </w:p>
    <w:bookmarkEnd w:id="27"/>
    <w:bookmarkStart w:id="28" w:name="data-and-variables"/>
    <w:p>
      <w:pPr>
        <w:pStyle w:val="Heading2"/>
      </w:pPr>
      <w:r>
        <w:t xml:space="preserve">Data and Variables</w:t>
      </w:r>
    </w:p>
    <w:bookmarkEnd w:id="28"/>
    <w:bookmarkStart w:id="29" w:name="results-and-discussion"/>
    <w:p>
      <w:pPr>
        <w:pStyle w:val="Heading2"/>
      </w:pPr>
      <w:r>
        <w:t xml:space="preserve">Results and Discussion</w:t>
      </w:r>
    </w:p>
    <w:bookmarkEnd w:id="29"/>
    <w:bookmarkStart w:id="51" w:name="conclusion"/>
    <w:p>
      <w:pPr>
        <w:pStyle w:val="Heading2"/>
      </w:pPr>
      <w:r>
        <w:t xml:space="preserve">Conclusion</w:t>
      </w:r>
    </w:p>
    <w:bookmarkStart w:id="50" w:name="refs"/>
    <w:bookmarkStart w:id="31"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0">
        <w:r>
          <w:rPr>
            <w:rStyle w:val="Hyperlink"/>
          </w:rPr>
          <w:t xml:space="preserve">https://doi.org/10.1093/oxfordhb/9780190469771.013.15</w:t>
        </w:r>
      </w:hyperlink>
      <w:r>
        <w:t xml:space="preserve">.</w:t>
      </w:r>
    </w:p>
    <w:bookmarkEnd w:id="31"/>
    <w:bookmarkStart w:id="33"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2">
        <w:r>
          <w:rPr>
            <w:rStyle w:val="Hyperlink"/>
          </w:rPr>
          <w:t xml:space="preserve">https://doi.org/10.1177/2053168016630837</w:t>
        </w:r>
      </w:hyperlink>
      <w:r>
        <w:t xml:space="preserve">.</w:t>
      </w:r>
    </w:p>
    <w:bookmarkEnd w:id="33"/>
    <w:bookmarkStart w:id="35"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34">
        <w:r>
          <w:rPr>
            <w:rStyle w:val="Hyperlink"/>
          </w:rPr>
          <w:t xml:space="preserve">https://doi.org/10.1177/2053168017707355</w:t>
        </w:r>
      </w:hyperlink>
      <w:r>
        <w:t xml:space="preserve">.</w:t>
      </w:r>
    </w:p>
    <w:bookmarkEnd w:id="35"/>
    <w:bookmarkStart w:id="37"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6">
        <w:r>
          <w:rPr>
            <w:rStyle w:val="Hyperlink"/>
          </w:rPr>
          <w:t xml:space="preserve">https://doi.org/10.2139/ssrn.2851758</w:t>
        </w:r>
      </w:hyperlink>
      <w:r>
        <w:t xml:space="preserve">.</w:t>
      </w:r>
    </w:p>
    <w:bookmarkEnd w:id="37"/>
    <w:bookmarkStart w:id="39"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38">
        <w:r>
          <w:rPr>
            <w:rStyle w:val="Hyperlink"/>
          </w:rPr>
          <w:t xml:space="preserve">https://doi.org/10.1177/0095327x9402000405</w:t>
        </w:r>
      </w:hyperlink>
      <w:r>
        <w:t xml:space="preserve">.</w:t>
      </w:r>
    </w:p>
    <w:bookmarkEnd w:id="39"/>
    <w:bookmarkStart w:id="41" w:name="ref-leon2013"/>
    <w:p>
      <w:pPr>
        <w:pStyle w:val="Bibliography"/>
      </w:pPr>
      <w:r>
        <w:t xml:space="preserve">Leon, Gabriel. 2013.</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0">
        <w:r>
          <w:rPr>
            <w:rStyle w:val="Hyperlink"/>
          </w:rPr>
          <w:t xml:space="preserve">https://doi.org/10.1093/oep/gpt024</w:t>
        </w:r>
      </w:hyperlink>
      <w:r>
        <w:t xml:space="preserve">.</w:t>
      </w:r>
    </w:p>
    <w:bookmarkEnd w:id="41"/>
    <w:bookmarkStart w:id="43"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42">
        <w:r>
          <w:rPr>
            <w:rStyle w:val="Hyperlink"/>
          </w:rPr>
          <w:t xml:space="preserve">https://doi.org/10.1177/2053168016681908</w:t>
        </w:r>
      </w:hyperlink>
      <w:r>
        <w:t xml:space="preserve">.</w:t>
      </w:r>
    </w:p>
    <w:bookmarkEnd w:id="43"/>
    <w:bookmarkStart w:id="45"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44">
        <w:r>
          <w:rPr>
            <w:rStyle w:val="Hyperlink"/>
          </w:rPr>
          <w:t xml:space="preserve">https://doi.org/10.1177/0022002712445732</w:t>
        </w:r>
      </w:hyperlink>
      <w:r>
        <w:t xml:space="preserve">.</w:t>
      </w:r>
    </w:p>
    <w:bookmarkEnd w:id="45"/>
    <w:bookmarkStart w:id="4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46">
        <w:r>
          <w:rPr>
            <w:rStyle w:val="Hyperlink"/>
          </w:rPr>
          <w:t xml:space="preserve">https://doi.org/10.1177/0022343310397436</w:t>
        </w:r>
      </w:hyperlink>
      <w:r>
        <w:t xml:space="preserve">.</w:t>
      </w:r>
    </w:p>
    <w:bookmarkEnd w:id="47"/>
    <w:bookmarkStart w:id="49"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48">
        <w:r>
          <w:rPr>
            <w:rStyle w:val="Hyperlink"/>
          </w:rPr>
          <w:t xml:space="preserve">https://doi.org/10.7249/rp844</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44" Target="https://doi.org/10.1177/0022002712445732" TargetMode="External" /><Relationship Type="http://schemas.openxmlformats.org/officeDocument/2006/relationships/hyperlink" Id="rId46" Target="https://doi.org/10.1177/0022343310397436" TargetMode="External" /><Relationship Type="http://schemas.openxmlformats.org/officeDocument/2006/relationships/hyperlink" Id="rId38" Target="https://doi.org/10.1177/0095327x9402000405" TargetMode="External" /><Relationship Type="http://schemas.openxmlformats.org/officeDocument/2006/relationships/hyperlink" Id="rId32" Target="https://doi.org/10.1177/2053168016630837" TargetMode="External" /><Relationship Type="http://schemas.openxmlformats.org/officeDocument/2006/relationships/hyperlink" Id="rId42" Target="https://doi.org/10.1177/2053168016681908" TargetMode="External" /><Relationship Type="http://schemas.openxmlformats.org/officeDocument/2006/relationships/hyperlink" Id="rId34" Target="https://doi.org/10.1177/2053168017707355" TargetMode="External" /><Relationship Type="http://schemas.openxmlformats.org/officeDocument/2006/relationships/hyperlink" Id="rId36" Target="https://doi.org/10.2139/ssrn.2851758" TargetMode="External" /><Relationship Type="http://schemas.openxmlformats.org/officeDocument/2006/relationships/hyperlink" Id="rId48"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44" Target="https://doi.org/10.1177/0022002712445732" TargetMode="External" /><Relationship Type="http://schemas.openxmlformats.org/officeDocument/2006/relationships/hyperlink" Id="rId46" Target="https://doi.org/10.1177/0022343310397436" TargetMode="External" /><Relationship Type="http://schemas.openxmlformats.org/officeDocument/2006/relationships/hyperlink" Id="rId38" Target="https://doi.org/10.1177/0095327x9402000405" TargetMode="External" /><Relationship Type="http://schemas.openxmlformats.org/officeDocument/2006/relationships/hyperlink" Id="rId32" Target="https://doi.org/10.1177/2053168016630837" TargetMode="External" /><Relationship Type="http://schemas.openxmlformats.org/officeDocument/2006/relationships/hyperlink" Id="rId42" Target="https://doi.org/10.1177/2053168016681908" TargetMode="External" /><Relationship Type="http://schemas.openxmlformats.org/officeDocument/2006/relationships/hyperlink" Id="rId34" Target="https://doi.org/10.1177/2053168017707355" TargetMode="External" /><Relationship Type="http://schemas.openxmlformats.org/officeDocument/2006/relationships/hyperlink" Id="rId36" Target="https://doi.org/10.2139/ssrn.2851758" TargetMode="External" /><Relationship Type="http://schemas.openxmlformats.org/officeDocument/2006/relationships/hyperlink" Id="rId48"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2024-04-13T18:17:45Z</dcterms:created>
  <dcterms:modified xsi:type="dcterms:W3CDTF">2024-04-13T18:17:45Z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2024-04-13</vt:lpwstr>
  </property>
  <property fmtid="{D5CDD505-2E9C-101B-9397-08002B2CF9AE}" pid="11" name="date-modified">
    <vt:lpwstr>2024-04-13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