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(Powell and Thyne 2011)</w:t>
      </w:r>
      <w:r>
        <w:t xml:space="preserve">.</w:t>
      </w:r>
    </w:p>
    <w:tbl>
      <w:tblPr>
        <w:tblStyle w:val="Table"/>
        <w:tblW w:type="pct" w:w="5000"/>
        <w:tblLayout w:type="fixed"/>
        <w:tblLook w:firstRow="0" w:lastRow="0" w:firstColumn="0" w:lastColumn="0" w:noHBand="0" w:noVBand="0" w:val="0000"/>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
          <w:bCs/>
        </w:rPr>
        <w:t xml:space="preserve">disposition</w:t>
      </w:r>
      <w:r>
        <w:t xml:space="preserve"> </w:t>
      </w:r>
      <w:r>
        <w:t xml:space="preserve">(the motivations</w:t>
      </w:r>
      <w:r>
        <w:t xml:space="preserve"> </w:t>
      </w:r>
      <w:r>
        <w:t xml:space="preserve">behind the attempt) and</w:t>
      </w:r>
      <w:r>
        <w:t xml:space="preserve"> </w:t>
      </w:r>
      <w:r>
        <w:rPr>
          <w:b/>
          <w:bCs/>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
          <w:bCs/>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
          <w:bCs/>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
          <w:bCs/>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b/>
          <w:bCs/>
          <w:i/>
          <w:iCs/>
        </w:rPr>
        <w:t xml:space="preserve">H1: The fundamental determinant of a coup attempt is the perceived chance of</w:t>
      </w:r>
      <w:r>
        <w:rPr>
          <w:b/>
          <w:bCs/>
          <w:i/>
          <w:iCs/>
        </w:rPr>
        <w:t xml:space="preserve"> </w:t>
      </w:r>
      <w:r>
        <w:rPr>
          <w:b/>
          <w:bCs/>
          <w:i/>
          <w:iCs/>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
          <w:bCs/>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
          <w:bCs/>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
          <w:bCs/>
        </w:rPr>
        <w:t xml:space="preserve">dominant-party</w:t>
      </w:r>
      <w:r>
        <w:rPr>
          <w:b/>
          <w:bCs/>
        </w:rPr>
        <w:t xml:space="preserve"> </w:t>
      </w:r>
      <w:r>
        <w:rPr>
          <w:b/>
          <w:bCs/>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
          <w:bCs/>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
          <w:bCs/>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
          <w:bCs/>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Power Concentration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Succession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Military Alignment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Stability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Examples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have significant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 (1964-1985), Argentina (1976-1983)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 or dependent on leader's will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Subordinated to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Moderate (initially), Low (long-term)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 (Trujillo, 1930-1961)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 Leadership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Aligned with the 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 (PRI), China (CPC)</w:t>
                  </w:r>
                </w:p>
              </w:tc>
            </w:tr>
            <w:tr>
              <w:trPr>
                <w:cantSplit/>
              </w:trPr>
              <w:tc>
                <w:tcPr>
                  <w:gridSpan w:val="6"/>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ayout w:type="fixed"/>
        <w:tblLook w:firstRow="0" w:lastRow="0" w:firstColumn="0" w:lastColumn="0" w:noHBand="0" w:noVBand="0" w:val="0000"/>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b/>
          <w:bCs/>
          <w:i/>
          <w:iCs/>
        </w:rPr>
        <w:t xml:space="preserve">H2: Due to their balance of power dynamics, military regimes are more prone</w:t>
      </w:r>
      <w:r>
        <w:rPr>
          <w:b/>
          <w:bCs/>
          <w:i/>
          <w:iCs/>
        </w:rPr>
        <w:t xml:space="preserve"> </w:t>
      </w:r>
      <w:r>
        <w:rPr>
          <w:b/>
          <w:bCs/>
          <w:i/>
          <w:iCs/>
        </w:rPr>
        <w:t xml:space="preserve">to coups, followed by personalist regimes, while dominant-party regimes are the</w:t>
      </w:r>
      <w:r>
        <w:rPr>
          <w:b/>
          <w:bCs/>
          <w:i/>
          <w:iCs/>
        </w:rPr>
        <w:t xml:space="preserve"> </w:t>
      </w:r>
      <w:r>
        <w:rPr>
          <w:b/>
          <w:bCs/>
          <w:i/>
          <w:iCs/>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
          <w:bCs/>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
          <w:bCs/>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
          <w:iCs/>
        </w:rPr>
        <w:t xml:space="preserve">military</w:t>
      </w:r>
      <w:r>
        <w:t xml:space="preserve">,</w:t>
      </w:r>
      <w:r>
        <w:t xml:space="preserve"> </w:t>
      </w:r>
      <w:r>
        <w:rPr>
          <w:i/>
          <w:iCs/>
        </w:rPr>
        <w:t xml:space="preserve">personalist</w:t>
      </w:r>
      <w:r>
        <w:t xml:space="preserve">, or</w:t>
      </w:r>
      <w:r>
        <w:t xml:space="preserve"> </w:t>
      </w:r>
      <w:r>
        <w:rPr>
          <w:i/>
          <w:iCs/>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
          <w:bCs/>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
          <w:bCs/>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
          <w:bCs/>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
          <w:iCs/>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
          <w:iCs/>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
          <w:iCs/>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
          <w:iCs/>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
          <w:iCs/>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
          <w:iCs/>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
          <w:iCs/>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8"/>
    <w:p>
      <w:pPr>
        <w:pStyle w:val="Bibliography"/>
      </w:pPr>
      <w:r>
        <w:t xml:space="preserve">Powell, Christopher Faulkner, William Dean, and Kyle Romano. 2018.</w:t>
      </w:r>
      <w:r>
        <w:t xml:space="preserve"> </w:t>
      </w:r>
      <w:r>
        <w:t xml:space="preserve">“Give Them Toys? Military Allocations and Regime Stability in Transitional Democracies.”</w:t>
      </w:r>
      <w:r>
        <w:t xml:space="preserve"> </w:t>
      </w:r>
      <w:r>
        <w:rPr>
          <w:i/>
          <w:iCs/>
        </w:rPr>
        <w:t xml:space="preserve">Democratization</w:t>
      </w:r>
      <w:r>
        <w:t xml:space="preserve"> </w:t>
      </w:r>
      <w:r>
        <w:t xml:space="preserve">25 (7): 1153–72.</w:t>
      </w:r>
      <w:r>
        <w:t xml:space="preserve"> </w:t>
      </w:r>
      <w:hyperlink r:id="rId72">
        <w:r>
          <w:rPr>
            <w:rStyle w:val="Hyperlink"/>
          </w:rPr>
          <w:t xml:space="preserve">https://doi.org/10.1080/13510347.2018.1450389</w:t>
        </w:r>
      </w:hyperlink>
      <w:r>
        <w:t xml:space="preserve">.</w:t>
      </w:r>
    </w:p>
    <w:bookmarkEnd w:id="73"/>
    <w:bookmarkStart w:id="75" w:name="ref-powell2011"/>
    <w:p>
      <w:pPr>
        <w:pStyle w:val="Bibliography"/>
      </w:pPr>
      <w:r>
        <w:t xml:space="preserve">Powell, and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74">
        <w:r>
          <w:rPr>
            <w:rStyle w:val="Hyperlink"/>
          </w:rPr>
          <w:t xml:space="preserve">https://doi.org/10.1177/0022343310397436</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
          <w:iCs/>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2024-10-18</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2024-10-18.</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2"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4"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2"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4"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2024-10-28T09:54:13Z</dcterms:created>
  <dcterms:modified xsi:type="dcterms:W3CDTF">2024-10-28T09:54:13Z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2024-07-30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