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2024-05-17</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(2016a)</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it’s crucial not to overlook the most significant</w:t>
      </w:r>
      <w:r>
        <w:t xml:space="preserve"> </w:t>
      </w:r>
      <w:r>
        <w:t xml:space="preserve">characteristic of coups themselves. As noted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are automatically filtered</w:t>
      </w:r>
      <w:r>
        <w:t xml:space="preserve"> </w:t>
      </w:r>
      <w:r>
        <w:t xml:space="preserve">out. Fundamentally, launching a coup is not like participating in a general</w:t>
      </w:r>
      <w:r>
        <w:t xml:space="preserve"> </w:t>
      </w:r>
      <w:r>
        <w:t xml:space="preserve">election, where failure in one election allows for another attempt in the next</w:t>
      </w:r>
      <w:r>
        <w:t xml:space="preserve"> </w:t>
      </w:r>
      <w:r>
        <w:t xml:space="preserve">election. A coup is a high-stakes gamble where success brings substantial</w:t>
      </w:r>
      <w:r>
        <w:t xml:space="preserve"> </w:t>
      </w:r>
      <w:r>
        <w:t xml:space="preserve">rewards, while failure may result in martyrdom. Failure, put differently, means</w:t>
      </w:r>
      <w:r>
        <w:t xml:space="preserve"> </w:t>
      </w:r>
      <w:r>
        <w:t xml:space="preserve">permanent and absolute defeat. Furthermore, the outcomes of coups are typically</w:t>
      </w:r>
      <w:r>
        <w:t xml:space="preserve"> </w:t>
      </w:r>
      <w:r>
        <w:t xml:space="preserve">decided within a matter of days, sometimes even mere hours. Unlike prolonged</w:t>
      </w:r>
      <w:r>
        <w:t xml:space="preserve"> </w:t>
      </w:r>
      <w:r>
        <w:t xml:space="preserve">conflicts where victories or defeats may shift over time, the success of a coup</w:t>
      </w:r>
      <w:r>
        <w:t xml:space="preserve"> </w:t>
      </w:r>
      <w:r>
        <w:t xml:space="preserve">is often sealed at its inception. Every detail must be meticulously planned and</w:t>
      </w:r>
      <w:r>
        <w:t xml:space="preserve"> </w:t>
      </w:r>
      <w:r>
        <w:t xml:space="preserve">arranged 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w:t>
      </w:r>
      <w:r>
        <w:t xml:space="preserve"> </w:t>
      </w:r>
      <w:r>
        <w:t xml:space="preserve">hypotheses. Part 4 provides insights into the data and variables utilized in the</w:t>
      </w:r>
      <w:r>
        <w:t xml:space="preserve"> </w:t>
      </w:r>
      <w:r>
        <w:t xml:space="preserve">study. The testing results are discussed in Part</w:t>
      </w:r>
      <w:r>
        <w:t xml:space="preserve"> </w:t>
      </w:r>
      <m:oMath>
        <m:r>
          <m:t>5</m:t>
        </m:r>
      </m:oMath>
      <w:r>
        <w:t xml:space="preserve">, followed by the conclusion</w:t>
      </w:r>
      <w:r>
        <w:t xml:space="preserve"> </w:t>
      </w:r>
      <w:r>
        <w:t xml:space="preserve">in Part</w:t>
      </w:r>
      <w:r>
        <w:t xml:space="preserve"> </w:t>
      </w:r>
      <m:oMath>
        <m:r>
          <m:t>6</m:t>
        </m:r>
      </m:oMath>
      <w:r>
        <w:t xml:space="preserve">.</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2016b; Aidt and Leon 2019)</w:t>
      </w:r>
      <w:r>
        <w:t xml:space="preserve"> </w:t>
      </w:r>
      <w:r>
        <w:t xml:space="preserve">provides a structured</w:t>
      </w:r>
      <w:r>
        <w:t xml:space="preserve"> </w:t>
      </w:r>
      <w:r>
        <w:t xml:space="preserve">approach to assess the disposition and capability of coup attempts by evaluating</w:t>
      </w:r>
      <w:r>
        <w:t xml:space="preserve"> </w:t>
      </w:r>
      <w:r>
        <w:t xml:space="preserve">the 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(including monarchies), and dominant-party regimes. Democracies will also be</w:t>
      </w:r>
      <w:r>
        <w:t xml:space="preserve"> </w:t>
      </w:r>
      <w:r>
        <w:t xml:space="preserve">included in 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further bolstering stability. Unlike typical political</w:t>
      </w:r>
      <w:r>
        <w:t xml:space="preserve"> </w:t>
      </w:r>
      <w:r>
        <w:t xml:space="preserve">parties, dominant parties often rise to power through revolutions or coups,</w:t>
      </w:r>
      <w:r>
        <w:t xml:space="preserve"> </w:t>
      </w:r>
      <w:r>
        <w:t xml:space="preserve">resulting in a robust structure with no single individual wielding absolute</w:t>
      </w:r>
      <w:r>
        <w:t xml:space="preserve"> </w:t>
      </w:r>
      <w:r>
        <w:t xml:space="preserve">power. The military force aligns with the party itself, not individual leaders,</w:t>
      </w:r>
      <w:r>
        <w:t xml:space="preserve"> </w:t>
      </w:r>
      <w:r>
        <w:t xml:space="preserve">contributing significantly to greater regime stability compared to personalist or</w:t>
      </w:r>
      <w:r>
        <w:t xml:space="preserve"> </w:t>
      </w:r>
      <w:r>
        <w:t xml:space="preserve">military regimes.</w:t>
      </w:r>
    </w:p>
    <w:p>
      <w:pPr>
        <w:pStyle w:val="BodyText"/>
      </w:pPr>
      <w:r>
        <w:t xml:space="preserve">Personalist regimes exhibit a degree of temporary stability. Dictators, often</w:t>
      </w:r>
      <w:r>
        <w:t xml:space="preserve"> </w:t>
      </w:r>
      <w:r>
        <w:t xml:space="preserve">ruthless and battle-hardened, emerge from intense competition. While lacking</w:t>
      </w:r>
      <w:r>
        <w:t xml:space="preserve"> </w:t>
      </w:r>
      <w:r>
        <w:t xml:space="preserve">strong institutions, purges create a temporary status quo. However, the lack of a</w:t>
      </w:r>
      <w:r>
        <w:t xml:space="preserve"> </w:t>
      </w:r>
      <w:r>
        <w:t xml:space="preserve">clear successor creates a vulnerability during leadership transitions. When</w:t>
      </w:r>
      <w:r>
        <w:t xml:space="preserve"> </w:t>
      </w:r>
      <w:r>
        <w:t xml:space="preserve">dictators die or are assassinated, the absence of an established succession plan</w:t>
      </w:r>
      <w:r>
        <w:t xml:space="preserve"> </w:t>
      </w:r>
      <w:r>
        <w:t xml:space="preserve">can trigger coups d’état.</w:t>
      </w:r>
    </w:p>
    <w:p>
      <w:pPr>
        <w:pStyle w:val="BodyText"/>
      </w:pPr>
      <w:r>
        <w:t xml:space="preserve">Military regimes tend to be the least stable, often ruling through a junta.</w:t>
      </w:r>
      <w:r>
        <w:t xml:space="preserve"> </w:t>
      </w:r>
      <w:r>
        <w:t xml:space="preserve">Juntas lack a unified vision and are prone to internal power struggles, hindering</w:t>
      </w:r>
      <w:r>
        <w:t xml:space="preserve"> </w:t>
      </w:r>
      <w:r>
        <w:t xml:space="preserve">stability. For example, General Augusto Pinochet’s rise to power in Chile after</w:t>
      </w:r>
      <w:r>
        <w:t xml:space="preserve"> </w:t>
      </w:r>
      <w:r>
        <w:t xml:space="preserve">the 1973 coup demonstrates the inherent instability of juntas. While his</w:t>
      </w:r>
      <w:r>
        <w:t xml:space="preserve"> </w:t>
      </w:r>
      <w:r>
        <w:t xml:space="preserve">colleagues initially saw him as a safe choice, his actions proved otherwise. This</w:t>
      </w:r>
      <w:r>
        <w:t xml:space="preserve"> </w:t>
      </w:r>
      <w:r>
        <w:t xml:space="preserve">lack of cohesion within juntas makes them particularly susceptible to internal</w:t>
      </w:r>
      <w:r>
        <w:t xml:space="preserve"> </w:t>
      </w:r>
      <w:r>
        <w:t xml:space="preserve">fracturing.</w:t>
      </w:r>
    </w:p>
    <w:p>
      <w:pPr>
        <w:pStyle w:val="BodyText"/>
      </w:pPr>
      <w:r>
        <w:t xml:space="preserve">The strength of political institutions further supports this assessment. Studies</w:t>
      </w:r>
      <w:r>
        <w:t xml:space="preserve"> </w:t>
      </w:r>
      <w:r>
        <w:t xml:space="preserve">by</w:t>
      </w:r>
      <w:r>
        <w:t xml:space="preserve"> </w:t>
      </w:r>
      <w:r>
        <w:t xml:space="preserve">Frantz and Stein (2017)</w:t>
      </w:r>
      <w:r>
        <w:t xml:space="preserve"> </w:t>
      </w:r>
      <w:r>
        <w:t xml:space="preserve">show that 97% of country-years in dominant-party regimes have</w:t>
      </w:r>
      <w:r>
        <w:t xml:space="preserve"> </w:t>
      </w:r>
      <w:r>
        <w:t xml:space="preserve">formalized institutional succession rules, compared to 77% in personalist regimes</w:t>
      </w:r>
      <w:r>
        <w:t xml:space="preserve"> </w:t>
      </w:r>
      <w:r>
        <w:t xml:space="preserve">and a mere 59% in military regimes.</w:t>
      </w:r>
    </w:p>
    <w:p>
      <w:pPr>
        <w:pStyle w:val="BodyText"/>
      </w:pPr>
      <w:r>
        <w:t xml:space="preserve">These differing power dynamics significantly impact the likelihood of coup</w:t>
      </w:r>
      <w:r>
        <w:t xml:space="preserve"> </w:t>
      </w:r>
      <w:r>
        <w:t xml:space="preserve">attempts. According to</w:t>
      </w:r>
      <w:r>
        <w:t xml:space="preserve"> </w:t>
      </w:r>
      <w:hyperlink w:anchor="tbl-regimes">
        <w:r>
          <w:rPr>
            <w:rStyle w:val="Hyperlink"/>
          </w:rPr>
          <w:t xml:space="preserve">Table 2</w:t>
        </w:r>
      </w:hyperlink>
      <w:r>
        <w:t xml:space="preserve">, military regimes face the highest risk,</w:t>
      </w:r>
      <w:r>
        <w:t xml:space="preserve"> </w:t>
      </w:r>
      <w:r>
        <w:t xml:space="preserve">representing only 5.6% of country-years yet accounting for over 22% of coups.</w:t>
      </w:r>
      <w:r>
        <w:t xml:space="preserve"> </w:t>
      </w:r>
      <w:r>
        <w:t xml:space="preserve">Personalist regimes follow, with 23% of coups despite comprising only 13% of</w:t>
      </w:r>
      <w:r>
        <w:t xml:space="preserve"> </w:t>
      </w:r>
      <w:r>
        <w:t xml:space="preserve">country-years. Dominant-party regimes, with their stronger institutions and</w:t>
      </w:r>
      <w:r>
        <w:t xml:space="preserve"> </w:t>
      </w:r>
      <w:r>
        <w:t xml:space="preserve">unified leadership, have the lowest incidence of coups – constituting 22.6% of</w:t>
      </w:r>
      <w:r>
        <w:t xml:space="preserve"> </w:t>
      </w:r>
      <w:r>
        <w:t xml:space="preserve">country-years but responsible for only 16.7% of 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46" w:name="research-design"/>
    <w:p>
      <w:pPr>
        <w:pStyle w:val="Heading2"/>
      </w:pPr>
      <w:r>
        <w:t xml:space="preserve">Research Design</w:t>
      </w:r>
    </w:p>
    <w:bookmarkStart w:id="41" w:name="two-stage-sample-selection-model"/>
    <w:p>
      <w:pPr>
        <w:pStyle w:val="Heading3"/>
      </w:pPr>
      <w:r>
        <w:t xml:space="preserve">Two-stage sample selection model</w:t>
      </w:r>
    </w:p>
    <w:p>
      <w:pPr>
        <w:pStyle w:val="FirstParagraph"/>
      </w:pPr>
      <w:r>
        <w:t xml:space="preserve">This study employs a sample selection model</w:t>
      </w:r>
      <w:r>
        <w:t xml:space="preserve"> </w:t>
      </w:r>
      <w:r>
        <w:t xml:space="preserve">(Heckman 1979)</w:t>
      </w:r>
      <w:r>
        <w:t xml:space="preserve"> </w:t>
      </w:r>
      <w:r>
        <w:t xml:space="preserve">to assess the</w:t>
      </w:r>
      <w:r>
        <w:t xml:space="preserve"> </w:t>
      </w:r>
      <w:r>
        <w:t xml:space="preserve">probability of coup attempts and their likelihood of success. The most</w:t>
      </w:r>
      <w:r>
        <w:t xml:space="preserve"> </w:t>
      </w:r>
      <w:r>
        <w:t xml:space="preserve">appropriate model for this research is the two-stage</w:t>
      </w:r>
      <w:r>
        <w:t xml:space="preserve"> </w:t>
      </w:r>
      <w:r>
        <w:rPr>
          <w:rStyle w:val="VerbatimChar"/>
        </w:rPr>
        <w:t xml:space="preserve">probit</w:t>
      </w:r>
      <w:r>
        <w:t xml:space="preserve"> </w:t>
      </w:r>
      <w:r>
        <w:t xml:space="preserve">model, as detailed</w:t>
      </w:r>
      <w:r>
        <w:t xml:space="preserve"> </w:t>
      </w:r>
      <w:r>
        <w:t xml:space="preserve">by</w:t>
      </w:r>
      <w:r>
        <w:t xml:space="preserve"> </w:t>
      </w:r>
      <w:r>
        <w:t xml:space="preserve">Van de Ven and Van Praag (1981)</w:t>
      </w:r>
      <w:r>
        <w:t xml:space="preserve"> </w:t>
      </w:r>
      <w:r>
        <w:t xml:space="preserve">and utilized by</w:t>
      </w:r>
      <w:r>
        <w:t xml:space="preserve"> </w:t>
      </w:r>
      <w:r>
        <w:t xml:space="preserve">J. Powell (2012)</w:t>
      </w:r>
      <w:r>
        <w:t xml:space="preserve">. The first stage examines the</w:t>
      </w:r>
      <w:r>
        <w:t xml:space="preserve"> </w:t>
      </w:r>
      <w:r>
        <w:t xml:space="preserve">probability that a regime experiences a coup attempt, while the second stage</w:t>
      </w:r>
      <w:r>
        <w:t xml:space="preserve"> </w:t>
      </w:r>
      <w:r>
        <w:t xml:space="preserve">evaluates the probability of the attempt’s success.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6"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6"/>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p>
    <w:p>
      <w:pPr>
        <w:pStyle w:val="BodyText"/>
      </w:pP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7"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7"/>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8"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8"/>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39"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39"/>
    </w:p>
    <w:p>
      <w:pPr>
        <w:pStyle w:val="FirstParagraph"/>
      </w:pPr>
      <w:r>
        <w:t xml:space="preserve">In a two-stage sample selection model, the second-stage model cannot be identical</w:t>
      </w:r>
      <w:r>
        <w:t xml:space="preserve"> </w:t>
      </w:r>
      <w:r>
        <w:t xml:space="preserve">to the first-stage model. Therefore, the first-stage model includes an additional</w:t>
      </w:r>
      <w:r>
        <w:t xml:space="preserve"> </w:t>
      </w:r>
      <w:r>
        <w:t xml:space="preserve">independent variable: the tenure of the incumbent leader, which captures the</w:t>
      </w:r>
      <w:r>
        <w:t xml:space="preserve"> </w:t>
      </w:r>
      <w:r>
        <w:t xml:space="preserve">number of years since the incumbent leader assumed office. Thus,</w:t>
      </w:r>
      <w:r>
        <w:t xml:space="preserve"> </w:t>
      </w:r>
      <w:hyperlink w:anchor="eq-eq5a">
        <w:r>
          <w:rPr>
            <w:rStyle w:val="Hyperlink"/>
          </w:rPr>
          <w:t xml:space="preserve">Equation 7</w:t>
        </w:r>
      </w:hyperlink>
      <w:r>
        <w:t xml:space="preserve"> </w:t>
      </w:r>
      <w:r>
        <w:t xml:space="preserve">becomes:</w:t>
      </w:r>
    </w:p>
    <w:p>
      <w:pPr>
        <w:pStyle w:val="BodyText"/>
      </w:pPr>
      <w:bookmarkStart w:id="40" w:name="eq-eq5b"/>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sSub>
                      <m:e>
                        <m:r>
                          <m:t>α</m:t>
                        </m:r>
                      </m:e>
                      <m:sub>
                        <m:r>
                          <m:t>2</m:t>
                        </m:r>
                      </m:sub>
                    </m:sSub>
                    <m:r>
                      <m:t>T</m:t>
                    </m:r>
                    <m:r>
                      <m:t>e</m:t>
                    </m:r>
                    <m:r>
                      <m:t>n</m:t>
                    </m:r>
                    <m:r>
                      <m:t>u</m:t>
                    </m:r>
                    <m:r>
                      <m:t>r</m:t>
                    </m:r>
                    <m:sSub>
                      <m:e>
                        <m:r>
                          <m:t>e</m:t>
                        </m:r>
                      </m:e>
                      <m:sub>
                        <m:r>
                          <m:t>i</m:t>
                        </m:r>
                      </m:sub>
                    </m:sSub>
                    <m:r>
                      <m:rPr>
                        <m:sty m:val="p"/>
                      </m:rPr>
                      <m:t>+</m:t>
                    </m:r>
                    <m:r>
                      <m:rPr>
                        <m:sty m:val="b"/>
                      </m:rPr>
                      <m:t>X</m:t>
                    </m:r>
                    <m:r>
                      <m:rPr>
                        <m:sty m:val="b"/>
                      </m:rPr>
                      <m:t>A</m:t>
                    </m:r>
                  </m:e>
                </m:d>
              </m:e>
            </m:mr>
          </m:m>
          <m:r>
            <m:t>  </m:t>
          </m:r>
          <m:d>
            <m:dPr>
              <m:begChr m:val="("/>
              <m:endChr m:val=")"/>
              <m:sepChr m:val=""/>
              <m:grow/>
            </m:dPr>
            <m:e>
              <m:r>
                <m:t>8</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To test our argument, we use the coup attempts and outcomes from</w:t>
      </w:r>
      <w:r>
        <w:t xml:space="preserve"> </w:t>
      </w:r>
      <w:r>
        <w:t xml:space="preserve">J. M. Powell and Thyne (2011)</w:t>
      </w:r>
      <w:r>
        <w:t xml:space="preserve"> </w:t>
      </w:r>
      <w:r>
        <w:t xml:space="preserve">as</w:t>
      </w:r>
      <w:r>
        <w:t xml:space="preserve"> </w:t>
      </w:r>
      <w:r>
        <w:t xml:space="preserve">the dependent variable. Successful coups are those in which the incumbent is</w:t>
      </w:r>
      <w:r>
        <w:t xml:space="preserve"> </w:t>
      </w:r>
      <w:r>
        <w:t xml:space="preserve">removed from the office for over seven days. Data are available from 1950 to</w:t>
      </w:r>
      <w:r>
        <w:t xml:space="preserve"> </w:t>
      </w:r>
      <w:r>
        <w:t xml:space="preserve">2023, accounting for 491 coup attempts, of which 245 succeeded. The coup</w:t>
      </w:r>
      <w:r>
        <w:t xml:space="preserve"> </w:t>
      </w:r>
      <w:r>
        <w:t xml:space="preserve">descriptive statistics have been discussed in previous part.</w:t>
      </w:r>
    </w:p>
    <w:bookmarkEnd w:id="42"/>
    <w:bookmarkStart w:id="43" w:name="independent-variables"/>
    <w:p>
      <w:pPr>
        <w:pStyle w:val="Heading4"/>
      </w:pPr>
      <w:r>
        <w:t xml:space="preserve">Independent variables</w:t>
      </w:r>
    </w:p>
    <w:p>
      <w:pPr>
        <w:pStyle w:val="FirstParagraph"/>
      </w:pPr>
      <w:r>
        <w:t xml:space="preserve">The main independent variable, as analysed, is the regime type. We follow the</w:t>
      </w:r>
      <w:r>
        <w:t xml:space="preserve"> </w:t>
      </w:r>
      <w:r>
        <w:t xml:space="preserve">category from</w:t>
      </w:r>
      <w:r>
        <w:t xml:space="preserve"> </w:t>
      </w:r>
      <w:r>
        <w:t xml:space="preserve">Geddes, Wright, and Frantz (2014)</w:t>
      </w:r>
      <w:r>
        <w:t xml:space="preserve"> </w:t>
      </w:r>
      <w:r>
        <w:t xml:space="preserve">(GWF). Our main concern focuses on the military,</w:t>
      </w:r>
      <w:r>
        <w:t xml:space="preserve"> </w:t>
      </w:r>
      <w:r>
        <w:t xml:space="preserve">personal and dominant-party regimes, while democracy and monarchy will be</w:t>
      </w:r>
      <w:r>
        <w:t xml:space="preserve"> </w:t>
      </w:r>
      <w:r>
        <w:t xml:space="preserve">included as references. The descriptive statistics is shown in</w:t>
      </w:r>
      <w:r>
        <w:t xml:space="preserve"> </w:t>
      </w:r>
      <w:hyperlink w:anchor="tbl-regimes">
        <w:r>
          <w:rPr>
            <w:rStyle w:val="Hyperlink"/>
          </w:rPr>
          <w:t xml:space="preserve">Table 2</w:t>
        </w:r>
      </w:hyperlink>
      <w:r>
        <w:t xml:space="preserve">.</w:t>
      </w:r>
    </w:p>
    <w:bookmarkEnd w:id="43"/>
    <w:bookmarkStart w:id="44" w:name="control-variables"/>
    <w:p>
      <w:pPr>
        <w:pStyle w:val="Heading4"/>
      </w:pPr>
      <w:r>
        <w:t xml:space="preserve">Control variables</w:t>
      </w:r>
    </w:p>
    <w:p>
      <w:pPr>
        <w:pStyle w:val="FirstParagraph"/>
      </w:pPr>
      <w:r>
        <w:rPr>
          <w:bCs/>
          <w:b/>
        </w:rPr>
        <w:t xml:space="preserve">Economic performance:</w:t>
      </w:r>
      <w:r>
        <w:t xml:space="preserve"> </w:t>
      </w:r>
      <w:r>
        <w:t xml:space="preserve">we use the current‐trend (CT) ratio explored by</w:t>
      </w:r>
      <w:r>
        <w:t xml:space="preserve"> </w:t>
      </w:r>
      <w:r>
        <w:t xml:space="preserve">Krishnarajan (2019)</w:t>
      </w:r>
      <w:r>
        <w:t xml:space="preserve"> </w:t>
      </w:r>
      <w:r>
        <w:t xml:space="preserve">to measure the economic performance. This measurement</w:t>
      </w:r>
      <w:r>
        <w:t xml:space="preserve"> </w:t>
      </w:r>
      <w:r>
        <w:t xml:space="preserve">calculates the ratio between the</w:t>
      </w:r>
      <w:r>
        <w:br/>
      </w:r>
      <w:r>
        <w:t xml:space="preserve">current level of gross domestic product per capita (GDP/cap) and the average</w:t>
      </w:r>
      <w:r>
        <w:br/>
      </w:r>
      <w:r>
        <w:t xml:space="preserve">GDP/cap level of the previous 5 years. For a country 𝑖 at year 𝑡 the approach is</w:t>
      </w:r>
      <w:r>
        <w:br/>
      </w:r>
      <w:r>
        <w:t xml:space="preserve">given as follow:</w:t>
      </w:r>
    </w:p>
    <w:p>
      <w:pPr>
        <w:pStyle w:val="BodyText"/>
      </w:pPr>
      <w:r>
        <w:t xml:space="preserve">$$
CT_{i,t} = {GDP/cap_{i,t} \over \sum_{k=1}^5{GDP/cap_{i,t-k} \over 5}}
$$</w:t>
      </w:r>
    </w:p>
    <w:p>
      <w:pPr>
        <w:pStyle w:val="FirstParagraph"/>
      </w:pPr>
      <w:r>
        <w:t xml:space="preserve">Since a given year’s situation is mainly determined by the previous, the variable</w:t>
      </w:r>
      <w:r>
        <w:t xml:space="preserve"> </w:t>
      </w:r>
      <w:r>
        <w:t xml:space="preserve">is lagged for one year. The GDP per capita (in constant 2017 international</w:t>
      </w:r>
      <w:r>
        <w:t xml:space="preserve"> </w:t>
      </w:r>
      <w:r>
        <w:t xml:space="preserve">dollars, PPP) uses the vdem dataset which comes from</w:t>
      </w:r>
      <w:r>
        <w:t xml:space="preserve"> </w:t>
      </w:r>
      <w:r>
        <w:t xml:space="preserve">Fariss et al. (2022)</w:t>
      </w:r>
      <w:r>
        <w:t xml:space="preserve">.</w:t>
      </w:r>
    </w:p>
    <w:p>
      <w:pPr>
        <w:pStyle w:val="BodyText"/>
      </w:pPr>
      <w:r>
        <w:rPr>
          <w:bCs/>
          <w:b/>
        </w:rPr>
        <w:t xml:space="preserve">Violence:</w:t>
      </w:r>
      <w:r>
        <w:t xml:space="preserve"> </w:t>
      </w:r>
      <w:r>
        <w:t xml:space="preserve">Violence is an index which captures all kinds of violence and wars</w:t>
      </w:r>
      <w:r>
        <w:t xml:space="preserve"> </w:t>
      </w:r>
      <w:r>
        <w:t xml:space="preserve">(internal or</w:t>
      </w:r>
      <w:r>
        <w:br/>
      </w:r>
      <w:r>
        <w:t xml:space="preserve">interstate). The dataset is from Major Episodes of Political Violence</w:t>
      </w:r>
      <w:r>
        <w:t xml:space="preserve"> </w:t>
      </w:r>
      <w:r>
        <w:t xml:space="preserve">(Marshall 2005)</w:t>
      </w:r>
      <w:r>
        <w:t xml:space="preserve">.</w:t>
      </w:r>
    </w:p>
    <w:p>
      <w:pPr>
        <w:pStyle w:val="BodyText"/>
      </w:pPr>
      <w:r>
        <w:rPr>
          <w:bCs/>
          <w:b/>
        </w:rPr>
        <w:t xml:space="preserve">Military expending:</w:t>
      </w:r>
      <w:r>
        <w:t xml:space="preserve"> </w:t>
      </w:r>
      <w:r>
        <w:t xml:space="preserve">Military expending per capita measure how much money is</w:t>
      </w:r>
      <w:r>
        <w:t xml:space="preserve"> </w:t>
      </w:r>
      <w:r>
        <w:t xml:space="preserve">expended per capita per year in a regime. The data source is the Correlates of</w:t>
      </w:r>
      <w:r>
        <w:t xml:space="preserve"> </w:t>
      </w:r>
      <w:r>
        <w:t xml:space="preserve">War Project</w:t>
      </w:r>
      <w:r>
        <w:t xml:space="preserve"> </w:t>
      </w:r>
      <w:r>
        <w:t xml:space="preserve">(Sarkees and Wayman 2010)</w:t>
      </w:r>
      <w:r>
        <w:t xml:space="preserve">.</w:t>
      </w:r>
    </w:p>
    <w:bookmarkEnd w:id="44"/>
    <w:bookmarkEnd w:id="45"/>
    <w:bookmarkEnd w:id="46"/>
    <w:bookmarkStart w:id="47" w:name="results-and-discussion"/>
    <w:p>
      <w:pPr>
        <w:pStyle w:val="Heading2"/>
      </w:pPr>
      <w:r>
        <w:t xml:space="preserve">Results and Discussion</w:t>
      </w:r>
    </w:p>
    <w:bookmarkEnd w:id="47"/>
    <w:bookmarkStart w:id="89" w:name="conclusion"/>
    <w:p>
      <w:pPr>
        <w:pStyle w:val="Heading2"/>
      </w:pPr>
      <w:r>
        <w:t xml:space="preserve">Conclusion</w:t>
      </w:r>
    </w:p>
    <w:bookmarkStart w:id="88" w:name="refs"/>
    <w:bookmarkStart w:id="49"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8">
        <w:r>
          <w:rPr>
            <w:rStyle w:val="Hyperlink"/>
          </w:rPr>
          <w:t xml:space="preserve">https://doi.org/10.1093/oxfordhb/9780190469771.013.15</w:t>
        </w:r>
      </w:hyperlink>
      <w:r>
        <w:t xml:space="preserve">.</w:t>
      </w:r>
    </w:p>
    <w:bookmarkEnd w:id="49"/>
    <w:bookmarkStart w:id="5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0">
        <w:r>
          <w:rPr>
            <w:rStyle w:val="Hyperlink"/>
          </w:rPr>
          <w:t xml:space="preserve">https://doi.org/10.1177/00220027211054432</w:t>
        </w:r>
      </w:hyperlink>
      <w:r>
        <w:t xml:space="preserve">.</w:t>
      </w:r>
    </w:p>
    <w:bookmarkEnd w:id="51"/>
    <w:bookmarkStart w:id="53"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2">
        <w:r>
          <w:rPr>
            <w:rStyle w:val="Hyperlink"/>
          </w:rPr>
          <w:t xml:space="preserve">https://doi.org/10.1177/0010414016655538</w:t>
        </w:r>
      </w:hyperlink>
      <w:r>
        <w:t xml:space="preserve">.</w:t>
      </w:r>
    </w:p>
    <w:bookmarkEnd w:id="53"/>
    <w:bookmarkStart w:id="55" w:name="ref-gassebner2016"/>
    <w:p>
      <w:pPr>
        <w:pStyle w:val="Bibliography"/>
      </w:pPr>
      <w:r>
        <w:t xml:space="preserve">Gassebner, Martin, Jerg Gutmann, and Stefan Voigt. 2016a.</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54">
        <w:r>
          <w:rPr>
            <w:rStyle w:val="Hyperlink"/>
          </w:rPr>
          <w:t xml:space="preserve">https://doi.org/10.2139/ssrn.2851758</w:t>
        </w:r>
      </w:hyperlink>
      <w:r>
        <w:t xml:space="preserve">.</w:t>
      </w:r>
    </w:p>
    <w:bookmarkEnd w:id="55"/>
    <w:bookmarkStart w:id="57" w:name="ref-gassebner2016a"/>
    <w:p>
      <w:pPr>
        <w:pStyle w:val="Bibliography"/>
      </w:pPr>
      <w:r>
        <w:t xml:space="preserve">———. 2016b.</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5"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4">
        <w:r>
          <w:rPr>
            <w:rStyle w:val="Hyperlink"/>
          </w:rPr>
          <w:t xml:space="preserve">https://doi.org/10.2307/1912352</w:t>
        </w:r>
      </w:hyperlink>
      <w:r>
        <w:t xml:space="preserve">.</w:t>
      </w:r>
    </w:p>
    <w:bookmarkEnd w:id="65"/>
    <w:bookmarkStart w:id="66"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6"/>
    <w:bookmarkStart w:id="68"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7">
        <w:r>
          <w:rPr>
            <w:rStyle w:val="Hyperlink"/>
          </w:rPr>
          <w:t xml:space="preserve">https://doi.org/10.1093/isq/sqz006</w:t>
        </w:r>
      </w:hyperlink>
      <w:r>
        <w:t xml:space="preserve">.</w:t>
      </w:r>
    </w:p>
    <w:bookmarkEnd w:id="68"/>
    <w:bookmarkStart w:id="70"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9">
        <w:r>
          <w:rPr>
            <w:rStyle w:val="Hyperlink"/>
          </w:rPr>
          <w:t xml:space="preserve">https://doi.org/10.1007/s11127-013-0124-4</w:t>
        </w:r>
      </w:hyperlink>
      <w:r>
        <w:t xml:space="preserve">.</w:t>
      </w:r>
    </w:p>
    <w:bookmarkEnd w:id="70"/>
    <w:bookmarkStart w:id="71"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1"/>
    <w:bookmarkStart w:id="73"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2">
        <w:r>
          <w:rPr>
            <w:rStyle w:val="Hyperlink"/>
          </w:rPr>
          <w:t xml:space="preserve">https://doi.org/10.1177/0022002712445732</w:t>
        </w:r>
      </w:hyperlink>
      <w:r>
        <w:t xml:space="preserve">.</w:t>
      </w:r>
    </w:p>
    <w:bookmarkEnd w:id="73"/>
    <w:bookmarkStart w:id="7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4">
        <w:r>
          <w:rPr>
            <w:rStyle w:val="Hyperlink"/>
          </w:rPr>
          <w:t xml:space="preserve">https://doi.org/10.1177/0022343310397436</w:t>
        </w:r>
      </w:hyperlink>
      <w:r>
        <w:t xml:space="preserve">.</w:t>
      </w:r>
    </w:p>
    <w:bookmarkEnd w:id="75"/>
    <w:bookmarkStart w:id="77"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6">
        <w:r>
          <w:rPr>
            <w:rStyle w:val="Hyperlink"/>
          </w:rPr>
          <w:t xml:space="preserve">https://doi.org/10.1080/13510347.2018.1450389</w:t>
        </w:r>
      </w:hyperlink>
      <w:r>
        <w:t xml:space="preserve">.</w:t>
      </w:r>
    </w:p>
    <w:bookmarkEnd w:id="77"/>
    <w:bookmarkStart w:id="79"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8">
        <w:r>
          <w:rPr>
            <w:rStyle w:val="Hyperlink"/>
          </w:rPr>
          <w:t xml:space="preserve">https://doi.org/10.1017/S0043887111000049</w:t>
        </w:r>
      </w:hyperlink>
      <w:r>
        <w:t xml:space="preserve">.</w:t>
      </w:r>
    </w:p>
    <w:bookmarkEnd w:id="79"/>
    <w:bookmarkStart w:id="81" w:name="ref-sarkees2010"/>
    <w:p>
      <w:pPr>
        <w:pStyle w:val="Bibliography"/>
      </w:pPr>
      <w:r>
        <w:t xml:space="preserve">Sarkees, Meredith, and Frank Wayman. 2010.</w:t>
      </w:r>
      <w:r>
        <w:t xml:space="preserve"> </w:t>
      </w:r>
      <w:r>
        <w:rPr>
          <w:iCs/>
          <w:i/>
        </w:rPr>
        <w:t xml:space="preserve">Resort to War, 1816-2007</w:t>
      </w:r>
      <w:r>
        <w:t xml:space="preserve">. CQ Press.</w:t>
      </w:r>
      <w:r>
        <w:t xml:space="preserve"> </w:t>
      </w:r>
      <w:hyperlink r:id="rId80">
        <w:r>
          <w:rPr>
            <w:rStyle w:val="Hyperlink"/>
          </w:rPr>
          <w:t xml:space="preserve">https://doi.org/10.4135/9781608718276</w:t>
        </w:r>
      </w:hyperlink>
      <w:r>
        <w:t xml:space="preserve">.</w:t>
      </w:r>
    </w:p>
    <w:bookmarkEnd w:id="81"/>
    <w:bookmarkStart w:id="83"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2">
        <w:r>
          <w:rPr>
            <w:rStyle w:val="Hyperlink"/>
          </w:rPr>
          <w:t xml:space="preserve">https://doi.org/10.1177/0010414016688004</w:t>
        </w:r>
      </w:hyperlink>
      <w:r>
        <w:t xml:space="preserve">.</w:t>
      </w:r>
    </w:p>
    <w:bookmarkEnd w:id="83"/>
    <w:bookmarkStart w:id="85" w:name="ref-vandeven1981"/>
    <w:p>
      <w:pPr>
        <w:pStyle w:val="Bibliography"/>
      </w:pPr>
      <w:r>
        <w:t xml:space="preserve">Van de Ven, Wynand P. M. M., and Bernard M. S. Van Praag. 1981.</w:t>
      </w:r>
      <w:r>
        <w:t xml:space="preserve"> </w:t>
      </w:r>
      <w:r>
        <w:t xml:space="preserve">“The Demand for Deductibles in Private Health Insurance.”</w:t>
      </w:r>
      <w:r>
        <w:t xml:space="preserve"> </w:t>
      </w:r>
      <w:r>
        <w:rPr>
          <w:iCs/>
          <w:i/>
        </w:rPr>
        <w:t xml:space="preserve">Journal of Econometrics</w:t>
      </w:r>
      <w:r>
        <w:t xml:space="preserve"> </w:t>
      </w:r>
      <w:r>
        <w:t xml:space="preserve">17 (2): 229–52.</w:t>
      </w:r>
      <w:r>
        <w:t xml:space="preserve"> </w:t>
      </w:r>
      <w:hyperlink r:id="rId84">
        <w:r>
          <w:rPr>
            <w:rStyle w:val="Hyperlink"/>
          </w:rPr>
          <w:t xml:space="preserve">https://doi.org/10.1016/0304-4076(81)90028-2</w:t>
        </w:r>
      </w:hyperlink>
      <w:r>
        <w:t xml:space="preserve">.</w:t>
      </w:r>
    </w:p>
    <w:bookmarkEnd w:id="85"/>
    <w:bookmarkStart w:id="87"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6">
        <w:r>
          <w:rPr>
            <w:rStyle w:val="Hyperlink"/>
          </w:rPr>
          <w:t xml:space="preserve">https://doi.org/10.1093/oxfordhb/9780190469771.013.13</w:t>
        </w:r>
      </w:hyperlink>
      <w:r>
        <w:t xml:space="preserve">.</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2024-05-17</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2024-05-17.</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84" Target="https://doi.org/10.1016/0304-4076(81)90028-2" TargetMode="External" /><Relationship Type="http://schemas.openxmlformats.org/officeDocument/2006/relationships/hyperlink" Id="rId78"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6" Target="https://doi.org/10.1080/13510347.2018.1450389" TargetMode="External" /><Relationship Type="http://schemas.openxmlformats.org/officeDocument/2006/relationships/hyperlink" Id="rId67"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6"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2" Target="https://doi.org/10.1177/0010414016655538" TargetMode="External" /><Relationship Type="http://schemas.openxmlformats.org/officeDocument/2006/relationships/hyperlink" Id="rId82" Target="https://doi.org/10.1177/0010414016688004" TargetMode="External" /><Relationship Type="http://schemas.openxmlformats.org/officeDocument/2006/relationships/hyperlink" Id="rId72" Target="https://doi.org/10.1177/0022002712445732" TargetMode="External" /><Relationship Type="http://schemas.openxmlformats.org/officeDocument/2006/relationships/hyperlink" Id="rId50" Target="https://doi.org/10.1177/00220027211054432" TargetMode="External" /><Relationship Type="http://schemas.openxmlformats.org/officeDocument/2006/relationships/hyperlink" Id="rId74" Target="https://doi.org/10.1177/0022343310397436" TargetMode="External" /><Relationship Type="http://schemas.openxmlformats.org/officeDocument/2006/relationships/hyperlink" Id="rId54" Target="https://doi.org/10.2139/ssrn.2851758" TargetMode="External" /><Relationship Type="http://schemas.openxmlformats.org/officeDocument/2006/relationships/hyperlink" Id="rId64" Target="https://doi.org/10.2307/1912352" TargetMode="External" /><Relationship Type="http://schemas.openxmlformats.org/officeDocument/2006/relationships/hyperlink" Id="rId80" Target="https://doi.org/10.4135/9781608718276"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84" Target="https://doi.org/10.1016/0304-4076(81)90028-2" TargetMode="External" /><Relationship Type="http://schemas.openxmlformats.org/officeDocument/2006/relationships/hyperlink" Id="rId78"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6" Target="https://doi.org/10.1080/13510347.2018.1450389" TargetMode="External" /><Relationship Type="http://schemas.openxmlformats.org/officeDocument/2006/relationships/hyperlink" Id="rId67"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6"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2" Target="https://doi.org/10.1177/0010414016655538" TargetMode="External" /><Relationship Type="http://schemas.openxmlformats.org/officeDocument/2006/relationships/hyperlink" Id="rId82" Target="https://doi.org/10.1177/0010414016688004" TargetMode="External" /><Relationship Type="http://schemas.openxmlformats.org/officeDocument/2006/relationships/hyperlink" Id="rId72" Target="https://doi.org/10.1177/0022002712445732" TargetMode="External" /><Relationship Type="http://schemas.openxmlformats.org/officeDocument/2006/relationships/hyperlink" Id="rId50" Target="https://doi.org/10.1177/00220027211054432" TargetMode="External" /><Relationship Type="http://schemas.openxmlformats.org/officeDocument/2006/relationships/hyperlink" Id="rId74" Target="https://doi.org/10.1177/0022343310397436" TargetMode="External" /><Relationship Type="http://schemas.openxmlformats.org/officeDocument/2006/relationships/hyperlink" Id="rId54" Target="https://doi.org/10.2139/ssrn.2851758" TargetMode="External" /><Relationship Type="http://schemas.openxmlformats.org/officeDocument/2006/relationships/hyperlink" Id="rId64" Target="https://doi.org/10.2307/1912352" TargetMode="External" /><Relationship Type="http://schemas.openxmlformats.org/officeDocument/2006/relationships/hyperlink" Id="rId80" Target="https://doi.org/10.4135/9781608718276"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2024-05-17T22:28:46Z</dcterms:created>
  <dcterms:modified xsi:type="dcterms:W3CDTF">2024-05-17T22:28:46Z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2024-05-17</vt:lpwstr>
  </property>
  <property fmtid="{D5CDD505-2E9C-101B-9397-08002B2CF9AE}" pid="11" name="date-modified">
    <vt:lpwstr>2024-05-17</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