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2024-05-04</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 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analysing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(J. M. Powell and Thyne 2011, 252)</w:t>
      </w:r>
      <w:r>
        <w:t xml:space="preserve">.</w:t>
      </w:r>
      <w:r>
        <w:t xml:space="preserve"> </w:t>
      </w:r>
      <w:r>
        <w:t xml:space="preserve">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2" w:name="dynamics-of-coup-attempts-and-outcomes"/>
    <w:p>
      <w:pPr>
        <w:pStyle w:val="Heading2"/>
      </w:pPr>
      <w:r>
        <w:t xml:space="preserve">Dynamics of coup attempts and outcomes</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bookmarkStart w:id="27" w:name="basic-framework"/>
    <w:p>
      <w:pPr>
        <w:pStyle w:val="Heading3"/>
      </w:pPr>
      <w:r>
        <w:t xml:space="preserve">Basic framework</w:t>
      </w:r>
    </w:p>
    <w:p>
      <w:pPr>
        <w:pStyle w:val="FirstParagraph"/>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bookmarkStart w:id="26"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6"/>
    </w:p>
    <w:bookmarkEnd w:id="27"/>
    <w:bookmarkStart w:id="28" w:name="disposition"/>
    <w:p>
      <w:pPr>
        <w:pStyle w:val="Heading3"/>
      </w:pPr>
      <w:r>
        <w:t xml:space="preserve">Disposition</w:t>
      </w:r>
    </w:p>
    <w:p>
      <w:pPr>
        <w:pStyle w:val="FirstParagraph"/>
      </w:pPr>
      <w:r>
        <w:t xml:space="preserve">To simplify understanding, coups can be categorized into three types based on their motivations: those driven by personal ambitions, those purportedly for the benefit of the country, and those undertaken for self-preservation.</w:t>
      </w:r>
    </w:p>
    <w:p>
      <w:pPr>
        <w:pStyle w:val="BodyText"/>
      </w:pPr>
      <w:r>
        <w:t xml:space="preserve">First and most,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p>
    <w:p>
      <w:pPr>
        <w:pStyle w:val="BodyText"/>
      </w:pPr>
      <w:r>
        <w:t xml:space="preserve">Secondly, at times, coups are justified by motives such as rescuing a country in crisis, upholding constitutional authority, or facilitating democratic transition.</w:t>
      </w:r>
      <w:r>
        <w:t xml:space="preserve"> </w:t>
      </w:r>
      <w:r>
        <w:t xml:space="preserve">However, this rationale is often met with scepticism, as the first type of coup plotters often use similar excuses to justify their actions.</w:t>
      </w:r>
      <w:r>
        <w:t xml:space="preserve"> </w:t>
      </w:r>
      <w:r>
        <w:t xml:space="preserve">Nonetheless, there are indeed cases that validate the purported objectives.</w:t>
      </w:r>
      <w:r>
        <w:t xml:space="preserve"> </w:t>
      </w:r>
      <w:r>
        <w:t xml:space="preserve">For instance, in Niger in</w:t>
      </w:r>
      <w:r>
        <w:t xml:space="preserve"> </w:t>
      </w:r>
      <m:oMath>
        <m:r>
          <m:t>2010</m:t>
        </m:r>
      </m:oMath>
      <w:r>
        <w:t xml:space="preserve">,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p>
    <w:p>
      <w:pPr>
        <w:pStyle w:val="BodyText"/>
      </w:pPr>
      <w:r>
        <w:t xml:space="preserve">Thirdly, in certain instances, staging a coup serves as a final resort for self-preservation, aimed at evading political persecution by adversaries.</w:t>
      </w:r>
      <w:r>
        <w:t xml:space="preserve"> </w:t>
      </w:r>
      <w:r>
        <w:t xml:space="preserve">Coup perpetrators may not harbour further ambitions and may be content with the status quo.</w:t>
      </w:r>
      <w:r>
        <w:t xml:space="preserve"> </w:t>
      </w:r>
      <w:r>
        <w:t xml:space="preserve">However, their mere existence could be perceived as a threat by the incumbent leader, prompting the need for their removal.</w:t>
      </w:r>
      <w:r>
        <w:t xml:space="preserve"> </w:t>
      </w:r>
      <w:r>
        <w:t xml:space="preserve">Consequently, the coup is triggered rather than initiated by the coup perpetrators themselves.</w:t>
      </w:r>
      <w:r>
        <w:t xml:space="preserve"> </w:t>
      </w:r>
      <w:r>
        <w:t xml:space="preserve">An illustrative example is Idi Amin, who, as the army commander-in-chief of Uganda in</w:t>
      </w:r>
      <w:r>
        <w:t xml:space="preserve"> </w:t>
      </w:r>
      <m:oMath>
        <m:r>
          <m:t>1971</m:t>
        </m:r>
      </m:oMath>
      <w:r>
        <w:t xml:space="preserve">, staged a coup against President Obote, who was attempting to undermine Amin</w:t>
      </w:r>
      <w:r>
        <w:t xml:space="preserve"> </w:t>
      </w:r>
      <w:r>
        <w:t xml:space="preserve">(Sudduth 2017)</w:t>
      </w:r>
      <w:r>
        <w:t xml:space="preserve">.</w:t>
      </w:r>
    </w:p>
    <w:p>
      <w:pPr>
        <w:pStyle w:val="BodyText"/>
      </w:pPr>
      <w:r>
        <w:t xml:space="preserve">Theoretically, these three types of coup plotters can emerge from any type of regimes.</w:t>
      </w:r>
      <w:r>
        <w:t xml:space="preserve"> </w:t>
      </w:r>
      <w:r>
        <w:t xml:space="preserve">While they may be more prevalent in autocracies, ambitious individuals can also exist within democracies.</w:t>
      </w:r>
      <w:r>
        <w:t xml:space="preserve"> </w:t>
      </w:r>
      <w:r>
        <w:t xml:space="preserve">Moreover, unstable societies, economic downturns, and democratic backsliding can occur even in democracies.</w:t>
      </w:r>
      <w:r>
        <w:t xml:space="preserve"> </w:t>
      </w:r>
      <w:r>
        <w:t xml:space="preserve">Although political persecutions may be rare in stable democracies, they are not uncommon in newly established or poorly governed ones.</w:t>
      </w:r>
      <w:r>
        <w:t xml:space="preserve"> </w:t>
      </w:r>
      <w:r>
        <w:t xml:space="preserve">However, despite these factors, the occurrence of coups remains relatively low, accounting for only</w:t>
      </w:r>
      <w:r>
        <w:t xml:space="preserve"> </w:t>
      </w:r>
      <m:oMath>
        <m:r>
          <m:t>4</m:t>
        </m:r>
        <m:r>
          <m:rPr>
            <m:sty m:val="p"/>
          </m:rPr>
          <m:t>%</m:t>
        </m:r>
      </m:oMath>
      <w:r>
        <w:t xml:space="preserve"> </w:t>
      </w:r>
      <w:r>
        <w:t xml:space="preserve">of country-years since</w:t>
      </w:r>
      <w:r>
        <w:t xml:space="preserve"> </w:t>
      </w:r>
      <m:oMath>
        <m:r>
          <m:t>1950</m:t>
        </m:r>
      </m:oMath>
      <w:r>
        <w:t xml:space="preserve">.</w:t>
      </w:r>
      <w:r>
        <w:t xml:space="preserve"> </w:t>
      </w:r>
      <w:r>
        <w:t xml:space="preserve">This is primarily because the disposition to stage coups is heavily contingent upon the opportunity to do so.</w:t>
      </w:r>
    </w:p>
    <w:bookmarkEnd w:id="28"/>
    <w:bookmarkStart w:id="29" w:name="opportunity"/>
    <w:p>
      <w:pPr>
        <w:pStyle w:val="Heading3"/>
      </w:pPr>
      <w:r>
        <w:t xml:space="preserve">Opportunity</w:t>
      </w:r>
    </w:p>
    <w:p>
      <w:pPr>
        <w:pStyle w:val="FirstParagraph"/>
      </w:pPr>
      <w:r>
        <w:t xml:space="preserve">As previously mentioned, while there may be numerous ambitious political figures aspiring to seize supreme power for various reasons, only a select few have the opportunity to orchestrate a successful coup.</w:t>
      </w:r>
      <w:r>
        <w:t xml:space="preserve"> </w:t>
      </w:r>
      <w:r>
        <w:t xml:space="preserve">When coup plotters conspire to stage a coup, their foremost consideration is the likelihood of success.</w:t>
      </w:r>
      <w:r>
        <w:t xml:space="preserve"> </w:t>
      </w:r>
      <w:r>
        <w:t xml:space="preserve">According to</w:t>
      </w:r>
      <w:r>
        <w:t xml:space="preserve"> </w:t>
      </w:r>
      <w:hyperlink w:anchor="eq-eq3">
        <w:r>
          <w:rPr>
            <w:rStyle w:val="Hyperlink"/>
          </w:rPr>
          <w:t xml:space="preserve">Equation 3</w:t>
        </w:r>
      </w:hyperlink>
      <w:r>
        <w:t xml:space="preserve">, if the probability of success,</w:t>
      </w:r>
      <w:r>
        <w:t xml:space="preserve"> </w:t>
      </w:r>
      <m:oMath>
        <m:r>
          <m:t>σ</m:t>
        </m:r>
      </m:oMath>
      <w:r>
        <w:t xml:space="preserve">, exceeds</w:t>
      </w:r>
      <w:r>
        <w:t xml:space="preserve"> </w:t>
      </w:r>
      <m:oMath>
        <m:r>
          <m:t>0.5</m:t>
        </m:r>
      </m:oMath>
      <w:r>
        <w:t xml:space="preserve">, the equation holds true.</w:t>
      </w:r>
      <w:r>
        <w:t xml:space="preserve"> </w:t>
      </w:r>
      <w:r>
        <w:t xml:space="preserve">This assertion finds some support in empirical data on coups since</w:t>
      </w:r>
      <w:r>
        <w:t xml:space="preserve"> </w:t>
      </w:r>
      <m:oMath>
        <m:r>
          <m:t>1950</m:t>
        </m:r>
      </m:oMath>
      <w:r>
        <w:t xml:space="preserve">.</w:t>
      </w:r>
      <w:r>
        <w:t xml:space="preserve"> </w:t>
      </w:r>
      <w:r>
        <w:t xml:space="preserve">As indicated in</w:t>
      </w:r>
      <w:r>
        <w:t xml:space="preserve"> </w:t>
      </w:r>
      <w:hyperlink w:anchor="tbl-coups">
        <w:r>
          <w:rPr>
            <w:rStyle w:val="Hyperlink"/>
          </w:rPr>
          <w:t xml:space="preserve">Table 1</w:t>
        </w:r>
      </w:hyperlink>
      <w:r>
        <w:t xml:space="preserve">, the overall success rate of coups stands at</w:t>
      </w:r>
      <w:r>
        <w:t xml:space="preserve"> </w:t>
      </w:r>
      <m:oMath>
        <m:r>
          <m:t>49.9</m:t>
        </m:r>
        <m:r>
          <m:rPr>
            <m:sty m:val="p"/>
          </m:rPr>
          <m:t>%</m:t>
        </m:r>
      </m:oMath>
      <w:r>
        <w:t xml:space="preserve">.</w:t>
      </w:r>
      <w:r>
        <w:t xml:space="preserve"> </w:t>
      </w:r>
      <w:r>
        <w:t xml:space="preserve">Although this figure falls just below the threshold of</w:t>
      </w:r>
      <w:r>
        <w:t xml:space="preserve"> </w:t>
      </w:r>
      <m:oMath>
        <m:r>
          <m:t>0.5</m:t>
        </m:r>
      </m:oMath>
      <w:r>
        <w:t xml:space="preserve">, it is important to acknowledge that this is an average rate calculated post-coups.</w:t>
      </w:r>
      <w:r>
        <w:t xml:space="preserve"> </w:t>
      </w:r>
      <w:r>
        <w:t xml:space="preserve">In reality, coup plotters typically require more certainty about success than a mere fifty-fifty chance.</w:t>
      </w:r>
      <w:r>
        <w:t xml:space="preserve"> </w:t>
      </w:r>
      <w:r>
        <w:t xml:space="preserve">Furthermore, outliers do exist, such as irrational political careerists or coup attempts driven more by self-protection instincts than strategic planning.</w:t>
      </w:r>
      <w:r>
        <w:t xml:space="preserve"> </w:t>
      </w:r>
      <w:r>
        <w:t xml:space="preserve">In such cases, coup perpetrators may not prioritize or even consider the potential outcomes, as the consequences of being purged are no different from those of a failed coup.</w:t>
      </w:r>
    </w:p>
    <w:p>
      <w:pPr>
        <w:pStyle w:val="BodyText"/>
      </w:pPr>
      <w:r>
        <w:t xml:space="preserve">Given the pivotal role of coup success in determining coup attempts, the factors influencing coup success inevitably become the determinants of coup attempts themselves.</w:t>
      </w:r>
      <w:r>
        <w:t xml:space="preserve"> </w:t>
      </w:r>
      <w:r>
        <w:t xml:space="preserve">While the specific determinants may vary, the fundamental factor lies in the balance of power between the coup perpetrators and the incumbent leaders.</w:t>
      </w:r>
      <w:r>
        <w:t xml:space="preserve"> </w:t>
      </w:r>
      <w:r>
        <w:t xml:space="preserve">I will delve into the factors that could potentially tip the scales of power among different political factions.</w:t>
      </w:r>
    </w:p>
    <w:bookmarkEnd w:id="29"/>
    <w:bookmarkStart w:id="31" w:name="regime-types-and-balance-of-power"/>
    <w:p>
      <w:pPr>
        <w:pStyle w:val="Heading3"/>
      </w:pPr>
      <w:r>
        <w:t xml:space="preserve">Regime types and balance of power</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previous studies have often oversimplified the intricate balance of power within military forces.</w:t>
      </w:r>
      <w:r>
        <w:t xml:space="preserve"> </w:t>
      </w:r>
      <w:r>
        <w:t xml:space="preserve">They have frequently assumed, without substantial evidence, that the military operates as a monolithic entity, uniformly and decisively.</w:t>
      </w:r>
      <w:r>
        <w:t xml:space="preserve"> </w:t>
      </w:r>
      <w:r>
        <w:t xml:space="preserve">Such a notion fails to 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 factions, each with its own chain of command.</w:t>
      </w:r>
      <w:r>
        <w:t xml:space="preserve"> </w:t>
      </w:r>
      <w:r>
        <w:t xml:space="preserve">Within these factions, mutual suspicion, competition, and vigilance are common, while moments of unity are rare.</w:t>
      </w:r>
      <w:r>
        <w:t xml:space="preserve"> </w:t>
      </w:r>
      <w:r>
        <w:t xml:space="preserve">Due to the clandestine nature of coups and the need for secrecy, coup attempts are often orchestrated within small, tight-knit groups.</w:t>
      </w:r>
      <w:r>
        <w:t xml:space="preserve"> </w:t>
      </w:r>
      <w:r>
        <w:t xml:space="preserve">Coup plotters are uncertain about the stances and intentions of other factions beforehand, and they are particularly worried that once the coup is initiated, other factions may not only refuse to support it but also actively oppose, intervene in, or even suppress it.</w:t>
      </w:r>
      <w:r>
        <w:t xml:space="preserve"> </w:t>
      </w:r>
      <w:r>
        <w:t xml:space="preserve">Therefore, the success of a coup heavily depends on the reactions of other military factions</w:t>
      </w:r>
      <w:r>
        <w:t xml:space="preserve"> </w:t>
      </w:r>
      <w:r>
        <w:t xml:space="preserve">(Geddes 1999)</w:t>
      </w:r>
      <w:r>
        <w:t xml:space="preserve">.</w:t>
      </w:r>
    </w:p>
    <w:p>
      <w:pPr>
        <w:pStyle w:val="BodyText"/>
      </w:pPr>
      <w:r>
        <w:t xml:space="preserve">Furthermore, the structure of military forces, especially their relationships with other state departments, particularly civilian officials, varies across different regime types.</w:t>
      </w:r>
      <w:r>
        <w:t xml:space="preserve"> </w:t>
      </w:r>
      <w:r>
        <w:t xml:space="preserve">In democratic countries, the military is nationalized and bound by constitutional authority rather than individual leaders.</w:t>
      </w:r>
      <w:r>
        <w:t xml:space="preserve"> </w:t>
      </w:r>
      <w:r>
        <w:t xml:space="preserve">For instance, the United States Armed Forces are under the command of the President but remain loyal to the Constitution, refraining from intervening in politics.</w:t>
      </w:r>
      <w:r>
        <w:t xml:space="preserve"> </w:t>
      </w:r>
      <w:r>
        <w:t xml:space="preserve">In military regimes, power is often centralized in the hands of top generals or a junta, while in personal dictatorships, the leader retains ultimate authority over the military.</w:t>
      </w:r>
      <w:r>
        <w:t xml:space="preserve"> </w:t>
      </w:r>
      <w:r>
        <w:t xml:space="preserve">In dominant-party regimes, the military serves the interests of the ruling party.</w:t>
      </w:r>
      <w:r>
        <w:t xml:space="preserve"> </w:t>
      </w:r>
      <w:r>
        <w:t xml:space="preserve">Thus, the balance of power within military forces is deeply influenced by the nature of the regime in question.</w:t>
      </w:r>
    </w:p>
    <w:p>
      <w:pPr>
        <w:pStyle w:val="BodyText"/>
      </w:pPr>
      <w:r>
        <w:t xml:space="preserve">To gain a thorough understanding of military power dynamics across diverse political landscapes, it is imperative to explore their intricate nuances.</w:t>
      </w:r>
      <w:r>
        <w:t xml:space="preserve"> </w:t>
      </w:r>
      <w:r>
        <w:t xml:space="preserve">This section adopts the foundational concepts articulated by</w:t>
      </w:r>
      <w:r>
        <w:t xml:space="preserve"> </w:t>
      </w:r>
      <w:r>
        <w:t xml:space="preserve">Geddes, Wright, and Frantz (2014)</w:t>
      </w:r>
      <w:r>
        <w:t xml:space="preserve"> </w:t>
      </w:r>
      <w:r>
        <w:t xml:space="preserve">(GWF), which categorize regimes based on the origins of their leadership and the factors influencing their policy decisions.</w:t>
      </w:r>
      <w:r>
        <w:t xml:space="preserve"> </w:t>
      </w:r>
      <w:r>
        <w:t xml:space="preserve">These regimes are broadly classified into four categories: military regimes, personalist regimes (including monarchies), dominant-party regimes, and democratic regimes.</w:t>
      </w:r>
    </w:p>
    <w:p>
      <w:pPr>
        <w:pStyle w:val="BodyText"/>
      </w:pPr>
      <w:r>
        <w:rPr>
          <w:bCs/>
          <w:b/>
        </w:rPr>
        <w:t xml:space="preserve">Military regimes</w:t>
      </w:r>
      <w:r>
        <w:t xml:space="preserve">, as defined by GWF, are characterized by the dominance of a junta composed of military officers who exercise control over the regime’s power structure, including leadership selection and policy formulation.</w:t>
      </w:r>
      <w:r>
        <w:t xml:space="preserve"> </w:t>
      </w:r>
      <w:r>
        <w:t xml:space="preserve">Examples of such regimes include the Brazilian regime (1964–1985), the Argentine regime (1976–1983), and the Salvadoran regime (1948–1984)</w:t>
      </w:r>
      <w:r>
        <w:t xml:space="preserve"> </w:t>
      </w:r>
      <w:r>
        <w:t xml:space="preserve">(Geddes 1999)</w:t>
      </w:r>
      <w:r>
        <w:t xml:space="preserve">.</w:t>
      </w:r>
      <w:r>
        <w:t xml:space="preserve"> </w:t>
      </w:r>
      <w:r>
        <w:t xml:space="preserve">It’s noteworthy that within military regimes, political parties may persist, but they typically serve as conduits for the military junta or align with the directives of military officers to avoid being categorized as dominant-party regimes.</w:t>
      </w:r>
      <w:r>
        <w:t xml:space="preserve"> </w:t>
      </w:r>
      <w:r>
        <w:t xml:space="preserve">Additionally, while a junta may appoint a senior officer as the executive or enlist civilian administrators and technocrats as intermediaries, their authority over other officers remains restricted, distinguishing military regimes from personalist ones.</w:t>
      </w:r>
    </w:p>
    <w:p>
      <w:pPr>
        <w:pStyle w:val="BodyText"/>
      </w:pPr>
      <w:r>
        <w:t xml:space="preserve">In a typical</w:t>
      </w:r>
      <w:r>
        <w:t xml:space="preserve"> </w:t>
      </w:r>
      <w:r>
        <w:rPr>
          <w:bCs/>
          <w:b/>
        </w:rPr>
        <w:t xml:space="preserve">personalist regime</w:t>
      </w:r>
      <w:r>
        <w:t xml:space="preserve">, supreme power rests with the dictator, encompassing policy making, control over the military, and the authority to nominate top officials and successors.</w:t>
      </w:r>
      <w:r>
        <w:t xml:space="preserve"> </w:t>
      </w:r>
      <w:r>
        <w:t xml:space="preserve">Personalist rules often emerge under charismatic leaders, particularly founding fathers of newly independent nations.</w:t>
      </w:r>
      <w:r>
        <w:t xml:space="preserve"> </w:t>
      </w:r>
      <w:r>
        <w:t xml:space="preserve">Regimes such as Rafael Trujillo’s in the Dominican Republic (1930–1961), Idi Amin’s in Uganda (1971–1979), and Jean-Bédel Bokassa’s in the Central African Republic (1966–1979) serve as illustrative examples of personalist rule</w:t>
      </w:r>
      <w:r>
        <w:t xml:space="preserve"> </w:t>
      </w:r>
      <w:r>
        <w:t xml:space="preserve">(Geddes 1999)</w:t>
      </w:r>
      <w:r>
        <w:t xml:space="preserve">.</w:t>
      </w:r>
      <w:r>
        <w:t xml:space="preserve"> </w:t>
      </w:r>
      <w:r>
        <w:t xml:space="preserve">In such regimes, either political parties are absent or they are established by or subservient to the dictator.</w:t>
      </w:r>
      <w:r>
        <w:t xml:space="preserve"> </w:t>
      </w:r>
      <w:r>
        <w:t xml:space="preserve">Importantly, the dictator may or may not be a military officer themselves, but the military is invariably under the dictator’s control.</w:t>
      </w:r>
    </w:p>
    <w:p>
      <w:pPr>
        <w:pStyle w:val="BodyText"/>
      </w:pPr>
      <w:r>
        <w:t xml:space="preserve">In a typical</w:t>
      </w:r>
      <w:r>
        <w:t xml:space="preserve"> </w:t>
      </w:r>
      <w:r>
        <w:rPr>
          <w:bCs/>
          <w:b/>
        </w:rPr>
        <w:t xml:space="preserve">dominant-party regime</w:t>
      </w:r>
      <w:r>
        <w:t xml:space="preserve">, supreme power lies within the party, with the incumbent serving as its representative and subject to collective party leadership.</w:t>
      </w:r>
      <w:r>
        <w:t xml:space="preserve"> </w:t>
      </w:r>
      <w:r>
        <w:t xml:space="preserve">Examples of dominant-party regimes include the Partido Revolucionario Institucional (PRI) in Mexico, the Revolutionary Party of Tanzania (CCM), and Leninist parties in various East European countries</w:t>
      </w:r>
      <w:r>
        <w:t xml:space="preserve"> </w:t>
      </w:r>
      <w:r>
        <w:t xml:space="preserve">(Geddes 1999)</w:t>
      </w:r>
      <w:r>
        <w:t xml:space="preserve">.</w:t>
      </w:r>
      <w:r>
        <w:t xml:space="preserve"> </w:t>
      </w:r>
      <w:r>
        <w:t xml:space="preserve">The party functions as a well-organized and highly disciplined entity, with its own ideology and political agenda to unite and mobilize its members and supporters.</w:t>
      </w:r>
      <w:r>
        <w:t xml:space="preserve"> </w:t>
      </w:r>
      <w:r>
        <w:t xml:space="preserve">While powerful leaders may emerge within such regimes, such as Stalin in the Soviet Union (1924-1953 and Mao Zedong in China (1949-1976), they do not wield enough power to supplant or replace the party with a new one.</w:t>
      </w:r>
    </w:p>
    <w:tbl>
      <w:tblPr>
        <w:tblStyle w:val="Table"/>
        <w:tblW w:type="pct" w:w="5000"/>
        <w:tblLook w:firstRow="0" w:lastRow="0" w:firstColumn="0" w:lastColumn="0" w:noHBand="0" w:noVBand="0" w:val="0000"/>
        <w:jc w:val="start"/>
        <w:tblLayout w:type="fixed"/>
      </w:tblPr>
      <w:tblGrid>
        <w:gridCol w:w="7920"/>
      </w:tblGrid>
      <w:tr>
        <w:tc>
          <w:tcPr/>
          <w:bookmarkStart w:id="30" w:name="tbl-regimes"/>
          <w:p>
            <w:pPr>
              <w:jc w:val="center"/>
            </w:pPr>
            <w:pPr>
              <w:jc w:val="start"/>
              <w:spacing w:before="200"/>
              <w:pStyle w:val="ImageCaption"/>
            </w:pPr>
            <w:r>
              <w:t xml:space="preserve">Table 2: Regime types and their distribution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Share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3"/>
                </w:tcPr>
                <w:p>
                  <w:pPr>
                    <w:spacing w:before="0" w:after="60"/>
                    <w:keepNext/>
                  </w:pPr>
                  <w:r>
                    <w:rPr>
                      <w:b w:val="true"/>
                      <w:i/>
                      <w:rFonts w:ascii="Calibri" w:hAnsi="Calibri"/>
                      <w:sz w:val="20"/>
                    </w:rPr>
                    <w:t xml:space="preserve">Source: REIGN dataset</w:t>
                  </w:r>
                </w:p>
              </w:tc>
            </w:tr>
          </w:tbl>
          <w:bookmarkEnd w:id="30"/>
        </w:tc>
      </w:tr>
    </w:tbl>
    <w:bookmarkEnd w:id="31"/>
    <w:bookmarkEnd w:id="32"/>
    <w:bookmarkStart w:id="33" w:name="research-framework-and-hypotheses"/>
    <w:p>
      <w:pPr>
        <w:pStyle w:val="Heading2"/>
      </w:pPr>
      <w:r>
        <w:t xml:space="preserve">Research Framework and Hypotheses</w:t>
      </w:r>
    </w:p>
    <w:bookmarkEnd w:id="33"/>
    <w:bookmarkStart w:id="34" w:name="data-and-variables"/>
    <w:p>
      <w:pPr>
        <w:pStyle w:val="Heading2"/>
      </w:pPr>
      <w:r>
        <w:t xml:space="preserve">Data and Variables</w:t>
      </w:r>
    </w:p>
    <w:bookmarkEnd w:id="34"/>
    <w:bookmarkStart w:id="35" w:name="results-and-discussion"/>
    <w:p>
      <w:pPr>
        <w:pStyle w:val="Heading2"/>
      </w:pPr>
      <w:r>
        <w:t xml:space="preserve">Results and Discussion</w:t>
      </w:r>
    </w:p>
    <w:bookmarkEnd w:id="35"/>
    <w:bookmarkStart w:id="60" w:name="conclusion"/>
    <w:p>
      <w:pPr>
        <w:pStyle w:val="Heading2"/>
      </w:pPr>
      <w:r>
        <w:t xml:space="preserve">Conclusion</w:t>
      </w:r>
    </w:p>
    <w:bookmarkStart w:id="59" w:name="refs"/>
    <w:bookmarkStart w:id="37"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6">
        <w:r>
          <w:rPr>
            <w:rStyle w:val="Hyperlink"/>
          </w:rPr>
          <w:t xml:space="preserve">https://doi.org/10.1093/oxfordhb/9780190469771.013.15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0">
        <w:r>
          <w:rPr>
            <w:rStyle w:val="Hyperlink"/>
          </w:rPr>
          <w:t xml:space="preserve">https://doi.org/10.1146/annurev.polisci.2.1.115</w:t>
        </w:r>
      </w:hyperlink>
      <w:r>
        <w:t xml:space="preserve">.</w:t>
      </w:r>
    </w:p>
    <w:bookmarkEnd w:id="41"/>
    <w:bookmarkStart w:id="43"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2">
        <w:r>
          <w:rPr>
            <w:rStyle w:val="Hyperlink"/>
          </w:rPr>
          <w:t xml:space="preserve">https://doi.org/10.1017/s1537592714000851</w:t>
        </w:r>
      </w:hyperlink>
      <w:r>
        <w:t xml:space="preserve">.</w:t>
      </w:r>
    </w:p>
    <w:bookmarkEnd w:id="43"/>
    <w:bookmarkStart w:id="4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4">
        <w:r>
          <w:rPr>
            <w:rStyle w:val="Hyperlink"/>
          </w:rPr>
          <w:t xml:space="preserve">https://doi.org/10.1093/oso/9780198837404.003.0003</w:t>
        </w:r>
      </w:hyperlink>
      <w:r>
        <w:t xml:space="preserve">.</w:t>
      </w:r>
    </w:p>
    <w:bookmarkEnd w:id="45"/>
    <w:bookmarkStart w:id="46"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6"/>
    <w:bookmarkStart w:id="48"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7">
        <w:r>
          <w:rPr>
            <w:rStyle w:val="Hyperlink"/>
          </w:rPr>
          <w:t xml:space="preserve">https://doi.org/10.1093/oep/gpt024</w:t>
        </w:r>
      </w:hyperlink>
      <w:r>
        <w:t xml:space="preserve">.</w:t>
      </w:r>
    </w:p>
    <w:bookmarkEnd w:id="48"/>
    <w:bookmarkStart w:id="50"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9">
        <w:r>
          <w:rPr>
            <w:rStyle w:val="Hyperlink"/>
          </w:rPr>
          <w:t xml:space="preserve">https://doi.org/10.1007/s11127-013-0124-4</w:t>
        </w:r>
      </w:hyperlink>
      <w:r>
        <w:t xml:space="preserve">.</w:t>
      </w:r>
    </w:p>
    <w:bookmarkEnd w:id="50"/>
    <w:bookmarkStart w:id="5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1">
        <w:r>
          <w:rPr>
            <w:rStyle w:val="Hyperlink"/>
          </w:rPr>
          <w:t xml:space="preserve">https://doi.org/10.1177/0022343310397436</w:t>
        </w:r>
      </w:hyperlink>
      <w:r>
        <w:t xml:space="preserve">.</w:t>
      </w:r>
    </w:p>
    <w:bookmarkEnd w:id="52"/>
    <w:bookmarkStart w:id="54"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3">
        <w:r>
          <w:rPr>
            <w:rStyle w:val="Hyperlink"/>
          </w:rPr>
          <w:t xml:space="preserve">https://doi.org/10.1080/13510347.2018.1450389</w:t>
        </w:r>
      </w:hyperlink>
      <w:r>
        <w:t xml:space="preserve">.</w:t>
      </w:r>
    </w:p>
    <w:bookmarkEnd w:id="54"/>
    <w:bookmarkStart w:id="56"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5">
        <w:r>
          <w:rPr>
            <w:rStyle w:val="Hyperlink"/>
          </w:rPr>
          <w:t xml:space="preserve">https://doi.org/10.1177/0010414016688004</w:t>
        </w:r>
      </w:hyperlink>
      <w:r>
        <w:t xml:space="preserve">.</w:t>
      </w:r>
    </w:p>
    <w:bookmarkEnd w:id="56"/>
    <w:bookmarkStart w:id="58"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57">
        <w:r>
          <w:rPr>
            <w:rStyle w:val="Hyperlink"/>
          </w:rPr>
          <w:t xml:space="preserve">https://doi.org/10.1093/oxfordhb/9780190469771.013.13</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2024-05-04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2024-05-04T22:55:43Z</dcterms:created>
  <dcterms:modified xsi:type="dcterms:W3CDTF">2024-05-04T22:55:43Z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2024-05-04</vt:lpwstr>
  </property>
  <property fmtid="{D5CDD505-2E9C-101B-9397-08002B2CF9AE}" pid="11" name="date-modified">
    <vt:lpwstr>2024-05-04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