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2024-05-15</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 The question of why</w:t>
      </w:r>
      <w:r>
        <w:t xml:space="preserve"> </w:t>
      </w:r>
      <w:r>
        <w:t xml:space="preserve">coups occur more frequently in certain regions, countries, and periods, while</w:t>
      </w:r>
      <w:r>
        <w:t xml:space="preserve"> </w:t>
      </w:r>
      <w:r>
        <w:t xml:space="preserve">being less common in others, has captivated scholars for decades. Consequently,</w:t>
      </w:r>
      <w:r>
        <w:t xml:space="preserve"> </w:t>
      </w:r>
      <w:r>
        <w:t xml:space="preserve">scholars have delved into extensive research on coups. Despite numerous efforts</w:t>
      </w:r>
      <w:r>
        <w:t xml:space="preserve"> </w:t>
      </w:r>
      <w:r>
        <w:t xml:space="preserve">in past studies to shed light on these disparities, a definitive model or set of</w:t>
      </w:r>
      <w:r>
        <w:t xml:space="preserve"> </w:t>
      </w:r>
      <w:r>
        <w:t xml:space="preserve">determinants for analysing coups remains elusive. As highlighted by</w:t>
      </w:r>
      <w:r>
        <w:t xml:space="preserve"> </w:t>
      </w:r>
      <w:r>
        <w:t xml:space="preserve">Gassebner, Gutmann, and Voigt (2016)</w:t>
      </w:r>
      <w:r>
        <w:t xml:space="preserve">, although approximately one hundred potential determinants of</w:t>
      </w:r>
      <w:r>
        <w:t xml:space="preserve"> </w:t>
      </w:r>
      <w:r>
        <w:t xml:space="preserve">coups have been suggested, the fundamental question remains unanswered.</w:t>
      </w:r>
    </w:p>
    <w:p>
      <w:pPr>
        <w:pStyle w:val="BodyText"/>
      </w:pPr>
      <w:r>
        <w:t xml:space="preserve">However, despite extensive research by scholars, the impact of anticipated</w:t>
      </w:r>
      <w:r>
        <w:t xml:space="preserve"> </w:t>
      </w:r>
      <w:r>
        <w:t xml:space="preserve">outcomes on coup initiation has not received sufficient attention. When analysing</w:t>
      </w:r>
      <w:r>
        <w:t xml:space="preserve"> </w:t>
      </w:r>
      <w:r>
        <w:t xml:space="preserve">the determinants of coups, it’s crucial not to overlook the most significant</w:t>
      </w:r>
      <w:r>
        <w:t xml:space="preserve"> </w:t>
      </w:r>
      <w:r>
        <w:t xml:space="preserve">characteristic of coups themselves. As noted by</w:t>
      </w:r>
      <w:r>
        <w:t xml:space="preserve"> </w:t>
      </w:r>
      <w:r>
        <w:t xml:space="preserve">J. M. 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w:t>
      </w:r>
      <w:r>
        <w:t xml:space="preserve">”</w:t>
      </w:r>
      <w:r>
        <w:t xml:space="preserve">(J. M. Powell and Thyne 2011, 252)</w:t>
      </w:r>
      <w:r>
        <w:t xml:space="preserve">. Due to their illegality, the</w:t>
      </w:r>
      <w:r>
        <w:t xml:space="preserve"> </w:t>
      </w:r>
      <w:r>
        <w:t xml:space="preserve">consequences of a failed coup could be severe, with perpetrators risking</w:t>
      </w:r>
      <w:r>
        <w:t xml:space="preserve"> </w:t>
      </w:r>
      <w:r>
        <w:t xml:space="preserve">imprisonment, exile, or even death. In some instances, the repercussions extend</w:t>
      </w:r>
      <w:r>
        <w:t xml:space="preserve"> </w:t>
      </w:r>
      <w:r>
        <w:t xml:space="preserve">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 At first</w:t>
      </w:r>
      <w:r>
        <w:t xml:space="preserve"> </w:t>
      </w:r>
      <w:r>
        <w:t xml:space="preserve">glance, coups seem to be a high-success-rate, high-reward political venture and</w:t>
      </w:r>
      <w:r>
        <w:t xml:space="preserve"> </w:t>
      </w:r>
      <w:r>
        <w:t xml:space="preserve">speculation. 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w:t>
      </w:r>
      <w:r>
        <w:t xml:space="preserve"> </w:t>
      </w:r>
      <w:r>
        <w:t xml:space="preserve">occurrence of 491 coups appears rather rare, accounting for less than</w:t>
      </w:r>
      <w:r>
        <w:t xml:space="preserve"> </w:t>
      </w:r>
      <m:oMath>
        <m:r>
          <m:t>4</m:t>
        </m:r>
        <m:r>
          <m:rPr>
            <m:sty m:val="p"/>
          </m:rPr>
          <m:t>%</m:t>
        </m:r>
      </m:oMath>
      <w:r>
        <w:t xml:space="preserve"> </w:t>
      </w:r>
      <w:r>
        <w:t xml:space="preserve">(J. M. Powell and Thyne 2011)</w:t>
      </w:r>
      <w:r>
        <w:t xml:space="preserve">.</w:t>
      </w:r>
    </w:p>
    <w:p>
      <w:pPr>
        <w:pStyle w:val="BodyText"/>
      </w:pPr>
      <w:r>
        <w:t xml:space="preserve">The low occurrence rate and high success rate indicate that the initiation of</w:t>
      </w:r>
      <w:r>
        <w:t xml:space="preserve"> </w:t>
      </w:r>
      <w:r>
        <w:t xml:space="preserve">coups is highly selective. In other words, the likelihood of a coup occurring</w:t>
      </w:r>
      <w:r>
        <w:t xml:space="preserve"> </w:t>
      </w:r>
      <w:r>
        <w:t xml:space="preserve">depends greatly on its potential success rate. Coup plotters carefully assess</w:t>
      </w:r>
      <w:r>
        <w:t xml:space="preserve"> </w:t>
      </w:r>
      <w:r>
        <w:t xml:space="preserve">their chances before staging a coup. If they decide to proceed, it suggests that</w:t>
      </w:r>
      <w:r>
        <w:t xml:space="preserve"> </w:t>
      </w:r>
      <w:r>
        <w:t xml:space="preserve">the conditions are relatively ripe, hence the fifty-fifty success rate. Plans</w:t>
      </w:r>
      <w:r>
        <w:t xml:space="preserve"> </w:t>
      </w:r>
      <w:r>
        <w:t xml:space="preserve">with immature conditions and low chances of success are automatically filtered</w:t>
      </w:r>
      <w:r>
        <w:t xml:space="preserve"> </w:t>
      </w:r>
      <w:r>
        <w:t xml:space="preserve">out. Fundamentally, launching a coup is not like participating in a general</w:t>
      </w:r>
      <w:r>
        <w:t xml:space="preserve"> </w:t>
      </w:r>
      <w:r>
        <w:t xml:space="preserve">election, where failure in one election allows for another attempt in the next</w:t>
      </w:r>
      <w:r>
        <w:t xml:space="preserve"> </w:t>
      </w:r>
      <w:r>
        <w:t xml:space="preserve">election. A coup is a high-stakes gamble where success brings substantial</w:t>
      </w:r>
      <w:r>
        <w:t xml:space="preserve"> </w:t>
      </w:r>
      <w:r>
        <w:t xml:space="preserve">rewards, while failure may result in martyrdom. Failure, put differently, means</w:t>
      </w:r>
      <w:r>
        <w:t xml:space="preserve"> </w:t>
      </w:r>
      <w:r>
        <w:t xml:space="preserve">permanent and absolute defeat. Furthermore, the outcomes of coups are typically</w:t>
      </w:r>
      <w:r>
        <w:t xml:space="preserve"> </w:t>
      </w:r>
      <w:r>
        <w:t xml:space="preserve">decided within a matter of days, sometimes even mere hours. Unlike prolonged</w:t>
      </w:r>
      <w:r>
        <w:t xml:space="preserve"> </w:t>
      </w:r>
      <w:r>
        <w:t xml:space="preserve">conflicts where victories or defeats may shift over time, the success of a coup</w:t>
      </w:r>
      <w:r>
        <w:t xml:space="preserve"> </w:t>
      </w:r>
      <w:r>
        <w:t xml:space="preserve">is often sealed at its inception. Every detail must be meticulously planned and</w:t>
      </w:r>
      <w:r>
        <w:t xml:space="preserve"> </w:t>
      </w:r>
      <w:r>
        <w:t xml:space="preserve">arranged beforehand.</w:t>
      </w:r>
    </w:p>
    <w:p>
      <w:pPr>
        <w:pStyle w:val="BodyText"/>
      </w:pPr>
      <w:r>
        <w:t xml:space="preserve">Hence, the factors influencing the success rates of coups play a significant role</w:t>
      </w:r>
      <w:r>
        <w:t xml:space="preserve"> </w:t>
      </w:r>
      <w:r>
        <w:t xml:space="preserve">in shaping coup attempts. This study employs a sample selection model to examine</w:t>
      </w:r>
      <w:r>
        <w:t xml:space="preserve"> </w:t>
      </w:r>
      <w:r>
        <w:t xml:space="preserve">the factors affecting the success rates of coups and, consequently, the</w:t>
      </w:r>
      <w:r>
        <w:t xml:space="preserve"> </w:t>
      </w:r>
      <w:r>
        <w:t xml:space="preserve">likelihood of coup attempts. I posit that the power dynamics among coup</w:t>
      </w:r>
      <w:r>
        <w:t xml:space="preserve"> </w:t>
      </w:r>
      <w:r>
        <w:t xml:space="preserve">perpetrators, incumbents, and other ruling elites are pivotal in determining the</w:t>
      </w:r>
      <w:r>
        <w:t xml:space="preserve"> </w:t>
      </w:r>
      <w:r>
        <w:t xml:space="preserve">success of coups. These dynamics are largely contingent on regime types,</w:t>
      </w:r>
      <w:r>
        <w:t xml:space="preserve"> </w:t>
      </w:r>
      <w:r>
        <w:t xml:space="preserve">highlighting the pivotal role of regime types in shaping coup attempts.</w:t>
      </w:r>
    </w:p>
    <w:p>
      <w:pPr>
        <w:pStyle w:val="BodyText"/>
      </w:pPr>
      <w:r>
        <w:t xml:space="preserve">This study offers two potential contributions to the existing literature:</w:t>
      </w:r>
      <w:r>
        <w:t xml:space="preserve"> </w:t>
      </w:r>
      <w:r>
        <w:t xml:space="preserve">firstly, it highlights the significance of power dynamics within various regime</w:t>
      </w:r>
      <w:r>
        <w:t xml:space="preserve"> </w:t>
      </w:r>
      <w:r>
        <w:t xml:space="preserve">types as critical factors influencing coup attempts; secondly, it demonstrates</w:t>
      </w:r>
      <w:r>
        <w:t xml:space="preserve"> </w:t>
      </w:r>
      <w:r>
        <w:t xml:space="preserve">how sample selection models can enhance our understanding of coup attempts by</w:t>
      </w:r>
      <w:r>
        <w:t xml:space="preserve"> </w:t>
      </w:r>
      <w:r>
        <w:t xml:space="preserve">taking into account the success rates of coups.</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subsequent section of this paper delves into previous research on coups.</w:t>
      </w:r>
      <w:r>
        <w:t xml:space="preserve"> </w:t>
      </w:r>
      <w:r>
        <w:t xml:space="preserve">Following that, in Part</w:t>
      </w:r>
      <w:r>
        <w:t xml:space="preserve"> </w:t>
      </w:r>
      <m:oMath>
        <m:r>
          <m:t>3</m:t>
        </m:r>
      </m:oMath>
      <w:r>
        <w:t xml:space="preserve">, I present the research framework and propose</w:t>
      </w:r>
      <w:r>
        <w:t xml:space="preserve"> </w:t>
      </w:r>
      <w:r>
        <w:t xml:space="preserve">hypotheses. Part 4 provides insights into the data and variables utilized in the</w:t>
      </w:r>
      <w:r>
        <w:t xml:space="preserve"> </w:t>
      </w:r>
      <w:r>
        <w:t xml:space="preserve">study. The testing results are discussed in Part</w:t>
      </w:r>
      <w:r>
        <w:t xml:space="preserve"> </w:t>
      </w:r>
      <m:oMath>
        <m:r>
          <m:t>5</m:t>
        </m:r>
      </m:oMath>
      <w:r>
        <w:t xml:space="preserve">, followed by the conclusion</w:t>
      </w:r>
      <w:r>
        <w:t xml:space="preserve"> </w:t>
      </w:r>
      <w:r>
        <w:t xml:space="preserve">in Part</w:t>
      </w:r>
      <w:r>
        <w:t xml:space="preserve"> </w:t>
      </w:r>
      <m:oMath>
        <m:r>
          <m:t>6</m:t>
        </m:r>
      </m:oMath>
      <w:r>
        <w:t xml:space="preserve">.</w:t>
      </w:r>
    </w:p>
    <w:bookmarkEnd w:id="23"/>
    <w:bookmarkStart w:id="35"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 formalized by</w:t>
      </w:r>
      <w:r>
        <w:t xml:space="preserve"> </w:t>
      </w:r>
      <w:r>
        <w:t xml:space="preserve">Leon (2013a)</w:t>
      </w:r>
      <w:r>
        <w:t xml:space="preserve"> </w:t>
      </w:r>
      <w:r>
        <w:t xml:space="preserve">and</w:t>
      </w:r>
      <w:r>
        <w:t xml:space="preserve"> </w:t>
      </w:r>
      <w:r>
        <w:t xml:space="preserve">Aidt and Leon (2019)</w:t>
      </w:r>
      <w:r>
        <w:t xml:space="preserve">, provides a</w:t>
      </w:r>
      <w:r>
        <w:t xml:space="preserve"> </w:t>
      </w:r>
      <w:r>
        <w:t xml:space="preserve">structured approach to assess the disposition and capability of coup attempts by</w:t>
      </w:r>
      <w:r>
        <w:t xml:space="preserve"> </w:t>
      </w:r>
      <w:r>
        <w:t xml:space="preserve">evaluating the anticipated benefits for coup plotters. This framework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rPr>
                    <m:nor/>
                    <m:sty m:val="p"/>
                  </m:rPr>
                  <m:t>Expected Payoff of coups</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w:t>
      </w:r>
      <w:r>
        <w:t xml:space="preserve"> </w:t>
      </w:r>
      <w:r>
        <w:t xml:space="preserve">value paid by the incumbent in the status quo,</w:t>
      </w:r>
      <w:r>
        <w:t xml:space="preserve"> </w:t>
      </w:r>
      <m:oMath>
        <m:r>
          <m:t>C</m:t>
        </m:r>
      </m:oMath>
      <w:r>
        <w:t xml:space="preserve"> </w:t>
      </w:r>
      <w:r>
        <w:t xml:space="preserve">signifies the cost of a failed</w:t>
      </w:r>
      <w:r>
        <w:t xml:space="preserve"> </w:t>
      </w:r>
      <w:r>
        <w:t xml:space="preserve">coup, and</w:t>
      </w:r>
      <w:r>
        <w:t xml:space="preserve"> </w:t>
      </w:r>
      <m:oMath>
        <m:r>
          <m:t>σ</m:t>
        </m:r>
      </m:oMath>
      <w:r>
        <w:t xml:space="preserve"> </w:t>
      </w:r>
      <w:r>
        <w:t xml:space="preserve">represents the probability of coup success. The condition for</w:t>
      </w:r>
      <w:r>
        <w:t xml:space="preserve"> </w:t>
      </w:r>
      <w:r>
        <w:t xml:space="preserve">staging a coup is when the expected benefit is positive, meaning that the</w:t>
      </w:r>
      <w:r>
        <w:t xml:space="preserve"> </w:t>
      </w:r>
      <w:r>
        <w:t xml:space="preserve">expected pay-off is greater than 0. Rearranging and simplifying the equation, we</w:t>
      </w:r>
      <w:r>
        <w:t xml:space="preserve"> </w:t>
      </w:r>
      <w:r>
        <w:t xml:space="preserve">get:</w:t>
      </w:r>
    </w:p>
    <w:p>
      <w:pPr>
        <w:pStyle w:val="BodyText"/>
      </w:pPr>
      <w:bookmarkStart w:id="27"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 Both the</w:t>
      </w:r>
      <w:r>
        <w:t xml:space="preserve"> </w:t>
      </w:r>
      <w:r>
        <w:t xml:space="preserve">motivation (disposition) and chance of success (capability) are embedded within</w:t>
      </w:r>
      <w:r>
        <w:t xml:space="preserve"> </w:t>
      </w:r>
      <w:hyperlink w:anchor="eq-eq2">
        <w:r>
          <w:rPr>
            <w:rStyle w:val="Hyperlink"/>
          </w:rPr>
          <w:t xml:space="preserve">Equation 2</w:t>
        </w:r>
      </w:hyperlink>
      <w:r>
        <w:t xml:space="preserve">. The motivation is reflected by the difference in benefits (</w:t>
      </w:r>
      <m:oMath>
        <m:sSub>
          <m:e>
            <m:r>
              <m:t>V</m:t>
            </m:r>
          </m:e>
          <m:sub>
            <m:r>
              <m:t>S</m:t>
            </m:r>
          </m:sub>
        </m:sSub>
        <m:r>
          <m:rPr>
            <m:sty m:val="p"/>
          </m:rPr>
          <m:t>−</m:t>
        </m:r>
        <m:sSub>
          <m:e>
            <m:r>
              <m:t>V</m:t>
            </m:r>
          </m:e>
          <m:sub>
            <m:r>
              <m:t>I</m:t>
            </m:r>
          </m:sub>
        </m:sSub>
      </m:oMath>
      <w:r>
        <w:t xml:space="preserve">),</w:t>
      </w:r>
      <w:r>
        <w:t xml:space="preserve"> </w:t>
      </w:r>
      <w:r>
        <w:t xml:space="preserve">while the opportunity is represented by the probability of success (</w:t>
      </w:r>
      <m:oMath>
        <m:r>
          <m:t>σ</m:t>
        </m:r>
      </m:oMath>
      <w:r>
        <w:t xml:space="preserve">).</w:t>
      </w:r>
    </w:p>
    <w:p>
      <w:pPr>
        <w:pStyle w:val="BodyText"/>
      </w:pPr>
      <w:r>
        <w:t xml:space="preserve">While seemingly clear, the equation faces practical challenges. Quantifying</w:t>
      </w:r>
      <w:r>
        <w:t xml:space="preserve"> </w:t>
      </w:r>
      <m:oMath>
        <m:sSub>
          <m:e>
            <m:r>
              <m:t>V</m:t>
            </m:r>
          </m:e>
          <m:sub>
            <m:r>
              <m:t>S</m:t>
            </m:r>
          </m:sub>
        </m:sSub>
      </m:oMath>
      <w:r>
        <w:t xml:space="preserve"> </w:t>
      </w:r>
      <w:r>
        <w:t xml:space="preserve">(the value of a successful coup) and</w:t>
      </w:r>
      <w:r>
        <w:t xml:space="preserve"> </w:t>
      </w:r>
      <m:oMath>
        <m:r>
          <m:t>C</m:t>
        </m:r>
      </m:oMath>
      <w:r>
        <w:t xml:space="preserve"> </w:t>
      </w:r>
      <w:r>
        <w:t xml:space="preserve">(the cost of failure) is difficult. The</w:t>
      </w:r>
      <w:r>
        <w:t xml:space="preserve"> </w:t>
      </w:r>
      <w:r>
        <w:t xml:space="preserve">loss of life, freedom, or loved ones after a failed coup, as well as the value of</w:t>
      </w:r>
      <w:r>
        <w:t xml:space="preserve"> </w:t>
      </w:r>
      <w:r>
        <w:t xml:space="preserve">assuming leadership after a successful coup, are intangible concepts that defy</w:t>
      </w:r>
      <w:r>
        <w:t xml:space="preserve"> </w:t>
      </w:r>
      <w:r>
        <w:t xml:space="preserve">precise measurement. As evidenced by the 1979 coup in Ghana</w:t>
      </w:r>
      <w:r>
        <w:rPr>
          <w:rStyle w:val="FootnoteReference"/>
        </w:rPr>
        <w:footnoteReference w:id="28"/>
      </w:r>
      <w:r>
        <w:t xml:space="preserve">, the fate of the</w:t>
      </w:r>
      <w:r>
        <w:t xml:space="preserve"> </w:t>
      </w:r>
      <w:r>
        <w:t xml:space="preserve">coup leader(s) hangs in the balance; they are high likely to be killed if the</w:t>
      </w:r>
      <w:r>
        <w:t xml:space="preserve"> </w:t>
      </w:r>
      <w:r>
        <w:t xml:space="preserve">coup fails, or to execute others if the coup succeeds</w:t>
      </w:r>
      <w:r>
        <w:t xml:space="preserve"> </w:t>
      </w:r>
      <w:r>
        <w:t xml:space="preserve">(Aidt and Leon 2019)</w:t>
      </w:r>
      <w:r>
        <w:t xml:space="preserve">.</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sSub>
          <m:e>
            <m:r>
              <m:t>V</m:t>
            </m:r>
          </m:e>
          <m:sub>
            <m:r>
              <m:t>S</m:t>
            </m:r>
          </m:sub>
        </m:sSub>
      </m:oMath>
      <w:r>
        <w:t xml:space="preserve"> </w:t>
      </w:r>
      <w:r>
        <w:t xml:space="preserve">and</w:t>
      </w:r>
      <w:r>
        <w:t xml:space="preserve"> </w:t>
      </w:r>
      <m:oMath>
        <m:r>
          <m:t>C</m:t>
        </m:r>
      </m:oMath>
      <w:r>
        <w:t xml:space="preserve">, they can be treated as roughly equal.</w:t>
      </w:r>
      <w:r>
        <w:t xml:space="preserve"> </w:t>
      </w:r>
      <w:r>
        <w:t xml:space="preserve">Consequently, there is no need to fret over how to measure and compare these</w:t>
      </w:r>
      <w:r>
        <w:t xml:space="preserve"> </w:t>
      </w:r>
      <w:r>
        <w:t xml:space="preserve">values precisely. Instead, we can shift our focus from</w:t>
      </w:r>
      <w:r>
        <w:t xml:space="preserve"> </w:t>
      </w:r>
      <m:oMath>
        <m:sSub>
          <m:e>
            <m:r>
              <m:t>V</m:t>
            </m:r>
          </m:e>
          <m:sub>
            <m:r>
              <m:t>S</m:t>
            </m:r>
          </m:sub>
        </m:sSub>
      </m:oMath>
      <w:r>
        <w:t xml:space="preserve">​ and</w:t>
      </w:r>
      <w:r>
        <w:t xml:space="preserve"> </w:t>
      </w:r>
      <m:oMath>
        <m:r>
          <m:t>C</m:t>
        </m:r>
      </m:oMath>
      <w:r>
        <w:t xml:space="preserve"> </w:t>
      </w:r>
      <w:r>
        <w:t xml:space="preserve">to the</w:t>
      </w:r>
      <w:r>
        <w:t xml:space="preserve"> </w:t>
      </w:r>
      <w:r>
        <w:t xml:space="preserve">probability of success (</w:t>
      </w:r>
      <m:oMath>
        <m:r>
          <m:t>σ</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σ</m:t>
                </m:r>
                <m:r>
                  <m:rPr>
                    <m:sty m:val="p"/>
                  </m:rPr>
                  <m:t>&gt;</m:t>
                </m:r>
                <m:d>
                  <m:dPr>
                    <m:begChr m:val="("/>
                    <m:endChr m:val=")"/>
                    <m:sepChr m:val=""/>
                    <m:grow/>
                  </m:dPr>
                  <m:e>
                    <m:r>
                      <m:t>1</m:t>
                    </m:r>
                    <m:r>
                      <m:rPr>
                        <m:sty m:val="p"/>
                      </m:rPr>
                      <m:t>−</m:t>
                    </m:r>
                    <m:r>
                      <m:t>σ</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4"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(2013b)</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More importantly, the relationship between a government and its military varies</w:t>
      </w:r>
      <w:r>
        <w:t xml:space="preserve"> </w:t>
      </w:r>
      <w:r>
        <w:t xml:space="preserve">significantly across different regime types. In democracies, civilian authority</w:t>
      </w:r>
      <w:r>
        <w:t xml:space="preserve"> </w:t>
      </w:r>
      <w:r>
        <w:t xml:space="preserve">reigns supreme. The military is considered a national institution, bound by the</w:t>
      </w:r>
      <w:r>
        <w:t xml:space="preserve"> </w:t>
      </w:r>
      <w:r>
        <w:t xml:space="preserve">constitution rather than individual leaders, whether military or civilian. For</w:t>
      </w:r>
      <w:r>
        <w:t xml:space="preserve"> </w:t>
      </w:r>
      <w:r>
        <w:t xml:space="preserve">instance, the United States Armed Forces serve under the President’s command but</w:t>
      </w:r>
      <w:r>
        <w:t xml:space="preserve"> </w:t>
      </w:r>
      <w:r>
        <w:t xml:space="preserve">ultimately answer to the Constitution, ensuring they remain politically neutral.</w:t>
      </w:r>
    </w:p>
    <w:p>
      <w:pPr>
        <w:pStyle w:val="BodyText"/>
      </w:pPr>
      <w:r>
        <w:t xml:space="preserve">In contrast, non-democracies present a more complex picture. The lines of</w:t>
      </w:r>
      <w:r>
        <w:t xml:space="preserve"> </w:t>
      </w:r>
      <w:r>
        <w:t xml:space="preserve">authority are often either poorly defined in written documents or blatantly</w:t>
      </w:r>
      <w:r>
        <w:t xml:space="preserve"> </w:t>
      </w:r>
      <w:r>
        <w:t xml:space="preserve">disregarded by those in actual power. Identifying the true leader of the military</w:t>
      </w:r>
      <w:r>
        <w:t xml:space="preserve"> </w:t>
      </w:r>
      <w:r>
        <w:t xml:space="preserve">hinges on the specific regime type. To explore this further, we will utilize the</w:t>
      </w:r>
      <w:r>
        <w:t xml:space="preserve"> </w:t>
      </w:r>
      <w:r>
        <w:t xml:space="preserve">foundational concepts outlined by by</w:t>
      </w:r>
      <w:r>
        <w:t xml:space="preserve"> </w:t>
      </w:r>
      <w:r>
        <w:t xml:space="preserve">Geddes, Wright, and Frantz (2014)</w:t>
      </w:r>
      <w:r>
        <w:t xml:space="preserve"> </w:t>
      </w:r>
      <w:r>
        <w:t xml:space="preserve">(GWF), which categorise</w:t>
      </w:r>
      <w:r>
        <w:t xml:space="preserve"> </w:t>
      </w:r>
      <w:r>
        <w:t xml:space="preserve">autocratic regimes based on leadership origins and decision-making factors. These</w:t>
      </w:r>
      <w:r>
        <w:t xml:space="preserve"> </w:t>
      </w:r>
      <w:r>
        <w:t xml:space="preserve">regimes fall into three broad categories: military regimes, personalist regimes</w:t>
      </w:r>
      <w:r>
        <w:t xml:space="preserve"> </w:t>
      </w:r>
      <w:r>
        <w:t xml:space="preserve">(including monarchies), and dominant-party regimes. Democracies will also be</w:t>
      </w:r>
      <w:r>
        <w:t xml:space="preserve"> </w:t>
      </w:r>
      <w:r>
        <w:t xml:space="preserve">included in our analysis for comparative purposes.</w:t>
      </w:r>
    </w:p>
    <w:p>
      <w:pPr>
        <w:pStyle w:val="BodyText"/>
      </w:pPr>
      <w:r>
        <w:rPr>
          <w:bCs/>
          <w:b/>
        </w:rPr>
        <w:t xml:space="preserve">Military Regimes</w:t>
      </w:r>
    </w:p>
    <w:p>
      <w:pPr>
        <w:pStyle w:val="BodyText"/>
      </w:pPr>
      <w:r>
        <w:t xml:space="preserve">As defined by GWF, military regimes are characterized by the dominance of a junta</w:t>
      </w:r>
      <w:r>
        <w:t xml:space="preserve"> </w:t>
      </w:r>
      <w:r>
        <w:t xml:space="preserve">– a group of military officers who control the regime’s power structure,</w:t>
      </w:r>
      <w:r>
        <w:t xml:space="preserve"> </w:t>
      </w:r>
      <w:r>
        <w:t xml:space="preserve">including leadership selection and policy formulation. Examples include the</w:t>
      </w:r>
      <w:r>
        <w:t xml:space="preserve"> </w:t>
      </w:r>
      <w:r>
        <w:t xml:space="preserve">Brazilian regime (1964-1985), the Argentine regime (1976-1983), and the</w:t>
      </w:r>
      <w:r>
        <w:t xml:space="preserve"> </w:t>
      </w:r>
      <w:r>
        <w:t xml:space="preserve">Salvadoran regime (1948-1984)</w:t>
      </w:r>
      <w:r>
        <w:t xml:space="preserve"> </w:t>
      </w:r>
      <w:r>
        <w:t xml:space="preserve">(Geddes 1999)</w:t>
      </w:r>
      <w:r>
        <w:t xml:space="preserve">. Notably, political parties might</w:t>
      </w:r>
      <w:r>
        <w:t xml:space="preserve"> </w:t>
      </w:r>
      <w:r>
        <w:t xml:space="preserve">still exist within military regimes, but they typically act as mouthpieces for</w:t>
      </w:r>
      <w:r>
        <w:t xml:space="preserve"> </w:t>
      </w:r>
      <w:r>
        <w:t xml:space="preserve">the junta or align themselves with the military’s directives to avoid being</w:t>
      </w:r>
      <w:r>
        <w:t xml:space="preserve"> </w:t>
      </w:r>
      <w:r>
        <w:t xml:space="preserve">categorized as dominant-party regimes. Additionally, while a junta may appoint a</w:t>
      </w:r>
      <w:r>
        <w:t xml:space="preserve"> </w:t>
      </w:r>
      <w:r>
        <w:t xml:space="preserve">senior officer as the head of state or utilize civilian administrators as</w:t>
      </w:r>
      <w:r>
        <w:t xml:space="preserve"> </w:t>
      </w:r>
      <w:r>
        <w:t xml:space="preserve">intermediaries, the authority of these intermediaries over other officers remains</w:t>
      </w:r>
      <w:r>
        <w:t xml:space="preserve"> </w:t>
      </w:r>
      <w:r>
        <w:t xml:space="preserve">limited, differentiating military regimes from personalist ones.</w:t>
      </w:r>
    </w:p>
    <w:p>
      <w:pPr>
        <w:pStyle w:val="BodyText"/>
      </w:pPr>
      <w:r>
        <w:rPr>
          <w:bCs/>
          <w:b/>
        </w:rPr>
        <w:t xml:space="preserve">Personalist Regimes</w:t>
      </w:r>
    </w:p>
    <w:p>
      <w:pPr>
        <w:pStyle w:val="BodyText"/>
      </w:pPr>
      <w:r>
        <w:t xml:space="preserve">In a typical personalist regime, absolute power rests with a single dictator.</w:t>
      </w:r>
      <w:r>
        <w:t xml:space="preserve"> </w:t>
      </w:r>
      <w:r>
        <w:t xml:space="preserve">This encompasses policy making, control over the military, and the authority to</w:t>
      </w:r>
      <w:r>
        <w:t xml:space="preserve"> </w:t>
      </w:r>
      <w:r>
        <w:t xml:space="preserve">appoint top officials and successors. Personalist regimes often emerge under</w:t>
      </w:r>
      <w:r>
        <w:t xml:space="preserve"> </w:t>
      </w:r>
      <w:r>
        <w:t xml:space="preserve">charismatic leaders, particularly founding figures of newly independent nations.</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 such regimes, political</w:t>
      </w:r>
      <w:r>
        <w:t xml:space="preserve"> </w:t>
      </w:r>
      <w:r>
        <w:t xml:space="preserve">parties are either absent or completely subservient to the dictator. Importantly,</w:t>
      </w:r>
      <w:r>
        <w:t xml:space="preserve"> </w:t>
      </w:r>
      <w:r>
        <w:t xml:space="preserve">the dictator may or may not have a military background, but the military itself</w:t>
      </w:r>
      <w:r>
        <w:t xml:space="preserve"> </w:t>
      </w:r>
      <w:r>
        <w:t xml:space="preserve">falls under their control.</w:t>
      </w:r>
    </w:p>
    <w:p>
      <w:pPr>
        <w:pStyle w:val="BodyText"/>
      </w:pPr>
      <w:r>
        <w:rPr>
          <w:bCs/>
          <w:b/>
        </w:rPr>
        <w:t xml:space="preserve">Dominant-Party Regimes</w:t>
      </w:r>
    </w:p>
    <w:p>
      <w:pPr>
        <w:pStyle w:val="BodyText"/>
      </w:pPr>
      <w:r>
        <w:t xml:space="preserve">In a dominant-party regime, supreme power resides within the ruling party, with</w:t>
      </w:r>
      <w:r>
        <w:t xml:space="preserve"> </w:t>
      </w:r>
      <w:r>
        <w:t xml:space="preserve">the leader acting as its representative and subject to its collective leadership.</w:t>
      </w:r>
      <w:r>
        <w:t xml:space="preserve"> </w:t>
      </w:r>
      <w:r>
        <w:t xml:space="preserve">Examples include the Partido Revolucionario Institucional (PRI) in Mexico, the</w:t>
      </w:r>
      <w:r>
        <w:t xml:space="preserve"> </w:t>
      </w:r>
      <w:r>
        <w:t xml:space="preserve">Revolutionary Party of Tanzania (CCM), and Leninist parties in various Eastern</w:t>
      </w:r>
      <w:r>
        <w:t xml:space="preserve"> </w:t>
      </w:r>
      <w:r>
        <w:t xml:space="preserve">European countries</w:t>
      </w:r>
      <w:r>
        <w:t xml:space="preserve"> </w:t>
      </w:r>
      <w:r>
        <w:t xml:space="preserve">(Geddes 1999)</w:t>
      </w:r>
      <w:r>
        <w:t xml:space="preserve">. The dominant party is a well-organized and</w:t>
      </w:r>
      <w:r>
        <w:t xml:space="preserve"> </w:t>
      </w:r>
      <w:r>
        <w:t xml:space="preserve">disciplined entity with its own ideology and political agenda used to unite and</w:t>
      </w:r>
      <w:r>
        <w:t xml:space="preserve"> </w:t>
      </w:r>
      <w:r>
        <w:t xml:space="preserve">mobilize its members and supporters. While powerful leaders may emerge within</w:t>
      </w:r>
      <w:r>
        <w:t xml:space="preserve"> </w:t>
      </w:r>
      <w:r>
        <w:t xml:space="preserve">such regimes, like Stalin in the Soviet Union (1924-1953) and Mao Zedong in China</w:t>
      </w:r>
      <w:r>
        <w:t xml:space="preserve"> </w:t>
      </w:r>
      <w:r>
        <w:t xml:space="preserve">(1949-1976), they lack the absolute power to dismantle or replace the party</w:t>
      </w:r>
      <w:r>
        <w:t xml:space="preserve"> </w:t>
      </w:r>
      <w:r>
        <w:t xml:space="preserve">altogether.</w:t>
      </w:r>
    </w:p>
    <w:p>
      <w:pPr>
        <w:pStyle w:val="BodyText"/>
      </w:pPr>
      <w:r>
        <w:t xml:space="preserve">According to</w:t>
      </w:r>
      <w:r>
        <w:t xml:space="preserve"> </w:t>
      </w:r>
      <w:r>
        <w:t xml:space="preserve">Geddes (1999)</w:t>
      </w:r>
      <w:r>
        <w:t xml:space="preserve">, different factions within a regime – military officers,</w:t>
      </w:r>
      <w:r>
        <w:t xml:space="preserve"> </w:t>
      </w:r>
      <w:r>
        <w:t xml:space="preserve">party cadres in dominant-party systems, and members of cliques in personalist</w:t>
      </w:r>
      <w:r>
        <w:t xml:space="preserve"> </w:t>
      </w:r>
      <w:r>
        <w:t xml:space="preserve">regimes – have distinct interests. For instance, professional soldiers prioritize</w:t>
      </w:r>
      <w:r>
        <w:t xml:space="preserve"> </w:t>
      </w:r>
      <w:r>
        <w:t xml:space="preserve">military survival and efficacy, party cadres seek to hold office, and members of</w:t>
      </w:r>
      <w:r>
        <w:t xml:space="preserve"> </w:t>
      </w:r>
      <w:r>
        <w:t xml:space="preserve">cliques depend on supporting the incumbent leader for their own survival and</w:t>
      </w:r>
      <w:r>
        <w:t xml:space="preserve"> </w:t>
      </w:r>
      <w:r>
        <w:t xml:space="preserve">relationships. While their strategies may differ, all ruling groups ultimately</w:t>
      </w:r>
      <w:r>
        <w:t xml:space="preserve"> </w:t>
      </w:r>
      <w:r>
        <w:t xml:space="preserve">prioritize self-preservation and advancement.</w:t>
      </w:r>
    </w:p>
    <w:p>
      <w:pPr>
        <w:pStyle w:val="BodyText"/>
      </w:pPr>
      <w:r>
        <w:t xml:space="preserve">The key distinction between military, dominant-party, and personalist regimes</w:t>
      </w:r>
      <w:r>
        <w:t xml:space="preserve"> </w:t>
      </w:r>
      <w:r>
        <w:t xml:space="preserve">lies in the unique balance of power established by each. This power dynamic</w:t>
      </w:r>
      <w:r>
        <w:t xml:space="preserve"> </w:t>
      </w:r>
      <w:r>
        <w:t xml:space="preserve">emerges during the power seizure process. The most competent group, be it a</w:t>
      </w:r>
      <w:r>
        <w:t xml:space="preserve"> </w:t>
      </w:r>
      <w:r>
        <w:t xml:space="preserve">military junta, a political party, or a strongman, typically rises to power due</w:t>
      </w:r>
      <w:r>
        <w:t xml:space="preserve"> </w:t>
      </w:r>
      <w:r>
        <w:t xml:space="preserve">to the demanding nature of seizing control.</w:t>
      </w:r>
      <w:r>
        <w:t xml:space="preserve"> </w:t>
      </w:r>
      <w:r>
        <w:t xml:space="preserve">Sudduth (2017)</w:t>
      </w:r>
      <w:r>
        <w:t xml:space="preserve"> </w:t>
      </w:r>
      <w:r>
        <w:t xml:space="preserve">and</w:t>
      </w:r>
      <w:r>
        <w:t xml:space="preserve"> </w:t>
      </w:r>
      <w:r>
        <w:t xml:space="preserve">Roessler (2011)</w:t>
      </w:r>
      <w:r>
        <w:t xml:space="preserve"> </w:t>
      </w:r>
      <w:r>
        <w:t xml:space="preserve">analyse the purging of co-conspirators after power seizures, arguing that these</w:t>
      </w:r>
      <w:r>
        <w:t xml:space="preserve"> </w:t>
      </w:r>
      <w:r>
        <w:t xml:space="preserve">purges are more likely in the early stages of new regimes.</w:t>
      </w:r>
    </w:p>
    <w:p>
      <w:pPr>
        <w:pStyle w:val="BodyText"/>
      </w:pPr>
      <w:r>
        <w:t xml:space="preserve">Following internal purges and external challenges, a new power dynamic emerges</w:t>
      </w:r>
      <w:r>
        <w:t xml:space="preserve"> </w:t>
      </w:r>
      <w:r>
        <w:t xml:space="preserve">among the factions within a regime, typically solidifying into one of three main</w:t>
      </w:r>
      <w:r>
        <w:t xml:space="preserve"> </w:t>
      </w:r>
      <w:r>
        <w:t xml:space="preserve">types: military regimes, personalist regimes, or dominant-party regimes.</w:t>
      </w:r>
    </w:p>
    <w:p>
      <w:pPr>
        <w:pStyle w:val="BodyText"/>
      </w:pPr>
      <w:r>
        <w:t xml:space="preserve">Dominant-party regimes are the most stable due to their institutionalized</w:t>
      </w:r>
      <w:r>
        <w:t xml:space="preserve"> </w:t>
      </w:r>
      <w:r>
        <w:t xml:space="preserve">structure. A dominant party is a highly organized group with shared political</w:t>
      </w:r>
      <w:r>
        <w:t xml:space="preserve"> </w:t>
      </w:r>
      <w:r>
        <w:t xml:space="preserve">beliefs, goals, and ideologies. This shared ideology fosters internal cohesion</w:t>
      </w:r>
      <w:r>
        <w:t xml:space="preserve"> </w:t>
      </w:r>
      <w:r>
        <w:t xml:space="preserve">and a long-term vision, further bolstering stability. Unlike typical political</w:t>
      </w:r>
      <w:r>
        <w:t xml:space="preserve"> </w:t>
      </w:r>
      <w:r>
        <w:t xml:space="preserve">parties, dominant parties often rise to power through revolutions or coups,</w:t>
      </w:r>
      <w:r>
        <w:t xml:space="preserve"> </w:t>
      </w:r>
      <w:r>
        <w:t xml:space="preserve">resulting in a robust structure with no single individual wielding absolute</w:t>
      </w:r>
      <w:r>
        <w:t xml:space="preserve"> </w:t>
      </w:r>
      <w:r>
        <w:t xml:space="preserve">power. The military force aligns with the party itself, not individual leaders,</w:t>
      </w:r>
      <w:r>
        <w:t xml:space="preserve"> </w:t>
      </w:r>
      <w:r>
        <w:t xml:space="preserve">contributing significantly to greater regime stability compared to personalist or</w:t>
      </w:r>
      <w:r>
        <w:t xml:space="preserve"> </w:t>
      </w:r>
      <w:r>
        <w:t xml:space="preserve">military regimes.</w:t>
      </w:r>
    </w:p>
    <w:p>
      <w:pPr>
        <w:pStyle w:val="BodyText"/>
      </w:pPr>
      <w:r>
        <w:t xml:space="preserve">Personalist regimes exhibit a degree of temporary stability. Dictators, often</w:t>
      </w:r>
      <w:r>
        <w:t xml:space="preserve"> </w:t>
      </w:r>
      <w:r>
        <w:t xml:space="preserve">ruthless and battle-hardened, emerge from intense competition. While lacking</w:t>
      </w:r>
      <w:r>
        <w:t xml:space="preserve"> </w:t>
      </w:r>
      <w:r>
        <w:t xml:space="preserve">strong institutions, purges create a temporary status quo. However, the lack of a</w:t>
      </w:r>
      <w:r>
        <w:t xml:space="preserve"> </w:t>
      </w:r>
      <w:r>
        <w:t xml:space="preserve">clear successor creates a vulnerability during leadership transitions. When</w:t>
      </w:r>
      <w:r>
        <w:t xml:space="preserve"> </w:t>
      </w:r>
      <w:r>
        <w:t xml:space="preserve">dictators die or are assassinated, the absence of an established succession plan</w:t>
      </w:r>
      <w:r>
        <w:t xml:space="preserve"> </w:t>
      </w:r>
      <w:r>
        <w:t xml:space="preserve">can trigger coups d’état.</w:t>
      </w:r>
    </w:p>
    <w:p>
      <w:pPr>
        <w:pStyle w:val="BodyText"/>
      </w:pPr>
      <w:r>
        <w:t xml:space="preserve">Military regimes tend to be the least stable, often ruling through a junta.</w:t>
      </w:r>
      <w:r>
        <w:t xml:space="preserve"> </w:t>
      </w:r>
      <w:r>
        <w:t xml:space="preserve">Juntas lack a unified vision and are prone to internal power struggles, hindering</w:t>
      </w:r>
      <w:r>
        <w:t xml:space="preserve"> </w:t>
      </w:r>
      <w:r>
        <w:t xml:space="preserve">stability. For example, General Augusto Pinochet’s rise to power in Chile after</w:t>
      </w:r>
      <w:r>
        <w:t xml:space="preserve"> </w:t>
      </w:r>
      <w:r>
        <w:t xml:space="preserve">the 1973 coup demonstrates the inherent instability of juntas. While his</w:t>
      </w:r>
      <w:r>
        <w:t xml:space="preserve"> </w:t>
      </w:r>
      <w:r>
        <w:t xml:space="preserve">colleagues initially saw him as a safe choice, his actions proved otherwise. This</w:t>
      </w:r>
      <w:r>
        <w:t xml:space="preserve"> </w:t>
      </w:r>
      <w:r>
        <w:t xml:space="preserve">lack of cohesion within juntas makes them particularly susceptible to internal</w:t>
      </w:r>
      <w:r>
        <w:t xml:space="preserve"> </w:t>
      </w:r>
      <w:r>
        <w:t xml:space="preserve">fracturing.</w:t>
      </w:r>
    </w:p>
    <w:p>
      <w:pPr>
        <w:pStyle w:val="BodyText"/>
      </w:pPr>
      <w:r>
        <w:t xml:space="preserve">The strength of political institutions further supports this assessment. Studies</w:t>
      </w:r>
      <w:r>
        <w:t xml:space="preserve"> </w:t>
      </w:r>
      <w:r>
        <w:t xml:space="preserve">by</w:t>
      </w:r>
      <w:r>
        <w:t xml:space="preserve"> </w:t>
      </w:r>
      <w:r>
        <w:t xml:space="preserve">Frantz and Stein (2017)</w:t>
      </w:r>
      <w:r>
        <w:t xml:space="preserve"> </w:t>
      </w:r>
      <w:r>
        <w:t xml:space="preserve">show that 97% of country-years in dominant-party regimes have</w:t>
      </w:r>
      <w:r>
        <w:t xml:space="preserve"> </w:t>
      </w:r>
      <w:r>
        <w:t xml:space="preserve">formalized institutional succession rules, compared to 77% in personalist regimes</w:t>
      </w:r>
      <w:r>
        <w:t xml:space="preserve"> </w:t>
      </w:r>
      <w:r>
        <w:t xml:space="preserve">and a mere 59% in military regimes.</w:t>
      </w:r>
    </w:p>
    <w:p>
      <w:pPr>
        <w:pStyle w:val="BodyText"/>
      </w:pPr>
      <w:r>
        <w:t xml:space="preserve">These differing power dynamics significantly impact the likelihood of coup</w:t>
      </w:r>
      <w:r>
        <w:t xml:space="preserve"> </w:t>
      </w:r>
      <w:r>
        <w:t xml:space="preserve">attempts. According to</w:t>
      </w:r>
      <w:r>
        <w:t xml:space="preserve"> </w:t>
      </w:r>
      <w:hyperlink w:anchor="tbl-regimes">
        <w:r>
          <w:rPr>
            <w:rStyle w:val="Hyperlink"/>
          </w:rPr>
          <w:t xml:space="preserve">Table 2</w:t>
        </w:r>
      </w:hyperlink>
      <w:r>
        <w:t xml:space="preserve">, military regimes face the highest risk,</w:t>
      </w:r>
      <w:r>
        <w:t xml:space="preserve"> </w:t>
      </w:r>
      <w:r>
        <w:t xml:space="preserve">representing only 5.6% of country-years yet accounting for over 22% of coups.</w:t>
      </w:r>
      <w:r>
        <w:t xml:space="preserve"> </w:t>
      </w:r>
      <w:r>
        <w:t xml:space="preserve">Personalist regimes follow, with 23% of coups despite comprising only 13% of</w:t>
      </w:r>
      <w:r>
        <w:t xml:space="preserve"> </w:t>
      </w:r>
      <w:r>
        <w:t xml:space="preserve">country-years. Dominant-party regimes, with their stronger institutions and</w:t>
      </w:r>
      <w:r>
        <w:t xml:space="preserve"> </w:t>
      </w:r>
      <w:r>
        <w:t xml:space="preserve">unified leadership, have the lowest incidence of coups – constituting 22.6% of</w:t>
      </w:r>
      <w:r>
        <w:t xml:space="preserve"> </w:t>
      </w:r>
      <w:r>
        <w:t xml:space="preserve">country-years but responsible for only 16.7% of coups.</w:t>
      </w:r>
    </w:p>
    <w:tbl>
      <w:tblPr>
        <w:tblStyle w:val="Table"/>
        <w:tblW w:type="pct" w:w="5000"/>
        <w:tblLook w:firstRow="0" w:lastRow="0" w:firstColumn="0" w:lastColumn="0" w:noHBand="0" w:noVBand="0" w:val="0000"/>
        <w:jc w:val="start"/>
        <w:tblLayout w:type="fixed"/>
      </w:tblPr>
      <w:tblGrid>
        <w:gridCol w:w="7920"/>
      </w:tblGrid>
      <w:tr>
        <w:tc>
          <w:tcPr/>
          <w:bookmarkStart w:id="33" w:name="tbl-regimes"/>
          <w:p>
            <w:pPr>
              <w:jc w:val="center"/>
            </w:pPr>
            <w:pPr>
              <w:jc w:val="start"/>
              <w:spacing w:before="200"/>
              <w:pStyle w:val="ImageCaption"/>
            </w:pPr>
            <w:r>
              <w:t xml:space="preserve">Table 2: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 of 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 of Coups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gridSpan w:val="5"/>
                </w:tcPr>
                <w:p>
                  <w:pPr>
                    <w:spacing w:before="0" w:after="60"/>
                    <w:keepNext/>
                  </w:pPr>
                  <w:r>
                    <w:rPr>
                      <w:i/>
                      <w:rFonts w:ascii="Calibri" w:hAnsi="Calibri"/>
                      <w:sz w:val="20"/>
                    </w:rPr>
                    <w:t xml:space="preserve">Source: REIGN and GIC Datasets</w:t>
                  </w:r>
                </w:p>
              </w:tc>
            </w:tr>
          </w:tbl>
          <w:bookmarkEnd w:id="33"/>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4"/>
    <w:bookmarkEnd w:id="35"/>
    <w:bookmarkStart w:id="36" w:name="research-framework-and-hypotheses"/>
    <w:p>
      <w:pPr>
        <w:pStyle w:val="Heading2"/>
      </w:pPr>
      <w:r>
        <w:t xml:space="preserve">Research Framework and Hypotheses</w:t>
      </w:r>
    </w:p>
    <w:bookmarkEnd w:id="36"/>
    <w:bookmarkStart w:id="37" w:name="data-and-variables"/>
    <w:p>
      <w:pPr>
        <w:pStyle w:val="Heading2"/>
      </w:pPr>
      <w:r>
        <w:t xml:space="preserve">Data and Variables</w:t>
      </w:r>
    </w:p>
    <w:bookmarkEnd w:id="37"/>
    <w:bookmarkStart w:id="38" w:name="results-and-discussion"/>
    <w:p>
      <w:pPr>
        <w:pStyle w:val="Heading2"/>
      </w:pPr>
      <w:r>
        <w:t xml:space="preserve">Results and Discussion</w:t>
      </w:r>
    </w:p>
    <w:bookmarkEnd w:id="38"/>
    <w:bookmarkStart w:id="67" w:name="conclusion"/>
    <w:p>
      <w:pPr>
        <w:pStyle w:val="Heading2"/>
      </w:pPr>
      <w:r>
        <w:t xml:space="preserve">Conclusion</w:t>
      </w:r>
    </w:p>
    <w:bookmarkStart w:id="66" w:name="refs"/>
    <w:bookmarkStart w:id="4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9">
        <w:r>
          <w:rPr>
            <w:rStyle w:val="Hyperlink"/>
          </w:rPr>
          <w:t xml:space="preserve">https://doi.org/10.1093/oxfordhb/9780190469771.013.15</w:t>
        </w:r>
      </w:hyperlink>
      <w:r>
        <w:t xml:space="preserve">.</w:t>
      </w:r>
    </w:p>
    <w:bookmarkEnd w:id="40"/>
    <w:bookmarkStart w:id="42"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41">
        <w:r>
          <w:rPr>
            <w:rStyle w:val="Hyperlink"/>
          </w:rPr>
          <w:t xml:space="preserve">https://doi.org/10.1177/0010414016655538</w:t>
        </w:r>
      </w:hyperlink>
      <w:r>
        <w:t xml:space="preserve">.</w:t>
      </w:r>
    </w:p>
    <w:bookmarkEnd w:id="42"/>
    <w:bookmarkStart w:id="44"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43">
        <w:r>
          <w:rPr>
            <w:rStyle w:val="Hyperlink"/>
          </w:rPr>
          <w:t xml:space="preserve">https://doi.org/10.2139/ssrn.2851758</w:t>
        </w:r>
      </w:hyperlink>
      <w:r>
        <w:t xml:space="preserve">.</w:t>
      </w:r>
    </w:p>
    <w:bookmarkEnd w:id="44"/>
    <w:bookmarkStart w:id="46"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45">
        <w:r>
          <w:rPr>
            <w:rStyle w:val="Hyperlink"/>
          </w:rPr>
          <w:t xml:space="preserve">https://doi.org/10.1146/annurev.polisci.2.1.115</w:t>
        </w:r>
      </w:hyperlink>
      <w:r>
        <w:t xml:space="preserve">.</w:t>
      </w:r>
    </w:p>
    <w:bookmarkEnd w:id="46"/>
    <w:bookmarkStart w:id="48"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47">
        <w:r>
          <w:rPr>
            <w:rStyle w:val="Hyperlink"/>
          </w:rPr>
          <w:t xml:space="preserve">https://doi.org/10.1017/s1537592714000851</w:t>
        </w:r>
      </w:hyperlink>
      <w:r>
        <w:t xml:space="preserve">.</w:t>
      </w:r>
    </w:p>
    <w:bookmarkEnd w:id="48"/>
    <w:bookmarkStart w:id="50"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49">
        <w:r>
          <w:rPr>
            <w:rStyle w:val="Hyperlink"/>
          </w:rPr>
          <w:t xml:space="preserve">https://doi.org/10.1093/oso/9780198837404.003.0003</w:t>
        </w:r>
      </w:hyperlink>
      <w:r>
        <w:t xml:space="preserve">.</w:t>
      </w:r>
    </w:p>
    <w:bookmarkEnd w:id="50"/>
    <w:bookmarkStart w:id="51"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51"/>
    <w:bookmarkStart w:id="53"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52">
        <w:r>
          <w:rPr>
            <w:rStyle w:val="Hyperlink"/>
          </w:rPr>
          <w:t xml:space="preserve">https://doi.org/10.1093/oep/gpt024</w:t>
        </w:r>
      </w:hyperlink>
      <w:r>
        <w:t xml:space="preserve">.</w:t>
      </w:r>
    </w:p>
    <w:bookmarkEnd w:id="53"/>
    <w:bookmarkStart w:id="55"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54">
        <w:r>
          <w:rPr>
            <w:rStyle w:val="Hyperlink"/>
          </w:rPr>
          <w:t xml:space="preserve">https://doi.org/10.1007/s11127-013-0124-4</w:t>
        </w:r>
      </w:hyperlink>
      <w:r>
        <w:t xml:space="preserve">.</w:t>
      </w:r>
    </w:p>
    <w:bookmarkEnd w:id="55"/>
    <w:bookmarkStart w:id="57"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6">
        <w:r>
          <w:rPr>
            <w:rStyle w:val="Hyperlink"/>
          </w:rPr>
          <w:t xml:space="preserve">https://doi.org/10.1177/0022343310397436</w:t>
        </w:r>
      </w:hyperlink>
      <w:r>
        <w:t xml:space="preserve">.</w:t>
      </w:r>
    </w:p>
    <w:bookmarkEnd w:id="57"/>
    <w:bookmarkStart w:id="59"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58">
        <w:r>
          <w:rPr>
            <w:rStyle w:val="Hyperlink"/>
          </w:rPr>
          <w:t xml:space="preserve">https://doi.org/10.1080/13510347.2018.1450389</w:t>
        </w:r>
      </w:hyperlink>
      <w:r>
        <w:t xml:space="preserve">.</w:t>
      </w:r>
    </w:p>
    <w:bookmarkEnd w:id="59"/>
    <w:bookmarkStart w:id="61"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60">
        <w:r>
          <w:rPr>
            <w:rStyle w:val="Hyperlink"/>
          </w:rPr>
          <w:t xml:space="preserve">https://doi.org/10.1017/S0043887111000049</w:t>
        </w:r>
      </w:hyperlink>
      <w:r>
        <w:t xml:space="preserve">.</w:t>
      </w:r>
    </w:p>
    <w:bookmarkEnd w:id="61"/>
    <w:bookmarkStart w:id="63"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62">
        <w:r>
          <w:rPr>
            <w:rStyle w:val="Hyperlink"/>
          </w:rPr>
          <w:t xml:space="preserve">https://doi.org/10.1177/0010414016688004</w:t>
        </w:r>
      </w:hyperlink>
      <w:r>
        <w:t xml:space="preserve">.</w:t>
      </w:r>
    </w:p>
    <w:bookmarkEnd w:id="63"/>
    <w:bookmarkStart w:id="65"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64">
        <w:r>
          <w:rPr>
            <w:rStyle w:val="Hyperlink"/>
          </w:rPr>
          <w:t xml:space="preserve">https://doi.org/10.1093/oxfordhb/9780190469771.013.13</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2024-05-15</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2024-05-15.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doi.org/10.1007/s11127-013-0124-4" TargetMode="External" /><Relationship Type="http://schemas.openxmlformats.org/officeDocument/2006/relationships/hyperlink" Id="rId60" Target="https://doi.org/10.1017/S0043887111000049" TargetMode="External" /><Relationship Type="http://schemas.openxmlformats.org/officeDocument/2006/relationships/hyperlink" Id="rId47" Target="https://doi.org/10.1017/s1537592714000851" TargetMode="External" /><Relationship Type="http://schemas.openxmlformats.org/officeDocument/2006/relationships/hyperlink" Id="rId58" Target="https://doi.org/10.1080/13510347.2018.1450389" TargetMode="External" /><Relationship Type="http://schemas.openxmlformats.org/officeDocument/2006/relationships/hyperlink" Id="rId52" Target="https://doi.org/10.1093/oep/gpt024" TargetMode="External" /><Relationship Type="http://schemas.openxmlformats.org/officeDocument/2006/relationships/hyperlink" Id="rId49" Target="https://doi.org/10.1093/oso/9780198837404.003.0003" TargetMode="External" /><Relationship Type="http://schemas.openxmlformats.org/officeDocument/2006/relationships/hyperlink" Id="rId64" Target="https://doi.org/10.1093/oxfordhb/9780190469771.013.13" TargetMode="External" /><Relationship Type="http://schemas.openxmlformats.org/officeDocument/2006/relationships/hyperlink" Id="rId39" Target="https://doi.org/10.1093/oxfordhb/9780190469771.013.15" TargetMode="External" /><Relationship Type="http://schemas.openxmlformats.org/officeDocument/2006/relationships/hyperlink" Id="rId45" Target="https://doi.org/10.1146/annurev.polisci.2.1.115" TargetMode="External" /><Relationship Type="http://schemas.openxmlformats.org/officeDocument/2006/relationships/hyperlink" Id="rId41" Target="https://doi.org/10.1177/0010414016655538" TargetMode="External" /><Relationship Type="http://schemas.openxmlformats.org/officeDocument/2006/relationships/hyperlink" Id="rId62" Target="https://doi.org/10.1177/0010414016688004" TargetMode="External" /><Relationship Type="http://schemas.openxmlformats.org/officeDocument/2006/relationships/hyperlink" Id="rId56" Target="https://doi.org/10.1177/0022343310397436" TargetMode="External" /><Relationship Type="http://schemas.openxmlformats.org/officeDocument/2006/relationships/hyperlink" Id="rId43" Target="https://doi.org/10.2139/ssrn.2851758"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07/s11127-013-0124-4" TargetMode="External" /><Relationship Type="http://schemas.openxmlformats.org/officeDocument/2006/relationships/hyperlink" Id="rId60" Target="https://doi.org/10.1017/S0043887111000049" TargetMode="External" /><Relationship Type="http://schemas.openxmlformats.org/officeDocument/2006/relationships/hyperlink" Id="rId47" Target="https://doi.org/10.1017/s1537592714000851" TargetMode="External" /><Relationship Type="http://schemas.openxmlformats.org/officeDocument/2006/relationships/hyperlink" Id="rId58" Target="https://doi.org/10.1080/13510347.2018.1450389" TargetMode="External" /><Relationship Type="http://schemas.openxmlformats.org/officeDocument/2006/relationships/hyperlink" Id="rId52" Target="https://doi.org/10.1093/oep/gpt024" TargetMode="External" /><Relationship Type="http://schemas.openxmlformats.org/officeDocument/2006/relationships/hyperlink" Id="rId49" Target="https://doi.org/10.1093/oso/9780198837404.003.0003" TargetMode="External" /><Relationship Type="http://schemas.openxmlformats.org/officeDocument/2006/relationships/hyperlink" Id="rId64" Target="https://doi.org/10.1093/oxfordhb/9780190469771.013.13" TargetMode="External" /><Relationship Type="http://schemas.openxmlformats.org/officeDocument/2006/relationships/hyperlink" Id="rId39" Target="https://doi.org/10.1093/oxfordhb/9780190469771.013.15" TargetMode="External" /><Relationship Type="http://schemas.openxmlformats.org/officeDocument/2006/relationships/hyperlink" Id="rId45" Target="https://doi.org/10.1146/annurev.polisci.2.1.115" TargetMode="External" /><Relationship Type="http://schemas.openxmlformats.org/officeDocument/2006/relationships/hyperlink" Id="rId41" Target="https://doi.org/10.1177/0010414016655538" TargetMode="External" /><Relationship Type="http://schemas.openxmlformats.org/officeDocument/2006/relationships/hyperlink" Id="rId62" Target="https://doi.org/10.1177/0010414016688004" TargetMode="External" /><Relationship Type="http://schemas.openxmlformats.org/officeDocument/2006/relationships/hyperlink" Id="rId56" Target="https://doi.org/10.1177/0022343310397436" TargetMode="External" /><Relationship Type="http://schemas.openxmlformats.org/officeDocument/2006/relationships/hyperlink" Id="rId43" Target="https://doi.org/10.2139/ssrn.2851758"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2024-05-15T17:34:46Z</dcterms:created>
  <dcterms:modified xsi:type="dcterms:W3CDTF">2024-05-15T17:34:46Z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2024-05-15</vt:lpwstr>
  </property>
  <property fmtid="{D5CDD505-2E9C-101B-9397-08002B2CF9AE}" pid="11" name="date-modified">
    <vt:lpwstr>2024-05-15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