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2024-05-05</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w:t>
      </w:r>
      <w:r>
        <w:t xml:space="preserve"> </w:t>
      </w:r>
      <m:oMath>
        <m:r>
          <m:t>1950</m:t>
        </m:r>
      </m:oMath>
      <w:r>
        <w:t xml:space="preserve"> </w:t>
      </w:r>
      <w:r>
        <w:t xml:space="preserve">and</w:t>
      </w:r>
      <w:r>
        <w:t xml:space="preserve"> </w:t>
      </w:r>
      <m:oMath>
        <m:r>
          <m:t>1984</m:t>
        </m:r>
      </m:oMath>
      <w:r>
        <w:t xml:space="preserve">, while Argentina experienced 20 during a similar time frame.</w:t>
      </w:r>
      <w:r>
        <w:t xml:space="preserve"> </w:t>
      </w:r>
      <w:r>
        <w:t xml:space="preserve">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 at all.</w:t>
      </w:r>
      <w:r>
        <w:t xml:space="preserve"> </w:t>
      </w:r>
      <w:r>
        <w:t xml:space="preserve">In Africa, Sudan endured 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analysing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analysing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(J. M. Powell and Thyne 2011, 252)</w:t>
      </w:r>
      <w:r>
        <w:t xml:space="preserve">.</w:t>
      </w:r>
      <w:r>
        <w:t xml:space="preserve"> </w:t>
      </w:r>
      <w:r>
        <w:t xml:space="preserve">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 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w:t>
      </w:r>
      <w:r>
        <w:t xml:space="preserve"> </w:t>
      </w:r>
      <m:oMath>
        <m:r>
          <m:t>5</m:t>
        </m:r>
      </m:oMath>
      <w:r>
        <w:t xml:space="preserve">, followed by the conclusion in Part</w:t>
      </w:r>
      <w:r>
        <w:t xml:space="preserve"> </w:t>
      </w:r>
      <m:oMath>
        <m:r>
          <m:t>6</m:t>
        </m:r>
      </m:oMath>
      <w:r>
        <w:t xml:space="preserve">.</w:t>
      </w:r>
    </w:p>
    <w:bookmarkEnd w:id="23"/>
    <w:bookmarkStart w:id="32"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 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 themselves, family, and close associates is a significant motivator.</w:t>
      </w:r>
      <w:r>
        <w:t xml:space="preserve"> </w:t>
      </w:r>
      <w:r>
        <w:t xml:space="preserve">Wintrobe (2019)</w:t>
      </w:r>
      <w:r>
        <w:t xml:space="preserve"> </w:t>
      </w:r>
      <w:r>
        <w:t xml:space="preserve">distinguishes between totalitarian and tinpot dictators based on their use of power.</w:t>
      </w:r>
      <w:r>
        <w:t xml:space="preserve"> </w:t>
      </w:r>
      <w:r>
        <w:t xml:space="preserve">Totalitarian leaders control every aspect of life, relishing their authority.</w:t>
      </w:r>
      <w:r>
        <w:t xml:space="preserve"> </w:t>
      </w:r>
      <w:r>
        <w:t xml:space="preserve">Tinpot leaders, however, prioritize personal enrichment, indulging in extravagant lifestyles.</w:t>
      </w:r>
    </w:p>
    <w:p>
      <w:pPr>
        <w:pStyle w:val="BodyText"/>
      </w:pPr>
      <w:r>
        <w:rPr>
          <w:bCs/>
          <w:b/>
        </w:rPr>
        <w:t xml:space="preserve">Purported National Interest:</w:t>
      </w:r>
      <w:r>
        <w:t xml:space="preserve"> </w:t>
      </w:r>
      <w:r>
        <w:t xml:space="preserve">Sometimes, coups are justified as rescuing a nation in crisis, upholding the constitution, or facilitating a democratic transition.</w:t>
      </w:r>
      <w:r>
        <w:t xml:space="preserve"> </w:t>
      </w:r>
      <w:r>
        <w:t xml:space="preserve">However, scepticism is warranted, as self-serving plotters often use such rhetoric.</w:t>
      </w:r>
      <w:r>
        <w:t xml:space="preserve"> </w:t>
      </w:r>
      <w:r>
        <w:t xml:space="preserve">Nevertheless, legitimate cases exist.</w:t>
      </w:r>
      <w:r>
        <w:t xml:space="preserve"> </w:t>
      </w:r>
      <w:r>
        <w:t xml:space="preserve">In 2010, a coup in Niger ousted President Tandja, who attempted an unconstitutional third term.</w:t>
      </w:r>
      <w:r>
        <w:t xml:space="preserve"> </w:t>
      </w:r>
      <w:r>
        <w:t xml:space="preserve">His actions, including dissolving the opposing Constitutional Court and calling a 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 imminent political persecution.</w:t>
      </w:r>
      <w:r>
        <w:t xml:space="preserve"> </w:t>
      </w:r>
      <w:r>
        <w:t xml:space="preserve">Coup leaders might not seek power but fear elimination by the incumbent leader.</w:t>
      </w:r>
      <w:r>
        <w:t xml:space="preserve"> </w:t>
      </w:r>
      <w:r>
        <w:t xml:space="preserve">Consequently, the coup becomes a pre-emptive strike rather than an ambitious power grab.</w:t>
      </w:r>
      <w:r>
        <w:t xml:space="preserve"> </w:t>
      </w:r>
      <w:r>
        <w:t xml:space="preserve">An example is Idi Amin, who, in 1971, staged a coup against Ugandan President Obote, who was attempting to remove Amin from his position as army commander-in-chief</w:t>
      </w:r>
      <w:r>
        <w:t xml:space="preserve"> </w:t>
      </w:r>
      <w:r>
        <w:t xml:space="preserve">(Sudduth 2017)</w:t>
      </w:r>
      <w:r>
        <w:t xml:space="preserve">.</w:t>
      </w:r>
    </w:p>
    <w:p>
      <w:pPr>
        <w:pStyle w:val="BodyText"/>
      </w:pPr>
      <w:r>
        <w:t xml:space="preserve">While these motivations can arise in any regime, autocracies are more susceptible, particularly for the latter two types.</w:t>
      </w:r>
      <w:r>
        <w:t xml:space="preserve"> </w:t>
      </w:r>
      <w:r>
        <w:t xml:space="preserve">Stable democracies rarely face such constitutional crises or political persecutions that necessitate coups to protect them.</w:t>
      </w:r>
      <w:r>
        <w:t xml:space="preserve"> </w:t>
      </w:r>
      <w:r>
        <w:t xml:space="preserve">However, new democracies can be vulnerable to instability, economic downturns, and democratic backsliding which coup plotters can then use as a pretext to justify their actions.</w:t>
      </w:r>
    </w:p>
    <w:p>
      <w:pPr>
        <w:pStyle w:val="BodyText"/>
      </w:pPr>
      <w:r>
        <w:t xml:space="preserve">Despite these potential motivations, coups are relatively uncommon, occurring in only</w:t>
      </w:r>
      <w:r>
        <w:t xml:space="preserve"> </w:t>
      </w:r>
      <m:oMath>
        <m:r>
          <m:t>4</m:t>
        </m:r>
        <m:r>
          <m:rPr>
            <m:sty m:val="p"/>
          </m:rPr>
          <m:t>%</m:t>
        </m:r>
      </m:oMath>
      <w:r>
        <w:t xml:space="preserve"> </w:t>
      </w:r>
      <w:r>
        <w:t xml:space="preserve">of country-years since 1950.</w:t>
      </w:r>
      <w:r>
        <w:t xml:space="preserve"> </w:t>
      </w:r>
      <w:r>
        <w:t xml:space="preserve">This is because even the most determined coup plotters require the capability to succeed, which we will explore in the next section.</w:t>
      </w:r>
      <w:r>
        <w:t xml:space="preserve"> </w:t>
      </w:r>
      <w:r>
        <w:t xml:space="preserve">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 power for various reasons, only a select few have the opportunity to orchestrate a coup.</w:t>
      </w:r>
      <w:r>
        <w:t xml:space="preserve"> </w:t>
      </w:r>
      <w:r>
        <w:t xml:space="preserve">What truly determines their ability to launch a coup, however, is not merely their willingness, but their capability.</w:t>
      </w:r>
      <w:r>
        <w:t xml:space="preserve"> </w:t>
      </w:r>
      <w:r>
        <w:t xml:space="preserve">Yet, compared to the incumbent, coup plotters naturally face disadvantages.</w:t>
      </w:r>
    </w:p>
    <w:p>
      <w:pPr>
        <w:pStyle w:val="BodyText"/>
      </w:pPr>
      <w:r>
        <w:t xml:space="preserve">Firstly, as previously mentioned, coups constitute illegal actions against incumbent leaders.</w:t>
      </w:r>
      <w:r>
        <w:t xml:space="preserve"> </w:t>
      </w:r>
      <w:r>
        <w:t xml:space="preserve">To avoid the severe consequences of exposure or failure, coup plots must remain clandestine within a tightly knit core group.</w:t>
      </w:r>
      <w:r>
        <w:t xml:space="preserve"> </w:t>
      </w:r>
      <w:r>
        <w:t xml:space="preserve">Coup plotters cannot openly recruit supporters to bolster their strength, while incumbents can openly implement coup-proofing strategies to thwart coup attempts.</w:t>
      </w:r>
    </w:p>
    <w:p>
      <w:pPr>
        <w:pStyle w:val="BodyText"/>
      </w:pPr>
      <w:r>
        <w:t xml:space="preserve">Secondly, coup plotters are uncertain about how other ruling factions might react to their actions, particularly those capable of altering the balance of power.</w:t>
      </w:r>
      <w:r>
        <w:t xml:space="preserve"> </w:t>
      </w:r>
      <w:r>
        <w:t xml:space="preserve">Conversely, incumbent leaders possess a keen understanding of power dynamics and take proactive measures to tilt the balance in their favor.</w:t>
      </w:r>
      <w:r>
        <w:t xml:space="preserve"> </w:t>
      </w:r>
      <w:r>
        <w:t xml:space="preserve">Though unaware of specific coup instigators, incumbent leaders are keenly aware of potential threats and adapt accordingly to those who possess the capability to challenge them.</w:t>
      </w:r>
    </w:p>
    <w:p>
      <w:pPr>
        <w:pStyle w:val="BodyText"/>
      </w:pPr>
      <w:r>
        <w:t xml:space="preserve">Thirdly, coup plotters grapple with a loyalty dilemma and unreliable commitment among participants.</w:t>
      </w:r>
      <w:r>
        <w:t xml:space="preserve"> </w:t>
      </w:r>
      <w:r>
        <w:t xml:space="preserve">The risks involved are considerable, and anticipated benefits are highly uncertain.</w:t>
      </w:r>
      <w:r>
        <w:t xml:space="preserve"> </w:t>
      </w:r>
      <w:r>
        <w:t xml:space="preserve">Even in the event of a successful coup, there is no guarantee that promises made by coup leaders will be honored.</w:t>
      </w:r>
      <w:r>
        <w:t xml:space="preserve"> </w:t>
      </w:r>
      <w:r>
        <w:t xml:space="preserve">Additionally, post-coup purges often target capable assistants to preempt future challenges.</w:t>
      </w:r>
      <w:r>
        <w:t xml:space="preserve"> </w:t>
      </w:r>
      <w:r>
        <w:t xml:space="preserve">Consequently, defecting to support the incumbent leader seems less risky and offers a safer bet with predictable rewards.</w:t>
      </w:r>
    </w:p>
    <w:p>
      <w:pPr>
        <w:pStyle w:val="BodyText"/>
      </w:pPr>
      <w:r>
        <w:t xml:space="preserve">Given these challenges, rational coup plotters are unlikely to risk their lives for a coup with low odds of success.</w:t>
      </w:r>
      <w:r>
        <w:t xml:space="preserve"> </w:t>
      </w:r>
      <w:r>
        <w:t xml:space="preserve">They may either abandon their plans or wait until success is more probable.</w:t>
      </w:r>
      <w:r>
        <w:t xml:space="preserve"> </w:t>
      </w:r>
      <w:r>
        <w:t xml:space="preserve">Therefore, when coup perpetrators decide to act, they must have meticulously assessed their chances of success and deemed the risk worthwhile.</w:t>
      </w:r>
      <w:r>
        <w:t xml:space="preserve"> </w:t>
      </w:r>
      <w:r>
        <w:t xml:space="preserve">However, determining the criteria or threshold for success calculation proves challenging due to varying risk preferences among coup plotters.</w:t>
      </w:r>
      <w:r>
        <w:t xml:space="preserve"> </w:t>
      </w:r>
      <w:r>
        <w:t xml:space="preserve">While the exact threshold for a</w:t>
      </w:r>
      <w:r>
        <w:t xml:space="preserve"> </w:t>
      </w:r>
      <w:r>
        <w:t xml:space="preserve">‘</w:t>
      </w:r>
      <w:r>
        <w:t xml:space="preserve">good enough</w:t>
      </w:r>
      <w:r>
        <w:t xml:space="preserve">’</w:t>
      </w:r>
      <w:r>
        <w:t xml:space="preserve"> </w:t>
      </w:r>
      <w:r>
        <w:t xml:space="preserve">chance of success remains elusive, historical data suggests a surprisingly high success rate for coups, roughly</w:t>
      </w:r>
      <w:r>
        <w:t xml:space="preserve"> </w:t>
      </w:r>
      <m:oMath>
        <m:r>
          <m:t>50</m:t>
        </m:r>
        <m:r>
          <m:rPr>
            <m:sty m:val="p"/>
          </m:rPr>
          <m:t>%</m:t>
        </m:r>
      </m:oMath>
      <w:r>
        <w:t xml:space="preserve"> </w:t>
      </w:r>
      <w:r>
        <w:t xml:space="preserve">as depicted in</w:t>
      </w:r>
      <w:r>
        <w:t xml:space="preserve"> </w:t>
      </w:r>
      <w:hyperlink w:anchor="tbl-coups">
        <w:r>
          <w:rPr>
            <w:rStyle w:val="Hyperlink"/>
          </w:rPr>
          <w:t xml:space="preserve">Table 1</w:t>
        </w:r>
      </w:hyperlink>
      <w:r>
        <w:t xml:space="preserve">.</w:t>
      </w:r>
    </w:p>
    <w:p>
      <w:pPr>
        <w:pStyle w:val="BodyText"/>
      </w:pPr>
      <w:r>
        <w:t xml:space="preserve">This might seem counter-intuitive, but it highlights the importance of the next section: understanding the factors coup plotters consider when calculating their odds.</w:t>
      </w:r>
    </w:p>
    <w:bookmarkEnd w:id="25"/>
    <w:bookmarkStart w:id="29" w:name="basic-framework"/>
    <w:p>
      <w:pPr>
        <w:pStyle w:val="Heading3"/>
      </w:pPr>
      <w:r>
        <w:t xml:space="preserve">Basic framework</w:t>
      </w:r>
    </w:p>
    <w:p>
      <w:pPr>
        <w:pStyle w:val="FirstParagraph"/>
      </w:pPr>
      <w:r>
        <w:t xml:space="preserve">An oft-cited framework for assessing the disposition and opportunity of coup attempts is formalized by</w:t>
      </w:r>
      <w:r>
        <w:t xml:space="preserve"> </w:t>
      </w:r>
      <w:r>
        <w:t xml:space="preserve">Leon (2013a)</w:t>
      </w:r>
      <w:r>
        <w:t xml:space="preserve"> </w:t>
      </w:r>
      <w:r>
        <w:t xml:space="preserve">to evaluate the anticipated benefits for coup plotters.</w:t>
      </w:r>
      <w:r>
        <w:t xml:space="preserve"> </w:t>
      </w:r>
      <w:r>
        <w:t xml:space="preserve">This framework can be outlined as follows:</w:t>
      </w:r>
    </w:p>
    <w:p>
      <w:pPr>
        <w:pStyle w:val="BodyText"/>
      </w:pPr>
      <w:bookmarkStart w:id="26"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7"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7"/>
    </w:p>
    <w:p>
      <w:pPr>
        <w:pStyle w:val="FirstParagraph"/>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Both the disposition to attempt a coup and the opportunity to stage a successful coup are encompassed within the equation.</w:t>
      </w:r>
      <w:r>
        <w:t xml:space="preserve"> </w:t>
      </w:r>
      <w:r>
        <w:t xml:space="preserve">The disposition is captured in the gain from a successful coup, denoted as</w:t>
      </w:r>
      <w:r>
        <w:t xml:space="preserve"> </w:t>
      </w:r>
      <m:oMath>
        <m:sSub>
          <m:e>
            <m:r>
              <m:t>V</m:t>
            </m:r>
          </m:e>
          <m:sub>
            <m:r>
              <m:t>S</m:t>
            </m:r>
          </m:sub>
        </m:sSub>
        <m:r>
          <m:rPr>
            <m:sty m:val="p"/>
          </m:rPr>
          <m:t>−</m:t>
        </m:r>
        <m:sSub>
          <m:e>
            <m:r>
              <m:t>V</m:t>
            </m:r>
          </m:e>
          <m:sub>
            <m:r>
              <m:t>I</m:t>
            </m:r>
          </m:sub>
        </m:sSub>
      </m:oMath>
      <w:r>
        <w:t xml:space="preserve">.</w:t>
      </w:r>
      <w:r>
        <w:t xml:space="preserve"> </w:t>
      </w:r>
      <w:r>
        <w:t xml:space="preserve">Meanwhile, the opportunity is represented by the probability of a successful coup, denoted as</w:t>
      </w:r>
      <w:r>
        <w:t xml:space="preserve"> </w:t>
      </w:r>
      <m:oMath>
        <m:r>
          <m:t>σ</m:t>
        </m:r>
      </m:oMath>
      <w:r>
        <w:t xml:space="preserve">.</w:t>
      </w:r>
      <w:r>
        <w:t xml:space="preserve"> </w:t>
      </w:r>
      <w:r>
        <w:t xml:space="preserve">Although this logical framework seems plausible, it immediately poses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one accurately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exchanged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r>
        <w:t xml:space="preserve"> </w:t>
      </w:r>
      <m:oMath>
        <m:r>
          <m:t>σ</m:t>
        </m:r>
      </m:oMath>
      <w:r>
        <w:t xml:space="preserve">:</w:t>
      </w:r>
    </w:p>
    <w:p>
      <w:pPr>
        <w:pStyle w:val="BodyText"/>
      </w:pPr>
      <w:bookmarkStart w:id="28"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8"/>
    </w:p>
    <w:p>
      <w:pPr>
        <w:pStyle w:val="FirstParagraph"/>
      </w:pPr>
      <w:r>
        <w:t xml:space="preserve">When coup plotters conspire to stage a coup, their foremost consideration is the likelihood of success.</w:t>
      </w:r>
      <w:r>
        <w:t xml:space="preserve"> </w:t>
      </w:r>
      <w:r>
        <w:t xml:space="preserve">They might have many incentives to launch a coup, for instance, to fulfil their political ambitions, to implement policies that they prefer, to protect themselves from purge, or to prevent the destruction of the regime, but they are less likely to put the plot into practice if the chance of success is low.</w:t>
      </w:r>
    </w:p>
    <w:p>
      <w:pPr>
        <w:pStyle w:val="BodyText"/>
      </w:pPr>
      <w:r>
        <w:t xml:space="preserve">As previously mentioned,</w:t>
      </w:r>
    </w:p>
    <w:p>
      <w:pPr>
        <w:pStyle w:val="BodyText"/>
      </w:pPr>
      <w:r>
        <w:t xml:space="preserve">According to</w:t>
      </w:r>
      <w:r>
        <w:t xml:space="preserve"> </w:t>
      </w:r>
      <w:hyperlink w:anchor="eq-eq3">
        <w:r>
          <w:rPr>
            <w:rStyle w:val="Hyperlink"/>
          </w:rPr>
          <w:t xml:space="preserve">Equation 3</w:t>
        </w:r>
      </w:hyperlink>
      <w:r>
        <w:t xml:space="preserve">, if the probability of success,</w:t>
      </w:r>
      <w:r>
        <w:t xml:space="preserve"> </w:t>
      </w:r>
      <m:oMath>
        <m:r>
          <m:t>σ</m:t>
        </m:r>
      </m:oMath>
      <w:r>
        <w:t xml:space="preserve">, exceeds</w:t>
      </w:r>
      <w:r>
        <w:t xml:space="preserve"> </w:t>
      </w:r>
      <m:oMath>
        <m:r>
          <m:t>0.5</m:t>
        </m:r>
      </m:oMath>
      <w:r>
        <w:t xml:space="preserve">, the equation holds true.</w:t>
      </w:r>
      <w:r>
        <w:t xml:space="preserve"> </w:t>
      </w:r>
      <w:r>
        <w:t xml:space="preserve">This assertion finds some support in empirical data on coups since</w:t>
      </w:r>
      <w:r>
        <w:t xml:space="preserve"> </w:t>
      </w:r>
      <m:oMath>
        <m:r>
          <m:t>1950</m:t>
        </m:r>
      </m:oMath>
      <w:r>
        <w:t xml:space="preserve">.</w:t>
      </w:r>
      <w:r>
        <w:t xml:space="preserve"> </w:t>
      </w:r>
      <w:r>
        <w:t xml:space="preserve">As indicated in</w:t>
      </w:r>
      <w:r>
        <w:t xml:space="preserve"> </w:t>
      </w:r>
      <w:hyperlink w:anchor="tbl-coups">
        <w:r>
          <w:rPr>
            <w:rStyle w:val="Hyperlink"/>
          </w:rPr>
          <w:t xml:space="preserve">Table 1</w:t>
        </w:r>
      </w:hyperlink>
      <w:r>
        <w:t xml:space="preserve">, the overall success rate of coups stands at</w:t>
      </w:r>
      <w:r>
        <w:t xml:space="preserve"> </w:t>
      </w:r>
      <m:oMath>
        <m:r>
          <m:t>49.9</m:t>
        </m:r>
        <m:r>
          <m:rPr>
            <m:sty m:val="p"/>
          </m:rPr>
          <m:t>%</m:t>
        </m:r>
      </m:oMath>
      <w:r>
        <w:t xml:space="preserve">.</w:t>
      </w:r>
      <w:r>
        <w:t xml:space="preserve"> </w:t>
      </w:r>
      <w:r>
        <w:t xml:space="preserve">Although this figure falls just below the threshold of</w:t>
      </w:r>
      <w:r>
        <w:t xml:space="preserve"> </w:t>
      </w:r>
      <m:oMath>
        <m:r>
          <m:t>0.5</m:t>
        </m:r>
      </m:oMath>
      <w:r>
        <w:t xml:space="preserve">, it is important to acknowledge that this is an average rate calculated post-coups.</w:t>
      </w:r>
      <w:r>
        <w:t xml:space="preserve"> </w:t>
      </w:r>
      <w:r>
        <w:t xml:space="preserve">In reality, coup plotters typically require more certainty about success than a mere fifty-fifty chance.</w:t>
      </w:r>
      <w:r>
        <w:t xml:space="preserve"> </w:t>
      </w:r>
      <w:r>
        <w:t xml:space="preserve">Furthermore, outliers do exist, such as irrational political careerists or coup attempts driven more by self-protection instincts than strategic planning.</w:t>
      </w:r>
      <w:r>
        <w:t xml:space="preserve"> </w:t>
      </w:r>
      <w:r>
        <w:t xml:space="preserve">In such cases, coup perpetrators may not prioritize or even consider the potential outcomes, as the consequences of being purged are no different from those of a failed coup.</w:t>
      </w:r>
    </w:p>
    <w:p>
      <w:pPr>
        <w:pStyle w:val="BodyText"/>
      </w:pPr>
      <w:r>
        <w:t xml:space="preserve">Given the pivotal role of coup success in determining coup attempts, the factors influencing coup success inevitably become the determinants of coup attempts themselves.</w:t>
      </w:r>
      <w:r>
        <w:t xml:space="preserve"> </w:t>
      </w:r>
      <w:r>
        <w:t xml:space="preserve">While the specific determinants may vary, the fundamental factor lies in the balance of power between the coup perpetrators and the incumbent leaders.</w:t>
      </w:r>
      <w:r>
        <w:t xml:space="preserve"> </w:t>
      </w:r>
      <w:r>
        <w:t xml:space="preserve">I will delve into the factors that could potentially tip the scales of power among different political factions.</w:t>
      </w:r>
    </w:p>
    <w:bookmarkEnd w:id="29"/>
    <w:bookmarkStart w:id="31" w:name="regime-types-and-balance-of-power"/>
    <w:p>
      <w:pPr>
        <w:pStyle w:val="Heading3"/>
      </w:pPr>
      <w:r>
        <w:t xml:space="preserve">Regime types and balance of power</w:t>
      </w:r>
    </w:p>
    <w:p>
      <w:pPr>
        <w:pStyle w:val="FirstParagraph"/>
      </w:pPr>
      <w:r>
        <w:t xml:space="preserve">When discussing the balance of power, the first aspect that comes to mind is military strength.</w:t>
      </w:r>
      <w:r>
        <w:t xml:space="preserve"> </w:t>
      </w:r>
      <w:r>
        <w:t xml:space="preserve">It’s evident that control over the military gives individuals the upper hand in coup attempts.</w:t>
      </w:r>
      <w:r>
        <w:t xml:space="preserve"> </w:t>
      </w:r>
      <w:r>
        <w:t xml:space="preserve">This explains why military coups are often at the forefront of political science discussions.</w:t>
      </w:r>
      <w:r>
        <w:t xml:space="preserve"> </w:t>
      </w:r>
      <w:r>
        <w:t xml:space="preserve">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used interchangeably, with little exploration into why this is the case.</w:t>
      </w:r>
      <w:r>
        <w:t xml:space="preserve"> </w:t>
      </w:r>
      <w:r>
        <w:t xml:space="preserve">Consequently, more attention is directed towards preventing military involvement in politics.</w:t>
      </w:r>
      <w:r>
        <w:t xml:space="preserve"> </w:t>
      </w:r>
      <w:r>
        <w:t xml:space="preserve">Strategies such as</w:t>
      </w:r>
      <w:r>
        <w:t xml:space="preserve"> </w:t>
      </w:r>
      <w:r>
        <w:t xml:space="preserve">“</w:t>
      </w:r>
      <w:r>
        <w:rPr>
          <w:iCs/>
          <w:i/>
        </w:rPr>
        <w:t xml:space="preserve">Keeping the military happy</w:t>
      </w:r>
      <w:r>
        <w:t xml:space="preserve">”</w:t>
      </w:r>
      <w:r>
        <w:t xml:space="preserve"> </w:t>
      </w:r>
      <w:r>
        <w:t xml:space="preserve">(Aidt and Leon 2019, 15)</w:t>
      </w:r>
      <w:r>
        <w:t xml:space="preserve"> </w:t>
      </w:r>
      <w:r>
        <w:t xml:space="preserve">or</w:t>
      </w:r>
      <w:r>
        <w:t xml:space="preserve"> </w:t>
      </w:r>
      <w:r>
        <w:t xml:space="preserve">“</w:t>
      </w:r>
      <w:r>
        <w:rPr>
          <w:iCs/>
          <w:i/>
        </w:rPr>
        <w:t xml:space="preserve">giving them toys</w:t>
      </w:r>
      <w:r>
        <w:t xml:space="preserve">”</w:t>
      </w:r>
      <w:r>
        <w:t xml:space="preserve"> </w:t>
      </w:r>
      <w:r>
        <w:t xml:space="preserve">(Huntington 1991, 252)</w:t>
      </w:r>
      <w:r>
        <w:t xml:space="preserve"> </w:t>
      </w:r>
      <w:r>
        <w:t xml:space="preserve">have been proposed to mitigate military intervention.</w:t>
      </w:r>
      <w:r>
        <w:t xml:space="preserve"> </w:t>
      </w:r>
      <w:r>
        <w:t xml:space="preserve">Many coup-proofing strategies, informed by empirical research, aim to either diminish the military’s inclination to stage coups or create obstacles to their success.</w:t>
      </w:r>
      <w:r>
        <w:t xml:space="preserve"> </w:t>
      </w:r>
      <w:r>
        <w:t xml:space="preserve">For example, studies by</w:t>
      </w:r>
      <w:r>
        <w:t xml:space="preserve"> </w:t>
      </w:r>
      <w:r>
        <w:t xml:space="preserve">Leon (2013b)</w:t>
      </w:r>
      <w:r>
        <w:t xml:space="preserve"> </w:t>
      </w:r>
      <w:r>
        <w:t xml:space="preserve">suggest that nations with lower military spending as a percentage of GDP are more susceptible to coups.</w:t>
      </w:r>
      <w:r>
        <w:t xml:space="preserve"> </w:t>
      </w:r>
      <w:r>
        <w:t xml:space="preserve">Similarly,</w:t>
      </w:r>
      <w:r>
        <w:t xml:space="preserve"> </w:t>
      </w:r>
      <w:r>
        <w:t xml:space="preserve">J. Powell et al. (2018)</w:t>
      </w:r>
      <w:r>
        <w:t xml:space="preserve"> </w:t>
      </w:r>
      <w:r>
        <w:t xml:space="preserve">argues that increased military expenditures may reduce the likelihood of coups among military factions.</w:t>
      </w:r>
    </w:p>
    <w:p>
      <w:pPr>
        <w:pStyle w:val="BodyText"/>
      </w:pPr>
      <w:r>
        <w:t xml:space="preserve">However, previous studies have often oversimplified the intricate balance of power within military forces.</w:t>
      </w:r>
      <w:r>
        <w:t xml:space="preserve"> </w:t>
      </w:r>
      <w:r>
        <w:t xml:space="preserve">They have frequently assumed, without substantial evidence, that the military operates as a monolithic entity, uniformly and decisively.</w:t>
      </w:r>
      <w:r>
        <w:t xml:space="preserve"> </w:t>
      </w:r>
      <w:r>
        <w:t xml:space="preserve">Such a notion fails to 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 factions, each with its own chain of command.</w:t>
      </w:r>
      <w:r>
        <w:t xml:space="preserve"> </w:t>
      </w:r>
      <w:r>
        <w:t xml:space="preserve">Within these factions, mutual suspicion, competition, and vigilance are common, while moments of unity are rare.</w:t>
      </w:r>
      <w:r>
        <w:t xml:space="preserve"> </w:t>
      </w:r>
      <w:r>
        <w:t xml:space="preserve">Due to the clandestine nature of coups and the need for secrecy, coup attempts are often orchestrated within small, tight-knit groups.</w:t>
      </w:r>
      <w:r>
        <w:t xml:space="preserve"> </w:t>
      </w:r>
      <w:r>
        <w:t xml:space="preserve">Coup plotters are uncertain about the stances and intentions of other factions beforehand, and they are particularly worried that once the coup is initiated, other factions may not only refuse to support it but also actively oppose, intervene in, or even suppress it.</w:t>
      </w:r>
      <w:r>
        <w:t xml:space="preserve"> </w:t>
      </w:r>
      <w:r>
        <w:t xml:space="preserve">Therefore, the success of a coup heavily depends on the reactions of other military factions</w:t>
      </w:r>
      <w:r>
        <w:t xml:space="preserve"> </w:t>
      </w:r>
      <w:r>
        <w:t xml:space="preserve">(Geddes 1999)</w:t>
      </w:r>
      <w:r>
        <w:t xml:space="preserve">.</w:t>
      </w:r>
    </w:p>
    <w:p>
      <w:pPr>
        <w:pStyle w:val="BodyText"/>
      </w:pPr>
      <w:r>
        <w:t xml:space="preserve">Furthermore, the structure of military forces, especially their relationships with other state departments, particularly civilian officials, varies across different regime types.</w:t>
      </w:r>
      <w:r>
        <w:t xml:space="preserve"> </w:t>
      </w:r>
      <w:r>
        <w:t xml:space="preserve">In democratic countries, the military is nationalized and bound by constitutional authority rather than individual leaders.</w:t>
      </w:r>
      <w:r>
        <w:t xml:space="preserve"> </w:t>
      </w:r>
      <w:r>
        <w:t xml:space="preserve">For instance, the United States Armed Forces are under the command of the President but remain loyal to the Constitution, refraining from intervening in politics.</w:t>
      </w:r>
      <w:r>
        <w:t xml:space="preserve"> </w:t>
      </w:r>
      <w:r>
        <w:t xml:space="preserve">In military regimes, power is often centralized in the hands of top generals or a junta, while in personal dictatorships, the leader retains ultimate authority over the military.</w:t>
      </w:r>
      <w:r>
        <w:t xml:space="preserve"> </w:t>
      </w:r>
      <w:r>
        <w:t xml:space="preserve">In dominant-party regimes, the military serves the interests of the ruling party.</w:t>
      </w:r>
      <w:r>
        <w:t xml:space="preserve"> </w:t>
      </w:r>
      <w:r>
        <w:t xml:space="preserve">Thus, the balance of power within military forces is deeply influenced by the nature of the regime in question.</w:t>
      </w:r>
    </w:p>
    <w:p>
      <w:pPr>
        <w:pStyle w:val="BodyText"/>
      </w:pPr>
      <w:r>
        <w:t xml:space="preserve">To gain a thorough understanding of military power dynamics across diverse political landscapes, it is imperative to explore their intricate nuances.</w:t>
      </w:r>
      <w:r>
        <w:t xml:space="preserve"> </w:t>
      </w:r>
      <w:r>
        <w:t xml:space="preserve">This section adopts the foundational concepts articulated by</w:t>
      </w:r>
      <w:r>
        <w:t xml:space="preserve"> </w:t>
      </w:r>
      <w:r>
        <w:t xml:space="preserve">Geddes, Wright, and Frantz (2014)</w:t>
      </w:r>
      <w:r>
        <w:t xml:space="preserve"> </w:t>
      </w:r>
      <w:r>
        <w:t xml:space="preserve">(GWF), which categorize regimes based on the origins of their leadership and the factors influencing their policy decisions.</w:t>
      </w:r>
      <w:r>
        <w:t xml:space="preserve"> </w:t>
      </w:r>
      <w:r>
        <w:t xml:space="preserve">These regimes are broadly classified into four categories: military regimes, personalist regimes (including monarchies), dominant-party regimes, and democratic regimes.</w:t>
      </w:r>
    </w:p>
    <w:p>
      <w:pPr>
        <w:pStyle w:val="BodyText"/>
      </w:pPr>
      <w:r>
        <w:rPr>
          <w:bCs/>
          <w:b/>
        </w:rPr>
        <w:t xml:space="preserve">Military regimes</w:t>
      </w:r>
      <w:r>
        <w:t xml:space="preserve">, as defined by GWF, are characterized by the dominance of a junta composed of military officers who exercise control over the regime’s power structure, including leadership selection and policy formulation.</w:t>
      </w:r>
      <w:r>
        <w:t xml:space="preserve"> </w:t>
      </w:r>
      <w:r>
        <w:t xml:space="preserve">Examples of such regimes include the Brazilian regime (1964–1985), the Argentine regime (1976–1983), and the Salvadoran regime (1948–1984)</w:t>
      </w:r>
      <w:r>
        <w:t xml:space="preserve"> </w:t>
      </w:r>
      <w:r>
        <w:t xml:space="preserve">(Geddes 1999)</w:t>
      </w:r>
      <w:r>
        <w:t xml:space="preserve">.</w:t>
      </w:r>
      <w:r>
        <w:t xml:space="preserve"> </w:t>
      </w:r>
      <w:r>
        <w:t xml:space="preserve">It’s noteworthy that within military regimes, political parties may persist, but they typically serve as conduits for the military junta or align with the directives of military officers to avoid being categorized as dominant-party regimes.</w:t>
      </w:r>
      <w:r>
        <w:t xml:space="preserve"> </w:t>
      </w:r>
      <w:r>
        <w:t xml:space="preserve">Additionally, while a junta may appoint a senior officer as the executive or enlist civilian administrators and technocrats as intermediaries, their authority over other officers remains restricted, distinguishing military regimes from personalist ones.</w:t>
      </w:r>
    </w:p>
    <w:p>
      <w:pPr>
        <w:pStyle w:val="BodyText"/>
      </w:pPr>
      <w:r>
        <w:t xml:space="preserve">In a typical</w:t>
      </w:r>
      <w:r>
        <w:t xml:space="preserve"> </w:t>
      </w:r>
      <w:r>
        <w:rPr>
          <w:bCs/>
          <w:b/>
        </w:rPr>
        <w:t xml:space="preserve">personalist regime</w:t>
      </w:r>
      <w:r>
        <w:t xml:space="preserve">, supreme power rests with the dictator, encompassing policy making, control over the military, and the authority to nominate top officials and successors.</w:t>
      </w:r>
      <w:r>
        <w:t xml:space="preserve"> </w:t>
      </w:r>
      <w:r>
        <w:t xml:space="preserve">Personalist rules often emerge under charismatic leaders, particularly founding fathers of newly independent nations.</w:t>
      </w:r>
      <w:r>
        <w:t xml:space="preserve"> </w:t>
      </w:r>
      <w:r>
        <w:t xml:space="preserve">Regimes such as Rafael Trujillo’s in the Dominican Republic (1930–1961), Idi Amin’s in Uganda (1971–1979), and Jean-Bédel Bokassa’s in the Central African Republic (1966–1979) serve as illustrative examples of personalist rule</w:t>
      </w:r>
      <w:r>
        <w:t xml:space="preserve"> </w:t>
      </w:r>
      <w:r>
        <w:t xml:space="preserve">(Geddes 1999)</w:t>
      </w:r>
      <w:r>
        <w:t xml:space="preserve">.</w:t>
      </w:r>
      <w:r>
        <w:t xml:space="preserve"> </w:t>
      </w:r>
      <w:r>
        <w:t xml:space="preserve">In such regimes, either political parties are absent or they are established by or subservient to the dictator.</w:t>
      </w:r>
      <w:r>
        <w:t xml:space="preserve"> </w:t>
      </w:r>
      <w:r>
        <w:t xml:space="preserve">Importantly, the dictator may or may not be a military officer themselves, but the military is invariably under the dictator’s control.</w:t>
      </w:r>
    </w:p>
    <w:p>
      <w:pPr>
        <w:pStyle w:val="BodyText"/>
      </w:pPr>
      <w:r>
        <w:t xml:space="preserve">In a typical</w:t>
      </w:r>
      <w:r>
        <w:t xml:space="preserve"> </w:t>
      </w:r>
      <w:r>
        <w:rPr>
          <w:bCs/>
          <w:b/>
        </w:rPr>
        <w:t xml:space="preserve">dominant-party regime</w:t>
      </w:r>
      <w:r>
        <w:t xml:space="preserve">, supreme power lies within the party, with the incumbent serving as its representative and subject to collective party leadership.</w:t>
      </w:r>
      <w:r>
        <w:t xml:space="preserve"> </w:t>
      </w:r>
      <w:r>
        <w:t xml:space="preserve">Examples of dominant-party regimes include the Partido Revolucionario Institucional (PRI) in Mexico, the Revolutionary Party of Tanzania (CCM), and Leninist parties in various East European countries</w:t>
      </w:r>
      <w:r>
        <w:t xml:space="preserve"> </w:t>
      </w:r>
      <w:r>
        <w:t xml:space="preserve">(Geddes 1999)</w:t>
      </w:r>
      <w:r>
        <w:t xml:space="preserve">.</w:t>
      </w:r>
      <w:r>
        <w:t xml:space="preserve"> </w:t>
      </w:r>
      <w:r>
        <w:t xml:space="preserve">The party functions as a well-organized and highly disciplined entity, with its own ideology and political agenda to unite and mobilize its members and supporters.</w:t>
      </w:r>
      <w:r>
        <w:t xml:space="preserve"> </w:t>
      </w:r>
      <w:r>
        <w:t xml:space="preserve">While powerful leaders may emerge within such regimes, such as Stalin in the Soviet Union (1924-1953 and Mao Zedong in China (1949-1976), they do not wield enough power to supplant or replace the party with a new one.</w:t>
      </w:r>
    </w:p>
    <w:tbl>
      <w:tblPr>
        <w:tblStyle w:val="Table"/>
        <w:tblW w:type="pct" w:w="5000"/>
        <w:tblLook w:firstRow="0" w:lastRow="0" w:firstColumn="0" w:lastColumn="0" w:noHBand="0" w:noVBand="0" w:val="0000"/>
        <w:jc w:val="start"/>
        <w:tblLayout w:type="fixed"/>
      </w:tblPr>
      <w:tblGrid>
        <w:gridCol w:w="7920"/>
      </w:tblGrid>
      <w:tr>
        <w:tc>
          <w:tcPr/>
          <w:bookmarkStart w:id="30" w:name="tbl-regimes"/>
          <w:p>
            <w:pPr>
              <w:jc w:val="center"/>
            </w:pPr>
            <w:pPr>
              <w:jc w:val="start"/>
              <w:spacing w:before="200"/>
              <w:pStyle w:val="ImageCaption"/>
            </w:pPr>
            <w:r>
              <w:t xml:space="preserve">Table 2: Regime types and their distribution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Share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3"/>
                </w:tcPr>
                <w:p>
                  <w:pPr>
                    <w:spacing w:before="0" w:after="60"/>
                    <w:keepNext/>
                  </w:pPr>
                  <w:r>
                    <w:rPr>
                      <w:i/>
                      <w:rFonts w:ascii="Calibri" w:hAnsi="Calibri"/>
                      <w:sz w:val="20"/>
                    </w:rPr>
                    <w:t xml:space="preserve">Source: REIGN dataset</w:t>
                  </w:r>
                </w:p>
              </w:tc>
            </w:tr>
          </w:tbl>
          <w:bookmarkEnd w:id="30"/>
        </w:tc>
      </w:tr>
    </w:tbl>
    <w:bookmarkEnd w:id="31"/>
    <w:bookmarkEnd w:id="32"/>
    <w:bookmarkStart w:id="33" w:name="research-framework-and-hypotheses"/>
    <w:p>
      <w:pPr>
        <w:pStyle w:val="Heading2"/>
      </w:pPr>
      <w:r>
        <w:t xml:space="preserve">Research Framework and Hypotheses</w:t>
      </w:r>
    </w:p>
    <w:bookmarkEnd w:id="33"/>
    <w:bookmarkStart w:id="34" w:name="data-and-variables"/>
    <w:p>
      <w:pPr>
        <w:pStyle w:val="Heading2"/>
      </w:pPr>
      <w:r>
        <w:t xml:space="preserve">Data and Variables</w:t>
      </w:r>
    </w:p>
    <w:bookmarkEnd w:id="34"/>
    <w:bookmarkStart w:id="35" w:name="results-and-discussion"/>
    <w:p>
      <w:pPr>
        <w:pStyle w:val="Heading2"/>
      </w:pPr>
      <w:r>
        <w:t xml:space="preserve">Results and Discussion</w:t>
      </w:r>
    </w:p>
    <w:bookmarkEnd w:id="35"/>
    <w:bookmarkStart w:id="60" w:name="conclusion"/>
    <w:p>
      <w:pPr>
        <w:pStyle w:val="Heading2"/>
      </w:pPr>
      <w:r>
        <w:t xml:space="preserve">Conclusion</w:t>
      </w:r>
    </w:p>
    <w:bookmarkStart w:id="59" w:name="refs"/>
    <w:bookmarkStart w:id="37"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6">
        <w:r>
          <w:rPr>
            <w:rStyle w:val="Hyperlink"/>
          </w:rPr>
          <w:t xml:space="preserve">https://doi.org/10.1093/oxfordhb/9780190469771.013.15</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0">
        <w:r>
          <w:rPr>
            <w:rStyle w:val="Hyperlink"/>
          </w:rPr>
          <w:t xml:space="preserve">https://doi.org/10.1146/annurev.polisci.2.1.115</w:t>
        </w:r>
      </w:hyperlink>
      <w:r>
        <w:t xml:space="preserve">.</w:t>
      </w:r>
    </w:p>
    <w:bookmarkEnd w:id="41"/>
    <w:bookmarkStart w:id="43"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42">
        <w:r>
          <w:rPr>
            <w:rStyle w:val="Hyperlink"/>
          </w:rPr>
          <w:t xml:space="preserve">https://doi.org/10.1017/s1537592714000851</w:t>
        </w:r>
      </w:hyperlink>
      <w:r>
        <w:t xml:space="preserve">.</w:t>
      </w:r>
    </w:p>
    <w:bookmarkEnd w:id="43"/>
    <w:bookmarkStart w:id="4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4">
        <w:r>
          <w:rPr>
            <w:rStyle w:val="Hyperlink"/>
          </w:rPr>
          <w:t xml:space="preserve">https://doi.org/10.1093/oso/9780198837404.003.0003</w:t>
        </w:r>
      </w:hyperlink>
      <w:r>
        <w:t xml:space="preserve">.</w:t>
      </w:r>
    </w:p>
    <w:bookmarkEnd w:id="45"/>
    <w:bookmarkStart w:id="46"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6"/>
    <w:bookmarkStart w:id="48"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7">
        <w:r>
          <w:rPr>
            <w:rStyle w:val="Hyperlink"/>
          </w:rPr>
          <w:t xml:space="preserve">https://doi.org/10.1093/oep/gpt024</w:t>
        </w:r>
      </w:hyperlink>
      <w:r>
        <w:t xml:space="preserve">.</w:t>
      </w:r>
    </w:p>
    <w:bookmarkEnd w:id="48"/>
    <w:bookmarkStart w:id="50"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9">
        <w:r>
          <w:rPr>
            <w:rStyle w:val="Hyperlink"/>
          </w:rPr>
          <w:t xml:space="preserve">https://doi.org/10.1007/s11127-013-0124-4</w:t>
        </w:r>
      </w:hyperlink>
      <w:r>
        <w:t xml:space="preserve">.</w:t>
      </w:r>
    </w:p>
    <w:bookmarkEnd w:id="50"/>
    <w:bookmarkStart w:id="52"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1">
        <w:r>
          <w:rPr>
            <w:rStyle w:val="Hyperlink"/>
          </w:rPr>
          <w:t xml:space="preserve">https://doi.org/10.1177/0022343310397436</w:t>
        </w:r>
      </w:hyperlink>
      <w:r>
        <w:t xml:space="preserve">.</w:t>
      </w:r>
    </w:p>
    <w:bookmarkEnd w:id="52"/>
    <w:bookmarkStart w:id="54"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3">
        <w:r>
          <w:rPr>
            <w:rStyle w:val="Hyperlink"/>
          </w:rPr>
          <w:t xml:space="preserve">https://doi.org/10.1080/13510347.2018.1450389</w:t>
        </w:r>
      </w:hyperlink>
      <w:r>
        <w:t xml:space="preserve">.</w:t>
      </w:r>
    </w:p>
    <w:bookmarkEnd w:id="54"/>
    <w:bookmarkStart w:id="56"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5">
        <w:r>
          <w:rPr>
            <w:rStyle w:val="Hyperlink"/>
          </w:rPr>
          <w:t xml:space="preserve">https://doi.org/10.1177/0010414016688004</w:t>
        </w:r>
      </w:hyperlink>
      <w:r>
        <w:t xml:space="preserve">.</w:t>
      </w:r>
    </w:p>
    <w:bookmarkEnd w:id="56"/>
    <w:bookmarkStart w:id="58"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57">
        <w:r>
          <w:rPr>
            <w:rStyle w:val="Hyperlink"/>
          </w:rPr>
          <w:t xml:space="preserve">https://doi.org/10.1093/oxfordhb/9780190469771.013.13</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2024-05-05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7/s11127-013-0124-4" TargetMode="External" /><Relationship Type="http://schemas.openxmlformats.org/officeDocument/2006/relationships/hyperlink" Id="rId42" Target="https://doi.org/10.1017/s1537592714000851" TargetMode="External" /><Relationship Type="http://schemas.openxmlformats.org/officeDocument/2006/relationships/hyperlink" Id="rId53"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4" Target="https://doi.org/10.1093/oso/9780198837404.003.0003" TargetMode="External" /><Relationship Type="http://schemas.openxmlformats.org/officeDocument/2006/relationships/hyperlink" Id="rId57"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0" Target="https://doi.org/10.1146/annurev.polisci.2.1.115" TargetMode="External" /><Relationship Type="http://schemas.openxmlformats.org/officeDocument/2006/relationships/hyperlink" Id="rId55" Target="https://doi.org/10.1177/0010414016688004" TargetMode="External" /><Relationship Type="http://schemas.openxmlformats.org/officeDocument/2006/relationships/hyperlink" Id="rId51"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7/s11127-013-0124-4" TargetMode="External" /><Relationship Type="http://schemas.openxmlformats.org/officeDocument/2006/relationships/hyperlink" Id="rId42" Target="https://doi.org/10.1017/s1537592714000851" TargetMode="External" /><Relationship Type="http://schemas.openxmlformats.org/officeDocument/2006/relationships/hyperlink" Id="rId53"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4" Target="https://doi.org/10.1093/oso/9780198837404.003.0003" TargetMode="External" /><Relationship Type="http://schemas.openxmlformats.org/officeDocument/2006/relationships/hyperlink" Id="rId57"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0" Target="https://doi.org/10.1146/annurev.polisci.2.1.115" TargetMode="External" /><Relationship Type="http://schemas.openxmlformats.org/officeDocument/2006/relationships/hyperlink" Id="rId55" Target="https://doi.org/10.1177/0010414016688004" TargetMode="External" /><Relationship Type="http://schemas.openxmlformats.org/officeDocument/2006/relationships/hyperlink" Id="rId51"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2024-05-05T22:04:37Z</dcterms:created>
  <dcterms:modified xsi:type="dcterms:W3CDTF">2024-05-05T22:04:37Z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2024-05-05</vt:lpwstr>
  </property>
  <property fmtid="{D5CDD505-2E9C-101B-9397-08002B2CF9AE}" pid="11" name="date-modified">
    <vt:lpwstr>2024-05-05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