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2024-04-18</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 Bolivia witnessed 23 coups between</w:t>
      </w:r>
      <w:r>
        <w:t xml:space="preserve"> </w:t>
      </w:r>
      <m:oMath>
        <m:r>
          <m:t>1950</m:t>
        </m:r>
      </m:oMath>
      <w:r>
        <w:t xml:space="preserve"> </w:t>
      </w:r>
      <w:r>
        <w:t xml:space="preserve">and</w:t>
      </w:r>
      <w:r>
        <w:t xml:space="preserve"> </w:t>
      </w:r>
      <m:oMath>
        <m:r>
          <m:t>1984</m:t>
        </m:r>
      </m:oMath>
      <w:r>
        <w:t xml:space="preserve">, while Argentina experienced 20 during a similar timeframe.</w:t>
      </w:r>
      <w:r>
        <w:t xml:space="preserve"> </w:t>
      </w:r>
      <w:r>
        <w:t xml:space="preserve">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 at all.</w:t>
      </w:r>
      <w:r>
        <w:t xml:space="preserve"> </w:t>
      </w:r>
      <w:r>
        <w:t xml:space="preserve">In Africa, Sudan endured 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w:t>
      </w:r>
      <w:r>
        <w:t xml:space="preserve"> </w:t>
      </w:r>
      <w:r>
        <w:t xml:space="preserve">Similar patterns are observed in the Middle East and South Asia.</w:t>
      </w:r>
      <w:r>
        <w:t xml:space="preserve"> </w:t>
      </w:r>
      <w:r>
        <w:t xml:space="preserve">The question of why coups occur more frequently in certain regions, countries, and periods, while being less common in others, has captivated scholars for decades.</w:t>
      </w:r>
      <w:r>
        <w:t xml:space="preserve"> </w:t>
      </w:r>
      <w:r>
        <w:t xml:space="preserve">Consequently, scholars have delved into extensive research on coups.</w:t>
      </w:r>
      <w:r>
        <w:t xml:space="preserve"> </w:t>
      </w:r>
      <w:r>
        <w:t xml:space="preserve">Despite numerous efforts in past studies to shed light on these disparities, a definitive model or set of determinants for analysing coups remains elusive.</w:t>
      </w:r>
      <w:r>
        <w:t xml:space="preserve"> </w:t>
      </w:r>
      <w:r>
        <w:t xml:space="preserve">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w:t>
      </w:r>
      <w:r>
        <w:t xml:space="preserve"> </w:t>
      </w:r>
      <w:r>
        <w:t xml:space="preserve">When analyzing the determinants of coups, it’s crucial not to overlook the most significant characteristic of coups themselves.</w:t>
      </w:r>
      <w:r>
        <w:t xml:space="preserve"> </w:t>
      </w:r>
      <w:r>
        <w:t xml:space="preserve">As noted by</w:t>
      </w:r>
      <w:r>
        <w:t xml:space="preserve"> </w:t>
      </w:r>
      <w:r>
        <w:t xml:space="preserve">J. M. 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(P.252) Due to their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w:t>
      </w:r>
      <w:r>
        <w:t xml:space="preserve"> </w:t>
      </w:r>
      <w:r>
        <w:t xml:space="preserve">At first glance, coups seem to be a high-success-rate, high-reward political venture and speculation.</w:t>
      </w:r>
      <w:r>
        <w:t xml:space="preserve"> </w:t>
      </w:r>
      <w:r>
        <w:t xml:space="preserve">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 occurrence of 491 coups appears rather rare, accounting for less than</w:t>
      </w:r>
      <w:r>
        <w:t xml:space="preserve"> </w:t>
      </w:r>
      <m:oMath>
        <m:r>
          <m:t>4</m:t>
        </m:r>
        <m:r>
          <m:rPr>
            <m:sty m:val="p"/>
          </m:rPr>
          <m:t>%</m:t>
        </m:r>
      </m:oMath>
      <w:r>
        <w:t xml:space="preserve">.</w:t>
      </w:r>
    </w:p>
    <w:p>
      <w:pPr>
        <w:pStyle w:val="BodyText"/>
      </w:pPr>
      <w:r>
        <w:t xml:space="preserve">The low occurrence rate and high success rate indicate that the initiation of coups is highly selective.</w:t>
      </w:r>
      <w:r>
        <w:t xml:space="preserve"> </w:t>
      </w:r>
      <w:r>
        <w:t xml:space="preserve">In other words, the likelihood of a coup occurring depends greatly on its potential success rate.</w:t>
      </w:r>
      <w:r>
        <w:t xml:space="preserve"> </w:t>
      </w:r>
      <w:r>
        <w:t xml:space="preserve">Coup plotters carefully assess their chances before staging a coup.</w:t>
      </w:r>
      <w:r>
        <w:t xml:space="preserve"> </w:t>
      </w:r>
      <w:r>
        <w:t xml:space="preserve">If they decide to proceed, it suggests that the conditions are relatively ripe, hence the fifty-fifty success rate.</w:t>
      </w:r>
      <w:r>
        <w:t xml:space="preserve"> </w:t>
      </w:r>
      <w:r>
        <w:t xml:space="preserve">Plans with immature conditions and low chances of success are automatically filtered out.</w:t>
      </w:r>
      <w:r>
        <w:t xml:space="preserve"> </w:t>
      </w:r>
      <w:r>
        <w:t xml:space="preserve">Fundamentally, launching a coup is not like participating in a general election, where failure in one election allows for another attempt in the next election.</w:t>
      </w:r>
      <w:r>
        <w:t xml:space="preserve"> </w:t>
      </w:r>
      <w:r>
        <w:t xml:space="preserve">A coup is a high-stakes gamble where success brings substantial rewards, while failure may result in martyrdom.</w:t>
      </w:r>
      <w:r>
        <w:t xml:space="preserve"> </w:t>
      </w:r>
      <w:r>
        <w:t xml:space="preserve">Failure, put differently, means permanent and absolute defeat.</w:t>
      </w:r>
      <w:r>
        <w:t xml:space="preserve"> </w:t>
      </w:r>
      <w:r>
        <w:t xml:space="preserve">Furthermore, the outcomes of coups are typically decided within a matter of days, sometimes even mere hours.</w:t>
      </w:r>
      <w:r>
        <w:t xml:space="preserve"> </w:t>
      </w:r>
      <w:r>
        <w:t xml:space="preserve">Unlike prolonged conflicts where victories or defeats may shift over time, the success of a coup is often sealed at its inception.</w:t>
      </w:r>
      <w:r>
        <w:t xml:space="preserve"> </w:t>
      </w:r>
      <w:r>
        <w:t xml:space="preserve">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b w:val="true"/>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w:t>
      </w:r>
      <w:r>
        <w:t xml:space="preserve"> </w:t>
      </w:r>
      <w:r>
        <w:t xml:space="preserve">This study employs a sample selection model to examine the factors affecting the success rates of coups and, consequently, the likelihood of coup attempts.</w:t>
      </w:r>
      <w:r>
        <w:t xml:space="preserve"> </w:t>
      </w:r>
      <w:r>
        <w:t xml:space="preserve">I posit that the power dynamics among coup perpetrators, incumbents, and other ruling elites are pivotal in determining the success of coups.</w:t>
      </w:r>
      <w:r>
        <w:t xml:space="preserve"> </w:t>
      </w:r>
      <w:r>
        <w:t xml:space="preserve">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w:t>
      </w:r>
      <w:r>
        <w:t xml:space="preserve"> </w:t>
      </w:r>
      <w:r>
        <w:t xml:space="preserve">Following that, in Part</w:t>
      </w:r>
      <w:r>
        <w:t xml:space="preserve"> </w:t>
      </w:r>
      <m:oMath>
        <m:r>
          <m:t>3</m:t>
        </m:r>
      </m:oMath>
      <w:r>
        <w:t xml:space="preserve">, I present the research framework and propose hypotheses.</w:t>
      </w:r>
      <w:r>
        <w:t xml:space="preserve"> </w:t>
      </w:r>
      <w:r>
        <w:t xml:space="preserve">Part 4 provides insights into the data and variables utilized in the study.</w:t>
      </w:r>
      <w:r>
        <w:t xml:space="preserve"> </w:t>
      </w:r>
      <w:r>
        <w:t xml:space="preserve">The testing results are discussed in Part</w:t>
      </w:r>
      <w:r>
        <w:t xml:space="preserve"> </w:t>
      </w:r>
      <m:oMath>
        <m:r>
          <m:t>5</m:t>
        </m:r>
      </m:oMath>
      <w:r>
        <w:t xml:space="preserve">, followed by the conclusion in Part</w:t>
      </w:r>
      <w:r>
        <w:t xml:space="preserve"> </w:t>
      </w:r>
      <m:oMath>
        <m:r>
          <m:t>6</m:t>
        </m:r>
      </m:oMath>
      <w:r>
        <w:t xml:space="preserve">.</w:t>
      </w:r>
    </w:p>
    <w:bookmarkEnd w:id="23"/>
    <w:bookmarkStart w:id="31" w:name="theory"/>
    <w:p>
      <w:pPr>
        <w:pStyle w:val="Heading2"/>
      </w:pPr>
      <w:r>
        <w:t xml:space="preserve">Theory</w:t>
      </w:r>
    </w:p>
    <w:p>
      <w:pPr>
        <w:pStyle w:val="FirstParagraph"/>
      </w:pPr>
      <w:r>
        <w:t xml:space="preserve">When coup plotters weigh the decision to stage a coup, they naturally consider two crucial factors, which are also the primary concerns of coup scholars.</w:t>
      </w:r>
      <w:r>
        <w:t xml:space="preserve"> </w:t>
      </w:r>
      <w:r>
        <w:t xml:space="preserve">One aspect is the disposition, namely, why they would risk their future to instigate a coup.</w:t>
      </w:r>
      <w:r>
        <w:t xml:space="preserve"> </w:t>
      </w:r>
      <w:r>
        <w:t xml:space="preserve">The other aspect is the capability or opportunity, namely, whether they can garner enough support to succeed in their endeavour.</w:t>
      </w:r>
    </w:p>
    <w:bookmarkStart w:id="27" w:name="basic-framework"/>
    <w:p>
      <w:pPr>
        <w:pStyle w:val="Heading3"/>
      </w:pPr>
      <w:r>
        <w:t xml:space="preserve">Basic framework</w:t>
      </w:r>
    </w:p>
    <w:p>
      <w:pPr>
        <w:pStyle w:val="FirstParagraph"/>
      </w:pPr>
      <w:r>
        <w:t xml:space="preserve">A commonly cited framework for assessing the disposition and opportunity of coup attempts is formalized by</w:t>
      </w:r>
      <w:r>
        <w:t xml:space="preserve"> </w:t>
      </w:r>
      <w:r>
        <w:t xml:space="preserve">Leon (2013a)</w:t>
      </w:r>
      <w:r>
        <w:t xml:space="preserve"> </w:t>
      </w:r>
      <w:r>
        <w:t xml:space="preserve">to evaluate the anticipated benefits for coup plotters.</w:t>
      </w:r>
      <w:r>
        <w:t xml:space="preserve"> </w:t>
      </w:r>
      <w:r>
        <w:t xml:space="preserve">This framework can be outlined as follows:</w:t>
      </w:r>
    </w:p>
    <w:p>
      <w:pPr>
        <w:pStyle w:val="BodyText"/>
      </w:pPr>
      <w:bookmarkStart w:id="24" w:name="eq-eq1"/>
      <m:oMathPara>
        <m:oMathParaPr>
          <m:jc m:val="center"/>
        </m:oMathParaPr>
        <m:oMath>
          <m:m>
            <m:mPr>
              <m:baseJc m:val="center"/>
              <m:plcHide m:val="on"/>
              <m:mcs>
                <m:mc>
                  <m:mcPr>
                    <m:mcJc m:val="right"/>
                    <m:count m:val="1"/>
                  </m:mcPr>
                </m:mc>
              </m:mcs>
            </m:mPr>
            <m:mr>
              <m:e>
                <m:r>
                  <m:rPr>
                    <m:nor/>
                    <m:sty m:val="p"/>
                  </m:rPr>
                  <m:t>Expected Payoff of coups</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4"/>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 value paid by the incumbent in the status quo,</w:t>
      </w:r>
      <w:r>
        <w:t xml:space="preserve"> </w:t>
      </w:r>
      <m:oMath>
        <m:r>
          <m:t>C</m:t>
        </m:r>
      </m:oMath>
      <w:r>
        <w:t xml:space="preserve"> </w:t>
      </w:r>
      <w:r>
        <w:t xml:space="preserve">signifies the cost of the failed coup, and</w:t>
      </w:r>
      <w:r>
        <w:t xml:space="preserve"> </w:t>
      </w:r>
      <m:oMath>
        <m:r>
          <m:t>σ</m:t>
        </m:r>
      </m:oMath>
      <w:r>
        <w:t xml:space="preserve"> </w:t>
      </w:r>
      <w:r>
        <w:t xml:space="preserve">represents the probability of coup success.</w:t>
      </w:r>
      <w:r>
        <w:t xml:space="preserve"> </w:t>
      </w:r>
      <w:r>
        <w:t xml:space="preserve">By rearranging the equation, we can derive:</w:t>
      </w:r>
    </w:p>
    <w:p>
      <w:pPr>
        <w:pStyle w:val="BodyText"/>
      </w:pPr>
      <w:bookmarkStart w:id="25"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5"/>
    </w:p>
    <w:p>
      <w:pPr>
        <w:pStyle w:val="FirstParagraph"/>
      </w:pPr>
      <w:r>
        <w:t xml:space="preserve">Drawing from these equations,</w:t>
      </w:r>
      <w:r>
        <w:t xml:space="preserve"> </w:t>
      </w:r>
      <w:r>
        <w:t xml:space="preserve">Aidt and Leon (2019)</w:t>
      </w:r>
      <w:r>
        <w:t xml:space="preserve"> </w:t>
      </w:r>
      <w:r>
        <w:t xml:space="preserve">suggests that the decision to initiate a coup hinges on whether the expected benefits of a successful coup outweigh the potential costs of failure.</w:t>
      </w:r>
      <w:r>
        <w:t xml:space="preserve"> </w:t>
      </w:r>
      <w:r>
        <w:t xml:space="preserve">Both the disposition to attempt a coup and the opportunity to stage a successful coup are encompassed within the equation.</w:t>
      </w:r>
      <w:r>
        <w:t xml:space="preserve"> </w:t>
      </w:r>
      <w:r>
        <w:t xml:space="preserve">The disposition is captured in the gain from a successful coup, denoted as</w:t>
      </w:r>
      <w:r>
        <w:t xml:space="preserve"> </w:t>
      </w:r>
      <m:oMath>
        <m:sSub>
          <m:e>
            <m:r>
              <m:t>V</m:t>
            </m:r>
          </m:e>
          <m:sub>
            <m:r>
              <m:t>S</m:t>
            </m:r>
          </m:sub>
        </m:sSub>
        <m:r>
          <m:rPr>
            <m:sty m:val="p"/>
          </m:rPr>
          <m:t>−</m:t>
        </m:r>
        <m:sSub>
          <m:e>
            <m:r>
              <m:t>V</m:t>
            </m:r>
          </m:e>
          <m:sub>
            <m:r>
              <m:t>I</m:t>
            </m:r>
          </m:sub>
        </m:sSub>
      </m:oMath>
      <w:r>
        <w:t xml:space="preserve">.</w:t>
      </w:r>
      <w:r>
        <w:t xml:space="preserve"> </w:t>
      </w:r>
      <w:r>
        <w:t xml:space="preserve">Meanwhile, the opportunity is represented by the probability of a successful coup, denoted as</w:t>
      </w:r>
      <w:r>
        <w:t xml:space="preserve"> </w:t>
      </w:r>
      <m:oMath>
        <m:r>
          <m:t>σ</m:t>
        </m:r>
      </m:oMath>
      <w:r>
        <w:t xml:space="preserve">.</w:t>
      </w:r>
      <w:r>
        <w:t xml:space="preserve"> </w:t>
      </w:r>
      <w:r>
        <w:t xml:space="preserve">Although this logical framework seems plausible, it immediately poses practical challenges in quantifying the values of</w:t>
      </w:r>
      <w:r>
        <w:t xml:space="preserve"> </w:t>
      </w:r>
      <m:oMath>
        <m:sSub>
          <m:e>
            <m:r>
              <m:t>V</m:t>
            </m:r>
          </m:e>
          <m:sub>
            <m:r>
              <m:t>S</m:t>
            </m:r>
          </m:sub>
        </m:sSub>
      </m:oMath>
      <w:r>
        <w:t xml:space="preserve"> </w:t>
      </w:r>
      <w:r>
        <w:t xml:space="preserve">and</w:t>
      </w:r>
      <w:r>
        <w:t xml:space="preserve"> </w:t>
      </w:r>
      <m:oMath>
        <m:r>
          <m:t>C</m:t>
        </m:r>
      </m:oMath>
      <w:r>
        <w:t xml:space="preserve">, which are not easily measurable in real-world terms.</w:t>
      </w:r>
      <w:r>
        <w:t xml:space="preserve"> </w:t>
      </w:r>
      <w:r>
        <w:t xml:space="preserve">How can one accurately measure the cost of losing freedom, life, or even beloved family members if a coup fails?</w:t>
      </w:r>
      <w:r>
        <w:t xml:space="preserve"> </w:t>
      </w:r>
      <w:r>
        <w:t xml:space="preserve">Similarly, how can the value of assuming leadership of a country be quantified if the coup succeeds?</w:t>
      </w:r>
      <w:r>
        <w:t xml:space="preserve"> </w:t>
      </w:r>
      <w:r>
        <w:t xml:space="preserve">These are not commodities that can be exchanged in a market.</w:t>
      </w:r>
    </w:p>
    <w:p>
      <w:pPr>
        <w:pStyle w:val="BodyText"/>
      </w:pPr>
      <w:r>
        <w:t xml:space="preserve">While</w:t>
      </w:r>
      <w:r>
        <w:t xml:space="preserve"> </w:t>
      </w:r>
      <m:oMath>
        <m:sSub>
          <m:e>
            <m:r>
              <m:t>V</m:t>
            </m:r>
          </m:e>
          <m:sub>
            <m:r>
              <m:t>S</m:t>
            </m:r>
          </m:sub>
        </m:sSub>
      </m:oMath>
      <w:r>
        <w:t xml:space="preserve"> </w:t>
      </w:r>
      <w:r>
        <w:t xml:space="preserve">and</w:t>
      </w:r>
      <w:r>
        <w:t xml:space="preserve"> </w:t>
      </w:r>
      <m:oMath>
        <m:r>
          <m:t>C</m:t>
        </m:r>
      </m:oMath>
      <w:r>
        <w:t xml:space="preserve"> </w:t>
      </w:r>
      <w:r>
        <w:t xml:space="preserve">may be impossible to measure in precise terms, this does not render the equations useless.</w:t>
      </w:r>
      <w:r>
        <w:t xml:space="preserve"> </w:t>
      </w:r>
      <w:r>
        <w:t xml:space="preserve">Firstly, the underlying logic of the equations remains robust and provides a valuable framework for understanding the decision-making process of coup plotters.</w:t>
      </w:r>
      <w:r>
        <w:t xml:space="preserve"> </w:t>
      </w:r>
      <w:r>
        <w:t xml:space="preserve">Secondly, there is no need for precise measurements of</w:t>
      </w:r>
      <w:r>
        <w:t xml:space="preserve"> </w:t>
      </w:r>
      <m:oMath>
        <m:sSub>
          <m:e>
            <m:r>
              <m:t>V</m:t>
            </m:r>
          </m:e>
          <m:sub>
            <m:r>
              <m:t>S</m:t>
            </m:r>
          </m:sub>
        </m:sSub>
      </m:oMath>
      <w:r>
        <w:t xml:space="preserve"> </w:t>
      </w:r>
      <w:r>
        <w:t xml:space="preserve">and</w:t>
      </w:r>
      <w:r>
        <w:t xml:space="preserve"> </w:t>
      </w:r>
      <m:oMath>
        <m:r>
          <m:t>C</m:t>
        </m:r>
      </m:oMath>
      <w:r>
        <w:t xml:space="preserve">.</w:t>
      </w:r>
      <w:r>
        <w:t xml:space="preserve"> </w:t>
      </w:r>
      <w:r>
        <w:t xml:space="preserve">It is sufficient to consider them as invaluable, with both potentially considered roughly equal.</w:t>
      </w:r>
      <w:r>
        <w:t xml:space="preserve"> </w:t>
      </w:r>
      <w:r>
        <w:t xml:space="preserve">Additionally, coup plotters are driven by factors beyond mere economic gains or losses.</w:t>
      </w:r>
      <w:r>
        <w:t xml:space="preserve"> </w:t>
      </w:r>
      <w:r>
        <w:t xml:space="preserve">As long as the coup succeeds, they win anyway.</w:t>
      </w:r>
      <w:r>
        <w:t xml:space="preserve"> </w:t>
      </w:r>
      <w:r>
        <w:t xml:space="preserve">This suggests that in</w:t>
      </w:r>
      <w:r>
        <w:t xml:space="preserve"> </w:t>
      </w:r>
      <w:hyperlink w:anchor="eq-eq2">
        <w:r>
          <w:rPr>
            <w:rStyle w:val="Hyperlink"/>
          </w:rPr>
          <w:t xml:space="preserve">Equation 2</w:t>
        </w:r>
      </w:hyperlink>
      <w:r>
        <w:t xml:space="preserve">, the values of</w:t>
      </w:r>
      <w:r>
        <w:t xml:space="preserve"> </w:t>
      </w:r>
      <m:oMath>
        <m:sSub>
          <m:e>
            <m:r>
              <m:t>V</m:t>
            </m:r>
          </m:e>
          <m:sub>
            <m:r>
              <m:t>S</m:t>
            </m:r>
          </m:sub>
        </m:sSub>
        <m:r>
          <m:rPr>
            <m:sty m:val="p"/>
          </m:rPr>
          <m:t>−</m:t>
        </m:r>
        <m:sSub>
          <m:e>
            <m:r>
              <m:t>V</m:t>
            </m:r>
          </m:e>
          <m:sub>
            <m:r>
              <m:t>I</m:t>
            </m:r>
          </m:sub>
        </m:sSub>
      </m:oMath>
      <w:r>
        <w:t xml:space="preserve"> </w:t>
      </w:r>
      <w:r>
        <w:t xml:space="preserve">and</w:t>
      </w:r>
      <w:r>
        <w:t xml:space="preserve"> </w:t>
      </w:r>
      <m:oMath>
        <m:r>
          <m:t>C</m:t>
        </m:r>
      </m:oMath>
      <w:r>
        <w:t xml:space="preserve"> </w:t>
      </w:r>
      <w:r>
        <w:t xml:space="preserve">can be disregarded, and the focus can solely be on the probability of the coup’s success,</w:t>
      </w:r>
      <w:r>
        <w:t xml:space="preserve"> </w:t>
      </w:r>
      <m:oMath>
        <m:r>
          <m:t>σ</m:t>
        </m:r>
      </m:oMath>
      <w:r>
        <w:t xml:space="preserve">:</w:t>
      </w:r>
    </w:p>
    <w:p>
      <w:pPr>
        <w:pStyle w:val="BodyText"/>
      </w:pPr>
      <w:bookmarkStart w:id="26" w:name="eq-eq3"/>
      <m:oMathPara>
        <m:oMathParaPr>
          <m:jc m:val="center"/>
        </m:oMathParaPr>
        <m:oMath>
          <m:m>
            <m:mPr>
              <m:baseJc m:val="center"/>
              <m:plcHide m:val="on"/>
              <m:mcs>
                <m:mc>
                  <m:mcPr>
                    <m:mcJc m:val="right"/>
                    <m:count m:val="1"/>
                  </m:mcPr>
                </m:mc>
              </m:mcs>
            </m:mPr>
            <m:mr>
              <m:e>
                <m:r>
                  <m:t>σ</m:t>
                </m:r>
                <m:r>
                  <m:rPr>
                    <m:sty m:val="p"/>
                  </m:rPr>
                  <m:t>&gt;</m:t>
                </m:r>
                <m:d>
                  <m:dPr>
                    <m:begChr m:val="("/>
                    <m:endChr m:val=")"/>
                    <m:sepChr m:val=""/>
                    <m:grow/>
                  </m:dPr>
                  <m:e>
                    <m:r>
                      <m:t>1</m:t>
                    </m:r>
                    <m:r>
                      <m:rPr>
                        <m:sty m:val="p"/>
                      </m:rPr>
                      <m:t>−</m:t>
                    </m:r>
                    <m:r>
                      <m:t>σ</m:t>
                    </m:r>
                  </m:e>
                </m:d>
              </m:e>
            </m:mr>
          </m:m>
          <m:r>
            <m:t>  </m:t>
          </m:r>
          <m:d>
            <m:dPr>
              <m:begChr m:val="("/>
              <m:endChr m:val=")"/>
              <m:sepChr m:val=""/>
              <m:grow/>
            </m:dPr>
            <m:e>
              <m:r>
                <m:t>3</m:t>
              </m:r>
            </m:e>
          </m:d>
        </m:oMath>
      </m:oMathPara>
      <w:bookmarkEnd w:id="26"/>
    </w:p>
    <w:bookmarkEnd w:id="27"/>
    <w:bookmarkStart w:id="28" w:name="disposition"/>
    <w:p>
      <w:pPr>
        <w:pStyle w:val="Heading3"/>
      </w:pPr>
      <w:r>
        <w:t xml:space="preserve">Disposition</w:t>
      </w:r>
    </w:p>
    <w:p>
      <w:pPr>
        <w:pStyle w:val="FirstParagraph"/>
      </w:pPr>
      <w:r>
        <w:t xml:space="preserve">To simplify understanding, coups can be categorized into three types based on their motivations: those driven by personal ambitions, those purportedly for the benefit of the country, and those undertaken for self-preservation.</w:t>
      </w:r>
    </w:p>
    <w:p>
      <w:pPr>
        <w:pStyle w:val="BodyText"/>
      </w:pPr>
      <w:r>
        <w:t xml:space="preserve">First and most, coup plotters are motivated by the allure of unrestrained power, revered status, and access to substantial financial resources.</w:t>
      </w:r>
      <w:r>
        <w:t xml:space="preserve"> </w:t>
      </w:r>
      <w:r>
        <w:t xml:space="preserve">Wintrobe (2019)</w:t>
      </w:r>
      <w:r>
        <w:t xml:space="preserve"> </w:t>
      </w:r>
      <w:r>
        <w:t xml:space="preserve">explores various forms of dictatorships, distinguishing between totalitarian leaders and tinpot leaders.</w:t>
      </w:r>
      <w:r>
        <w:t xml:space="preserve"> </w:t>
      </w:r>
      <w:r>
        <w:t xml:space="preserve">Totalitarian leaders exert control over every aspect of their citizens’ lives, relishing the power they wield.</w:t>
      </w:r>
      <w:r>
        <w:t xml:space="preserve"> </w:t>
      </w:r>
      <w:r>
        <w:t xml:space="preserve">On the other hand, tinpot leaders are primarily motivated by personal consumption, indulging in luxuries such as living in opulent palaces, driving luxury cars like Mercedes, and adorning themselves with prestigious accessories like Rolex watches.</w:t>
      </w:r>
    </w:p>
    <w:p>
      <w:pPr>
        <w:pStyle w:val="BodyText"/>
      </w:pPr>
      <w:r>
        <w:t xml:space="preserve">Secondly, at times, coups are justified by motives such as rescuing a country in crisis, upholding constitutional authority, or facilitating democratic transition.</w:t>
      </w:r>
      <w:r>
        <w:t xml:space="preserve"> </w:t>
      </w:r>
      <w:r>
        <w:t xml:space="preserve">However, this rationale is often met with scepticism, as the first type of coup plotters often use similar excuses to justify their actions.</w:t>
      </w:r>
      <w:r>
        <w:t xml:space="preserve"> </w:t>
      </w:r>
      <w:r>
        <w:t xml:space="preserve">Nonetheless, there are indeed cases that validate the purported objectives.</w:t>
      </w:r>
      <w:r>
        <w:t xml:space="preserve"> </w:t>
      </w:r>
      <w:r>
        <w:t xml:space="preserve">For instance, in Niger in</w:t>
      </w:r>
      <w:r>
        <w:t xml:space="preserve"> </w:t>
      </w:r>
      <m:oMath>
        <m:r>
          <m:t>2010</m:t>
        </m:r>
      </m:oMath>
      <w:r>
        <w:t xml:space="preserve">, a coup ousted President Tandja, who sought to secure a third term in office contrary to constitutional limits.</w:t>
      </w:r>
      <w:r>
        <w:t xml:space="preserve"> </w:t>
      </w:r>
      <w:r>
        <w:t xml:space="preserve">Tandja’s attempt to extend his presidency led to the dissolution of the Constitutional Court when it opposed his proposal, prompting a referendum for a new constitution to enable a third term.</w:t>
      </w:r>
      <w:r>
        <w:t xml:space="preserve"> </w:t>
      </w:r>
      <w:r>
        <w:t xml:space="preserve">This triggered the coup to protect the constitution</w:t>
      </w:r>
      <w:r>
        <w:t xml:space="preserve"> </w:t>
      </w:r>
      <w:r>
        <w:t xml:space="preserve">(Ginsburg and Elkins 2019)</w:t>
      </w:r>
      <w:r>
        <w:t xml:space="preserve">.</w:t>
      </w:r>
    </w:p>
    <w:p>
      <w:pPr>
        <w:pStyle w:val="BodyText"/>
      </w:pPr>
      <w:r>
        <w:t xml:space="preserve">Thirdly, in certain instances, staging a coup serves as a final resort for self-preservation, aimed at evading political persecution by adversaries.</w:t>
      </w:r>
      <w:r>
        <w:t xml:space="preserve"> </w:t>
      </w:r>
      <w:r>
        <w:t xml:space="preserve">Coup perpetrators may not harbour further ambitions and may be content with the status quo.</w:t>
      </w:r>
      <w:r>
        <w:t xml:space="preserve"> </w:t>
      </w:r>
      <w:r>
        <w:t xml:space="preserve">However, their mere existence could be perceived as a threat by the incumbent leader, prompting the need for their removal.</w:t>
      </w:r>
      <w:r>
        <w:t xml:space="preserve"> </w:t>
      </w:r>
      <w:r>
        <w:t xml:space="preserve">Consequently, the coup is triggered rather than initiated by the coup perpetrators themselves.</w:t>
      </w:r>
      <w:r>
        <w:t xml:space="preserve"> </w:t>
      </w:r>
      <w:r>
        <w:t xml:space="preserve">An illustrative example is Idi Amin, who, as the army commander-in-chief of Uganda in</w:t>
      </w:r>
      <w:r>
        <w:t xml:space="preserve"> </w:t>
      </w:r>
      <m:oMath>
        <m:r>
          <m:t>1971</m:t>
        </m:r>
      </m:oMath>
      <w:r>
        <w:t xml:space="preserve">, staged a coup against President Obote, who was attempting to undermine Amin</w:t>
      </w:r>
      <w:r>
        <w:t xml:space="preserve"> </w:t>
      </w:r>
      <w:r>
        <w:t xml:space="preserve">(Sudduth 2017)</w:t>
      </w:r>
      <w:r>
        <w:t xml:space="preserve">.</w:t>
      </w:r>
    </w:p>
    <w:p>
      <w:pPr>
        <w:pStyle w:val="BodyText"/>
      </w:pPr>
      <w:r>
        <w:t xml:space="preserve">Theoretically, these three types of coup plotters can emerge from any type of regimes.</w:t>
      </w:r>
      <w:r>
        <w:t xml:space="preserve"> </w:t>
      </w:r>
      <w:r>
        <w:t xml:space="preserve">While they may be more prevalent in autocracies, ambitious individuals can also exist within democracies.</w:t>
      </w:r>
      <w:r>
        <w:t xml:space="preserve"> </w:t>
      </w:r>
      <w:r>
        <w:t xml:space="preserve">Moreover, unstable societies, economic downturns, and democratic backsliding can occur even in democracies.</w:t>
      </w:r>
      <w:r>
        <w:t xml:space="preserve"> </w:t>
      </w:r>
      <w:r>
        <w:t xml:space="preserve">Although political persecutions may be rare in stable democracies, they are not uncommon in newly established or poorly governed ones.</w:t>
      </w:r>
      <w:r>
        <w:t xml:space="preserve"> </w:t>
      </w:r>
      <w:r>
        <w:t xml:space="preserve">However, despite these factors, the occurrence of coups remains relatively low, accounting for only</w:t>
      </w:r>
      <w:r>
        <w:t xml:space="preserve"> </w:t>
      </w:r>
      <m:oMath>
        <m:r>
          <m:t>4</m:t>
        </m:r>
        <m:r>
          <m:rPr>
            <m:sty m:val="p"/>
          </m:rPr>
          <m:t>%</m:t>
        </m:r>
      </m:oMath>
      <w:r>
        <w:t xml:space="preserve"> </w:t>
      </w:r>
      <w:r>
        <w:t xml:space="preserve">of country-years since</w:t>
      </w:r>
      <w:r>
        <w:t xml:space="preserve"> </w:t>
      </w:r>
      <m:oMath>
        <m:r>
          <m:t>1950</m:t>
        </m:r>
      </m:oMath>
      <w:r>
        <w:t xml:space="preserve">.</w:t>
      </w:r>
      <w:r>
        <w:t xml:space="preserve"> </w:t>
      </w:r>
      <w:r>
        <w:t xml:space="preserve">This is primarily because the disposition to stage coups is heavily contingent upon the opportunity to do so.</w:t>
      </w:r>
    </w:p>
    <w:bookmarkEnd w:id="28"/>
    <w:bookmarkStart w:id="30" w:name="opportunity"/>
    <w:p>
      <w:pPr>
        <w:pStyle w:val="Heading3"/>
      </w:pPr>
      <w:r>
        <w:t xml:space="preserve">Opportunity</w:t>
      </w:r>
    </w:p>
    <w:p>
      <w:pPr>
        <w:pStyle w:val="FirstParagraph"/>
      </w:pPr>
      <w:r>
        <w:t xml:space="preserve">As previously mentioned, while there may be numerous ambitious political figures aspiring to seize supreme power for various reasons, only a select few have the opportunity to orchestrate a successful coup.</w:t>
      </w:r>
      <w:r>
        <w:t xml:space="preserve"> </w:t>
      </w:r>
      <w:r>
        <w:t xml:space="preserve">When coup plotters conspire to stage a coup, their foremost consideration is the likelihood of success.</w:t>
      </w:r>
      <w:r>
        <w:t xml:space="preserve"> </w:t>
      </w:r>
      <w:r>
        <w:t xml:space="preserve">According to</w:t>
      </w:r>
      <w:r>
        <w:t xml:space="preserve"> </w:t>
      </w:r>
      <w:hyperlink w:anchor="eq-eq3">
        <w:r>
          <w:rPr>
            <w:rStyle w:val="Hyperlink"/>
          </w:rPr>
          <w:t xml:space="preserve">Equation 3</w:t>
        </w:r>
      </w:hyperlink>
      <w:r>
        <w:t xml:space="preserve">, if the probability of success,</w:t>
      </w:r>
      <w:r>
        <w:t xml:space="preserve"> </w:t>
      </w:r>
      <m:oMath>
        <m:r>
          <m:t>σ</m:t>
        </m:r>
      </m:oMath>
      <w:r>
        <w:t xml:space="preserve">, exceeds</w:t>
      </w:r>
      <w:r>
        <w:t xml:space="preserve"> </w:t>
      </w:r>
      <m:oMath>
        <m:r>
          <m:t>0.5</m:t>
        </m:r>
      </m:oMath>
      <w:r>
        <w:t xml:space="preserve">, the equation holds true.</w:t>
      </w:r>
      <w:r>
        <w:t xml:space="preserve"> </w:t>
      </w:r>
      <w:r>
        <w:t xml:space="preserve">This assertion finds some support in empirical data on coups since</w:t>
      </w:r>
      <w:r>
        <w:t xml:space="preserve"> </w:t>
      </w:r>
      <m:oMath>
        <m:r>
          <m:t>1950</m:t>
        </m:r>
      </m:oMath>
      <w:r>
        <w:t xml:space="preserve">.</w:t>
      </w:r>
      <w:r>
        <w:t xml:space="preserve"> </w:t>
      </w:r>
      <w:r>
        <w:t xml:space="preserve">As indicated in</w:t>
      </w:r>
      <w:r>
        <w:t xml:space="preserve"> </w:t>
      </w:r>
      <w:hyperlink w:anchor="tbl-coups">
        <w:r>
          <w:rPr>
            <w:rStyle w:val="Hyperlink"/>
          </w:rPr>
          <w:t xml:space="preserve">Table 1</w:t>
        </w:r>
      </w:hyperlink>
      <w:r>
        <w:t xml:space="preserve">, the overall success rate of coups stands at</w:t>
      </w:r>
      <w:r>
        <w:t xml:space="preserve"> </w:t>
      </w:r>
      <m:oMath>
        <m:r>
          <m:t>49.9</m:t>
        </m:r>
      </m:oMath>
      <w:r>
        <w:t xml:space="preserve">.</w:t>
      </w:r>
      <w:r>
        <w:t xml:space="preserve"> </w:t>
      </w:r>
      <w:r>
        <w:t xml:space="preserve">Although this figure falls just below the threshold of</w:t>
      </w:r>
      <w:r>
        <w:t xml:space="preserve"> </w:t>
      </w:r>
      <m:oMath>
        <m:r>
          <m:t>0.5</m:t>
        </m:r>
      </m:oMath>
      <w:r>
        <w:t xml:space="preserve">, it is important to acknowledge that this is an average rate calculated post-coups.</w:t>
      </w:r>
      <w:r>
        <w:t xml:space="preserve"> </w:t>
      </w:r>
      <w:r>
        <w:t xml:space="preserve">In reality, coup plotters typically require more certainty about success than a mere fifty-fifty chance.</w:t>
      </w:r>
      <w:r>
        <w:t xml:space="preserve"> </w:t>
      </w:r>
      <w:r>
        <w:t xml:space="preserve">Furthermore, outliers do exist, such as irrational political careerists or coup attempts driven more by self-protection instincts than strategic planning.</w:t>
      </w:r>
      <w:r>
        <w:t xml:space="preserve"> </w:t>
      </w:r>
      <w:r>
        <w:t xml:space="preserve">In such cases, coup perpetrators may not prioritize or even consider the potential outcomes, as the consequences of being purged are no different from those of a failed coup.</w:t>
      </w:r>
    </w:p>
    <w:p>
      <w:pPr>
        <w:pStyle w:val="BodyText"/>
      </w:pPr>
      <w:r>
        <w:t xml:space="preserve">Given the pivotal role of coup success in determining coup attempts, the factors influencing coup success inevitably become the determinants of coup attempts themselves.</w:t>
      </w:r>
      <w:r>
        <w:t xml:space="preserve"> </w:t>
      </w:r>
      <w:r>
        <w:t xml:space="preserve">While the specific determinants may vary, the fundamental factor lies in the balance of power between the coup perpetrators and the incumbent leaders.</w:t>
      </w:r>
      <w:r>
        <w:t xml:space="preserve"> </w:t>
      </w:r>
      <w:r>
        <w:t xml:space="preserve">I will delve into the factors that could potentially tip the scales of power among different political factions.</w:t>
      </w:r>
    </w:p>
    <w:bookmarkStart w:id="29" w:name="regime-types"/>
    <w:p>
      <w:pPr>
        <w:pStyle w:val="Heading4"/>
      </w:pPr>
      <w:r>
        <w:t xml:space="preserve">Regime types</w:t>
      </w:r>
    </w:p>
    <w:p>
      <w:pPr>
        <w:pStyle w:val="FirstParagraph"/>
      </w:pPr>
      <w:r>
        <w:t xml:space="preserve">When discussing the balance of power, the first aspect that comes to mind is military strength.</w:t>
      </w:r>
      <w:r>
        <w:t xml:space="preserve"> </w:t>
      </w:r>
      <w:r>
        <w:t xml:space="preserve">It’s evident that control over the military gives individuals the upper hand in coup attempts.</w:t>
      </w:r>
      <w:r>
        <w:t xml:space="preserve"> </w:t>
      </w:r>
      <w:r>
        <w:t xml:space="preserve">This explains why military coups are often at the forefront of political science discussions.</w:t>
      </w:r>
      <w:r>
        <w:t xml:space="preserve"> </w:t>
      </w:r>
      <w:r>
        <w:t xml:space="preserve">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used interchangeably, with little exploration into why this is the case.</w:t>
      </w:r>
      <w:r>
        <w:t xml:space="preserve"> </w:t>
      </w:r>
      <w:r>
        <w:t xml:space="preserve">Consequently, more attention is directed towards preventing military involvement in politics.</w:t>
      </w:r>
      <w:r>
        <w:t xml:space="preserve"> </w:t>
      </w:r>
      <w:r>
        <w:t xml:space="preserve">Strategies such as</w:t>
      </w:r>
      <w:r>
        <w:t xml:space="preserve"> </w:t>
      </w:r>
      <w:r>
        <w:t xml:space="preserve">“</w:t>
      </w:r>
      <w:r>
        <w:rPr>
          <w:iCs/>
          <w:i/>
        </w:rPr>
        <w:t xml:space="preserve">Keeping the military happy</w:t>
      </w:r>
      <w:r>
        <w:t xml:space="preserve">”</w:t>
      </w:r>
      <w:r>
        <w:t xml:space="preserve"> </w:t>
      </w:r>
      <w:r>
        <w:t xml:space="preserve">(Aidt and Leon 2019, 15)</w:t>
      </w:r>
      <w:r>
        <w:t xml:space="preserve"> </w:t>
      </w:r>
      <w:r>
        <w:t xml:space="preserve">or</w:t>
      </w:r>
      <w:r>
        <w:t xml:space="preserve"> </w:t>
      </w:r>
      <w:r>
        <w:t xml:space="preserve">“</w:t>
      </w:r>
      <w:r>
        <w:rPr>
          <w:iCs/>
          <w:i/>
        </w:rPr>
        <w:t xml:space="preserve">giving them toys</w:t>
      </w:r>
      <w:r>
        <w:t xml:space="preserve">”</w:t>
      </w:r>
      <w:r>
        <w:t xml:space="preserve"> </w:t>
      </w:r>
      <w:r>
        <w:t xml:space="preserve">(Huntington 1991, 252)</w:t>
      </w:r>
      <w:r>
        <w:t xml:space="preserve"> </w:t>
      </w:r>
      <w:r>
        <w:t xml:space="preserve">have been proposed to mitigate military intervention.</w:t>
      </w:r>
      <w:r>
        <w:t xml:space="preserve"> </w:t>
      </w:r>
      <w:r>
        <w:t xml:space="preserve">Many coup-proofing strategies, informed by empirical research, aim to either diminish the military’s inclination to stage coups or create obstacles to their success.</w:t>
      </w:r>
      <w:r>
        <w:t xml:space="preserve"> </w:t>
      </w:r>
      <w:r>
        <w:t xml:space="preserve">For example, studies by</w:t>
      </w:r>
      <w:r>
        <w:t xml:space="preserve"> </w:t>
      </w:r>
      <w:r>
        <w:t xml:space="preserve">Leon (2013b)</w:t>
      </w:r>
      <w:r>
        <w:t xml:space="preserve"> </w:t>
      </w:r>
      <w:r>
        <w:t xml:space="preserve">suggest that nations with lower military spending as a percentage of GDP are more susceptible to coups.</w:t>
      </w:r>
      <w:r>
        <w:t xml:space="preserve"> </w:t>
      </w:r>
      <w:r>
        <w:t xml:space="preserve">Similarly,</w:t>
      </w:r>
      <w:r>
        <w:t xml:space="preserve"> </w:t>
      </w:r>
      <w:r>
        <w:t xml:space="preserve">J. Powell et al. (2018)</w:t>
      </w:r>
      <w:r>
        <w:t xml:space="preserve"> </w:t>
      </w:r>
      <w:r>
        <w:t xml:space="preserve">argues that increased military expenditures may reduce the likelihood of coups among military factions.</w:t>
      </w:r>
    </w:p>
    <w:p>
      <w:pPr>
        <w:pStyle w:val="BodyText"/>
      </w:pPr>
      <w:r>
        <w:t xml:space="preserve">However, as</w:t>
      </w:r>
      <w:r>
        <w:t xml:space="preserve"> </w:t>
      </w:r>
      <w:r>
        <w:t xml:space="preserve">J. Powell (2012)</w:t>
      </w:r>
      <w:r>
        <w:t xml:space="preserve"> </w:t>
      </w:r>
      <w:r>
        <w:t xml:space="preserve">posits, while measures aimed at pacifying the military may diminish the likelihood of a coup being attempted, greater military resources may simultaneously enhance the probability of a coup’s success.</w:t>
      </w:r>
    </w:p>
    <w:p>
      <w:pPr>
        <w:pStyle w:val="BodyText"/>
      </w:pPr>
      <w:r>
        <w:t xml:space="preserve">There are three dimensions when we analyse coup outcomes.</w:t>
      </w:r>
      <w:r>
        <w:t xml:space="preserve"> </w:t>
      </w:r>
      <w:r>
        <w:t xml:space="preserve">The first dimension is straightforward: why some coups succeed while others fail</w:t>
      </w:r>
      <w:r>
        <w:t xml:space="preserve"> </w:t>
      </w:r>
      <w:r>
        <w:t xml:space="preserve">(Quinlivan 1999; Kebschull 1994)</w:t>
      </w:r>
      <w:r>
        <w:t xml:space="preserve">.</w:t>
      </w:r>
      <w:r>
        <w:t xml:space="preserve"> </w:t>
      </w:r>
      <w:r>
        <w:t xml:space="preserve">The second dimension focuses on the potential influences: what happens after failed coups and successful coups.</w:t>
      </w:r>
      <w:r>
        <w:t xml:space="preserve"> </w:t>
      </w:r>
      <w:r>
        <w:t xml:space="preserve">In particular, whether it helps the shifts towards democracy following successful coups.</w:t>
      </w:r>
      <w:r>
        <w:t xml:space="preserve"> </w:t>
      </w:r>
      <w:r>
        <w:t xml:space="preserve">This debate is exemplified by the arguments between Michael Miller</w:t>
      </w:r>
      <w:r>
        <w:t xml:space="preserve"> </w:t>
      </w:r>
      <w:r>
        <w:t xml:space="preserve">(Miller 2016)</w:t>
      </w:r>
      <w:r>
        <w:t xml:space="preserve"> </w:t>
      </w:r>
      <w:r>
        <w:t xml:space="preserve">and Derpanopoulos, Frantz &amp; Geddes</w:t>
      </w:r>
      <w:r>
        <w:t xml:space="preserve"> </w:t>
      </w:r>
      <w:r>
        <w:t xml:space="preserve">(Derpanopoulos et al. 2016, 2017)</w:t>
      </w:r>
      <w:r>
        <w:t xml:space="preserve">.</w:t>
      </w:r>
      <w:r>
        <w:t xml:space="preserve"> </w:t>
      </w:r>
      <w:r>
        <w:t xml:space="preserve">However, the third dimension, which explores how the expected success of coups influences coup attempts, remains underexplored.</w:t>
      </w:r>
    </w:p>
    <w:p>
      <w:pPr>
        <w:pStyle w:val="BodyText"/>
      </w:pPr>
      <w:r>
        <w:t xml:space="preserve">Among the limited discussions on the influence of coup success on coup attempts,</w:t>
      </w:r>
      <w:r>
        <w:t xml:space="preserve"> </w:t>
      </w:r>
      <w:r>
        <w:t xml:space="preserve">J. Powell (2012)</w:t>
      </w:r>
      <w:r>
        <w:t xml:space="preserve"> </w:t>
      </w:r>
      <w:r>
        <w:t xml:space="preserve">utilizes a selection model with global data spanning 1961 to 2000.</w:t>
      </w:r>
      <w:r>
        <w:t xml:space="preserve"> </w:t>
      </w:r>
      <w:r>
        <w:t xml:space="preserve">Powell’s findings suggest that coup-proofing strategies, such as balancing and providing resources to the military, reduce the likelihood of coups but increase their chances of success.</w:t>
      </w:r>
    </w:p>
    <w:p>
      <w:pPr>
        <w:pStyle w:val="BodyText"/>
      </w:pPr>
      <w:r>
        <w:t xml:space="preserve">However, few of the aforementioned studies have explored the interdependence between coup attempts and coup success.</w:t>
      </w:r>
      <w:r>
        <w:t xml:space="preserve"> </w:t>
      </w:r>
      <w:r>
        <w:t xml:space="preserve">In other words, as demonstrated in</w:t>
      </w:r>
      <w:r>
        <w:t xml:space="preserve"> </w:t>
      </w:r>
      <w:hyperlink w:anchor="eq-eq1">
        <w:r>
          <w:rPr>
            <w:rStyle w:val="Hyperlink"/>
          </w:rPr>
          <w:t xml:space="preserve">Equation 1</w:t>
        </w:r>
      </w:hyperlink>
      <w:r>
        <w:t xml:space="preserve"> </w:t>
      </w:r>
      <w:r>
        <w:t xml:space="preserve">and</w:t>
      </w:r>
      <w:r>
        <w:t xml:space="preserve"> </w:t>
      </w:r>
      <w:hyperlink w:anchor="eq-eq2">
        <w:r>
          <w:rPr>
            <w:rStyle w:val="Hyperlink"/>
          </w:rPr>
          <w:t xml:space="preserve">Equation 2</w:t>
        </w:r>
      </w:hyperlink>
      <w:r>
        <w:t xml:space="preserve">, they do not consider the likelihood of coup success as a primary determinant of coup attempts.</w:t>
      </w:r>
    </w:p>
    <w:p>
      <w:pPr>
        <w:pStyle w:val="BodyText"/>
      </w:pPr>
      <w:r>
        <w:t xml:space="preserve">If the likelihood of coup success is predetermined, what factors influence or potentially determine the success rates of coups?</w:t>
      </w:r>
      <w:r>
        <w:t xml:space="preserve"> </w:t>
      </w:r>
      <w:r>
        <w:t xml:space="preserve">Much attention is understandably given to military strength, as it is believed that the control of military forces often determines the success of coups.</w:t>
      </w:r>
    </w:p>
    <w:p>
      <w:pPr>
        <w:pStyle w:val="BodyText"/>
      </w:pPr>
      <w:r>
        <w:t xml:space="preserve">In addition to military factors, research delves into other determinants as well.</w:t>
      </w:r>
      <w:r>
        <w:t xml:space="preserve"> </w:t>
      </w:r>
      <w:r>
        <w:t xml:space="preserve">For instance,</w:t>
      </w:r>
      <w:r>
        <w:t xml:space="preserve"> </w:t>
      </w:r>
      <w:r>
        <w:t xml:space="preserve">Bell (2016)</w:t>
      </w:r>
      <w:r>
        <w:t xml:space="preserve"> </w:t>
      </w:r>
      <w:r>
        <w:t xml:space="preserve">contends that democracies are less susceptible to coups, yet coup attempts against democracies are more likely to succeed.</w:t>
      </w:r>
    </w:p>
    <w:bookmarkEnd w:id="29"/>
    <w:bookmarkEnd w:id="30"/>
    <w:bookmarkEnd w:id="31"/>
    <w:bookmarkStart w:id="32" w:name="research-framework-and-hypotheses"/>
    <w:p>
      <w:pPr>
        <w:pStyle w:val="Heading2"/>
      </w:pPr>
      <w:r>
        <w:t xml:space="preserve">Research Framework and Hypotheses</w:t>
      </w:r>
    </w:p>
    <w:bookmarkEnd w:id="32"/>
    <w:bookmarkStart w:id="33" w:name="data-and-variables"/>
    <w:p>
      <w:pPr>
        <w:pStyle w:val="Heading2"/>
      </w:pPr>
      <w:r>
        <w:t xml:space="preserve">Data and Variables</w:t>
      </w:r>
    </w:p>
    <w:bookmarkEnd w:id="33"/>
    <w:bookmarkStart w:id="34" w:name="results-and-discussion"/>
    <w:p>
      <w:pPr>
        <w:pStyle w:val="Heading2"/>
      </w:pPr>
      <w:r>
        <w:t xml:space="preserve">Results and Discussion</w:t>
      </w:r>
    </w:p>
    <w:bookmarkEnd w:id="34"/>
    <w:bookmarkStart w:id="69" w:name="conclusion"/>
    <w:p>
      <w:pPr>
        <w:pStyle w:val="Heading2"/>
      </w:pPr>
      <w:r>
        <w:t xml:space="preserve">Conclusion</w:t>
      </w:r>
    </w:p>
    <w:p>
      <w:pPr>
        <w:pStyle w:val="SourceCode"/>
      </w:pPr>
      <w:r>
        <w:rPr>
          <w:rStyle w:val="NormalTok"/>
        </w:rPr>
        <w:t xml:space="preserve">mtcars </w:t>
      </w:r>
    </w:p>
    <w:p>
      <w:pPr>
        <w:pStyle w:val="SourceCode"/>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Datsun 710          22.8   4 108.0  93 3.85 2.320 18.61  1  1    4    1</w:t>
      </w:r>
      <w:r>
        <w:br/>
      </w:r>
      <w:r>
        <w:rPr>
          <w:rStyle w:val="VerbatimChar"/>
        </w:rPr>
        <w:t xml:space="preserve">Hornet 4 Drive      21.4   6 258.0 110 3.08 3.215 19.44  1  0    3    1</w:t>
      </w:r>
      <w:r>
        <w:br/>
      </w:r>
      <w:r>
        <w:rPr>
          <w:rStyle w:val="VerbatimChar"/>
        </w:rPr>
        <w:t xml:space="preserve">Hornet Sportabout   18.7   8 360.0 175 3.15 3.440 17.02  0  0    3    2</w:t>
      </w:r>
      <w:r>
        <w:br/>
      </w:r>
      <w:r>
        <w:rPr>
          <w:rStyle w:val="VerbatimChar"/>
        </w:rPr>
        <w:t xml:space="preserve">Valiant             18.1   6 225.0 105 2.76 3.460 20.22  1  0    3    1</w:t>
      </w:r>
      <w:r>
        <w:br/>
      </w:r>
      <w:r>
        <w:rPr>
          <w:rStyle w:val="VerbatimChar"/>
        </w:rPr>
        <w:t xml:space="preserve">Duster 360          14.3   8 360.0 245 3.21 3.570 15.84  0  0    3    4</w:t>
      </w:r>
      <w:r>
        <w:br/>
      </w:r>
      <w:r>
        <w:rPr>
          <w:rStyle w:val="VerbatimChar"/>
        </w:rPr>
        <w:t xml:space="preserve">Merc 240D           24.4   4 146.7  62 3.69 3.190 20.00  1  0    4    2</w:t>
      </w:r>
      <w:r>
        <w:br/>
      </w:r>
      <w:r>
        <w:rPr>
          <w:rStyle w:val="VerbatimChar"/>
        </w:rPr>
        <w:t xml:space="preserve">Merc 230            22.8   4 140.8  95 3.92 3.150 22.90  1  0    4    2</w:t>
      </w:r>
      <w:r>
        <w:br/>
      </w:r>
      <w:r>
        <w:rPr>
          <w:rStyle w:val="VerbatimChar"/>
        </w:rPr>
        <w:t xml:space="preserve">Merc 280            19.2   6 167.6 123 3.92 3.440 18.30  1  0    4    4</w:t>
      </w:r>
      <w:r>
        <w:br/>
      </w:r>
      <w:r>
        <w:rPr>
          <w:rStyle w:val="VerbatimChar"/>
        </w:rPr>
        <w:t xml:space="preserve">Merc 280C           17.8   6 167.6 123 3.92 3.440 18.90  1  0    4    4</w:t>
      </w:r>
      <w:r>
        <w:br/>
      </w:r>
      <w:r>
        <w:rPr>
          <w:rStyle w:val="VerbatimChar"/>
        </w:rPr>
        <w:t xml:space="preserve">Merc 450SE          16.4   8 275.8 180 3.07 4.070 17.40  0  0    3    3</w:t>
      </w:r>
      <w:r>
        <w:br/>
      </w:r>
      <w:r>
        <w:rPr>
          <w:rStyle w:val="VerbatimChar"/>
        </w:rPr>
        <w:t xml:space="preserve">Merc 450SL          17.3   8 275.8 180 3.07 3.730 17.60  0  0    3    3</w:t>
      </w:r>
      <w:r>
        <w:br/>
      </w:r>
      <w:r>
        <w:rPr>
          <w:rStyle w:val="VerbatimChar"/>
        </w:rPr>
        <w:t xml:space="preserve">Merc 450SLC         15.2   8 275.8 180 3.07 3.780 18.00  0  0    3    3</w:t>
      </w:r>
      <w:r>
        <w:br/>
      </w:r>
      <w:r>
        <w:rPr>
          <w:rStyle w:val="VerbatimChar"/>
        </w:rPr>
        <w:t xml:space="preserve">Cadillac Fleetwood  10.4   8 472.0 205 2.93 5.250 17.98  0  0    3    4</w:t>
      </w:r>
      <w:r>
        <w:br/>
      </w:r>
      <w:r>
        <w:rPr>
          <w:rStyle w:val="VerbatimChar"/>
        </w:rPr>
        <w:t xml:space="preserve">Lincoln Continental 10.4   8 460.0 215 3.00 5.424 17.82  0  0    3    4</w:t>
      </w:r>
      <w:r>
        <w:br/>
      </w:r>
      <w:r>
        <w:rPr>
          <w:rStyle w:val="VerbatimChar"/>
        </w:rPr>
        <w:t xml:space="preserve">Chrysler Imperial   14.7   8 440.0 230 3.23 5.345 17.42  0  0    3    4</w:t>
      </w:r>
      <w:r>
        <w:br/>
      </w:r>
      <w:r>
        <w:rPr>
          <w:rStyle w:val="VerbatimChar"/>
        </w:rPr>
        <w:t xml:space="preserve">Fiat 128            32.4   4  78.7  66 4.08 2.200 19.47  1  1    4    1</w:t>
      </w:r>
      <w:r>
        <w:br/>
      </w:r>
      <w:r>
        <w:rPr>
          <w:rStyle w:val="VerbatimChar"/>
        </w:rPr>
        <w:t xml:space="preserve">Honda Civic         30.4   4  75.7  52 4.93 1.615 18.52  1  1    4    2</w:t>
      </w:r>
      <w:r>
        <w:br/>
      </w:r>
      <w:r>
        <w:rPr>
          <w:rStyle w:val="VerbatimChar"/>
        </w:rPr>
        <w:t xml:space="preserve">Toyota Corolla      33.9   4  71.1  65 4.22 1.835 19.90  1  1    4    1</w:t>
      </w:r>
      <w:r>
        <w:br/>
      </w:r>
      <w:r>
        <w:rPr>
          <w:rStyle w:val="VerbatimChar"/>
        </w:rPr>
        <w:t xml:space="preserve">Toyota Corona       21.5   4 120.1  97 3.70 2.465 20.01  1  0    3    1</w:t>
      </w:r>
      <w:r>
        <w:br/>
      </w:r>
      <w:r>
        <w:rPr>
          <w:rStyle w:val="VerbatimChar"/>
        </w:rPr>
        <w:t xml:space="preserve">Dodge Challenger    15.5   8 318.0 150 2.76 3.520 16.87  0  0    3    2</w:t>
      </w:r>
      <w:r>
        <w:br/>
      </w:r>
      <w:r>
        <w:rPr>
          <w:rStyle w:val="VerbatimChar"/>
        </w:rPr>
        <w:t xml:space="preserve">AMC Javelin         15.2   8 304.0 150 3.15 3.435 17.30  0  0    3    2</w:t>
      </w:r>
      <w:r>
        <w:br/>
      </w:r>
      <w:r>
        <w:rPr>
          <w:rStyle w:val="VerbatimChar"/>
        </w:rPr>
        <w:t xml:space="preserve">Camaro Z28          13.3   8 350.0 245 3.73 3.840 15.41  0  0    3    4</w:t>
      </w:r>
      <w:r>
        <w:br/>
      </w:r>
      <w:r>
        <w:rPr>
          <w:rStyle w:val="VerbatimChar"/>
        </w:rPr>
        <w:t xml:space="preserve">Pontiac Firebird    19.2   8 400.0 175 3.08 3.845 17.05  0  0    3    2</w:t>
      </w:r>
      <w:r>
        <w:br/>
      </w:r>
      <w:r>
        <w:rPr>
          <w:rStyle w:val="VerbatimChar"/>
        </w:rPr>
        <w:t xml:space="preserve">Fiat X1-9           27.3   4  79.0  66 4.08 1.935 18.90  1  1    4    1</w:t>
      </w:r>
      <w:r>
        <w:br/>
      </w:r>
      <w:r>
        <w:rPr>
          <w:rStyle w:val="VerbatimChar"/>
        </w:rPr>
        <w:t xml:space="preserve">Porsche 914-2       26.0   4 120.3  91 4.43 2.140 16.70  0  1    5    2</w:t>
      </w:r>
      <w:r>
        <w:br/>
      </w:r>
      <w:r>
        <w:rPr>
          <w:rStyle w:val="VerbatimChar"/>
        </w:rPr>
        <w:t xml:space="preserve">Lotus Europa        30.4   4  95.1 113 3.77 1.513 16.90  1  1    5    2</w:t>
      </w:r>
      <w:r>
        <w:br/>
      </w:r>
      <w:r>
        <w:rPr>
          <w:rStyle w:val="VerbatimChar"/>
        </w:rPr>
        <w:t xml:space="preserve">Ford Pantera L      15.8   8 351.0 264 4.22 3.170 14.50  0  1    5    4</w:t>
      </w:r>
      <w:r>
        <w:br/>
      </w:r>
      <w:r>
        <w:rPr>
          <w:rStyle w:val="VerbatimChar"/>
        </w:rPr>
        <w:t xml:space="preserve">Ferrari Dino        19.7   6 145.0 175 3.62 2.770 15.50  0  1    5    6</w:t>
      </w:r>
      <w:r>
        <w:br/>
      </w:r>
      <w:r>
        <w:rPr>
          <w:rStyle w:val="VerbatimChar"/>
        </w:rPr>
        <w:t xml:space="preserve">Maserati Bora       15.0   8 301.0 335 3.54 3.570 14.60  0  1    5    8</w:t>
      </w:r>
      <w:r>
        <w:br/>
      </w:r>
      <w:r>
        <w:rPr>
          <w:rStyle w:val="VerbatimChar"/>
        </w:rPr>
        <w:t xml:space="preserve">Volvo 142E          21.4   4 121.0 109 4.11 2.780 18.60  1  1    4    2</w:t>
      </w:r>
    </w:p>
    <w:bookmarkStart w:id="68" w:name="refs"/>
    <w:bookmarkStart w:id="36"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5">
        <w:r>
          <w:rPr>
            <w:rStyle w:val="Hyperlink"/>
          </w:rPr>
          <w:t xml:space="preserve">https://doi.org/10.1093/oxfordhb/9780190469771.013.15</w:t>
        </w:r>
      </w:hyperlink>
      <w:r>
        <w:t xml:space="preserve">.</w:t>
      </w:r>
    </w:p>
    <w:bookmarkEnd w:id="36"/>
    <w:bookmarkStart w:id="38" w:name="ref-bell2016"/>
    <w:p>
      <w:pPr>
        <w:pStyle w:val="Bibliography"/>
      </w:pPr>
      <w:r>
        <w:t xml:space="preserve">Bell, Curtis. 2016.</w:t>
      </w:r>
      <w:r>
        <w:t xml:space="preserve"> </w:t>
      </w:r>
      <w:r>
        <w:t xml:space="preserve">“Coup d</w:t>
      </w:r>
      <w:r>
        <w:t xml:space="preserve">’</w:t>
      </w:r>
      <w:r>
        <w:t xml:space="preserve">État and Democracy.”</w:t>
      </w:r>
      <w:r>
        <w:t xml:space="preserve"> </w:t>
      </w:r>
      <w:r>
        <w:rPr>
          <w:iCs/>
          <w:i/>
        </w:rPr>
        <w:t xml:space="preserve">Comparative Political Studies</w:t>
      </w:r>
      <w:r>
        <w:t xml:space="preserve"> </w:t>
      </w:r>
      <w:r>
        <w:t xml:space="preserve">49 (9): 1167–1200.</w:t>
      </w:r>
      <w:r>
        <w:t xml:space="preserve"> </w:t>
      </w:r>
      <w:hyperlink r:id="rId37">
        <w:r>
          <w:rPr>
            <w:rStyle w:val="Hyperlink"/>
          </w:rPr>
          <w:t xml:space="preserve">https://doi.org/10.1177/0010414015621081</w:t>
        </w:r>
      </w:hyperlink>
      <w:r>
        <w:t xml:space="preserve">.</w:t>
      </w:r>
    </w:p>
    <w:bookmarkEnd w:id="38"/>
    <w:bookmarkStart w:id="40" w:name="ref-derpanopoulos2016"/>
    <w:p>
      <w:pPr>
        <w:pStyle w:val="Bibliography"/>
      </w:pPr>
      <w:r>
        <w:t xml:space="preserve">Derpanopoulos, George, Erica Frantz, Barbara Geddes, and Joseph Wright. 2016.</w:t>
      </w:r>
      <w:r>
        <w:t xml:space="preserve"> </w:t>
      </w:r>
      <w:r>
        <w:t xml:space="preserve">“Are Coups Good for Democracy?”</w:t>
      </w:r>
      <w:r>
        <w:t xml:space="preserve"> </w:t>
      </w:r>
      <w:r>
        <w:rPr>
          <w:iCs/>
          <w:i/>
        </w:rPr>
        <w:t xml:space="preserve">Research &amp; Politics</w:t>
      </w:r>
      <w:r>
        <w:t xml:space="preserve"> </w:t>
      </w:r>
      <w:r>
        <w:t xml:space="preserve">3 (1): 205316801663083.</w:t>
      </w:r>
      <w:r>
        <w:t xml:space="preserve"> </w:t>
      </w:r>
      <w:hyperlink r:id="rId39">
        <w:r>
          <w:rPr>
            <w:rStyle w:val="Hyperlink"/>
          </w:rPr>
          <w:t xml:space="preserve">https://doi.org/10.1177/2053168016630837</w:t>
        </w:r>
      </w:hyperlink>
      <w:r>
        <w:t xml:space="preserve">.</w:t>
      </w:r>
    </w:p>
    <w:bookmarkEnd w:id="40"/>
    <w:bookmarkStart w:id="42" w:name="ref-derpanopoulos2017"/>
    <w:p>
      <w:pPr>
        <w:pStyle w:val="Bibliography"/>
      </w:pPr>
      <w:r>
        <w:t xml:space="preserve">———. 2017.</w:t>
      </w:r>
      <w:r>
        <w:t xml:space="preserve"> </w:t>
      </w:r>
      <w:r>
        <w:t xml:space="preserve">“Are Coups Good for Democracy? A Response to Miller (2016).”</w:t>
      </w:r>
      <w:r>
        <w:t xml:space="preserve"> </w:t>
      </w:r>
      <w:r>
        <w:rPr>
          <w:iCs/>
          <w:i/>
        </w:rPr>
        <w:t xml:space="preserve">Research &amp; Politics</w:t>
      </w:r>
      <w:r>
        <w:t xml:space="preserve"> </w:t>
      </w:r>
      <w:r>
        <w:t xml:space="preserve">4 (2): 205316801770735.</w:t>
      </w:r>
      <w:r>
        <w:t xml:space="preserve"> </w:t>
      </w:r>
      <w:hyperlink r:id="rId41">
        <w:r>
          <w:rPr>
            <w:rStyle w:val="Hyperlink"/>
          </w:rPr>
          <w:t xml:space="preserve">https://doi.org/10.1177/2053168017707355</w:t>
        </w:r>
      </w:hyperlink>
      <w:r>
        <w:t xml:space="preserve">.</w:t>
      </w:r>
    </w:p>
    <w:bookmarkEnd w:id="42"/>
    <w:bookmarkStart w:id="44"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43">
        <w:r>
          <w:rPr>
            <w:rStyle w:val="Hyperlink"/>
          </w:rPr>
          <w:t xml:space="preserve">https://doi.org/10.2139/ssrn.2851758</w:t>
        </w:r>
      </w:hyperlink>
      <w:r>
        <w:t xml:space="preserve">.</w:t>
      </w:r>
    </w:p>
    <w:bookmarkEnd w:id="44"/>
    <w:bookmarkStart w:id="46"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45">
        <w:r>
          <w:rPr>
            <w:rStyle w:val="Hyperlink"/>
          </w:rPr>
          <w:t xml:space="preserve">https://doi.org/10.1093/oso/9780198837404.003.0003</w:t>
        </w:r>
      </w:hyperlink>
      <w:r>
        <w:t xml:space="preserve">.</w:t>
      </w:r>
    </w:p>
    <w:bookmarkEnd w:id="46"/>
    <w:bookmarkStart w:id="47"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47"/>
    <w:bookmarkStart w:id="49" w:name="ref-kebschull1994"/>
    <w:p>
      <w:pPr>
        <w:pStyle w:val="Bibliography"/>
      </w:pPr>
      <w:r>
        <w:t xml:space="preserve">Kebschull, Harvey G. 1994.</w:t>
      </w:r>
      <w:r>
        <w:t xml:space="preserve"> </w:t>
      </w:r>
      <w:r>
        <w:t xml:space="preserve">“Operation</w:t>
      </w:r>
      <w:r>
        <w:t xml:space="preserve"> </w:t>
      </w:r>
      <w:r>
        <w:t xml:space="preserve">"</w:t>
      </w:r>
      <w:r>
        <w:t xml:space="preserve">Just Missed</w:t>
      </w:r>
      <w:r>
        <w:t xml:space="preserve">"</w:t>
      </w:r>
      <w:r>
        <w:t xml:space="preserve">: Lessons From Failed Coup Attempts.”</w:t>
      </w:r>
      <w:r>
        <w:t xml:space="preserve"> </w:t>
      </w:r>
      <w:r>
        <w:rPr>
          <w:iCs/>
          <w:i/>
        </w:rPr>
        <w:t xml:space="preserve">Armed Forces &amp; Society</w:t>
      </w:r>
      <w:r>
        <w:t xml:space="preserve"> </w:t>
      </w:r>
      <w:r>
        <w:t xml:space="preserve">20 (4): 565–79.</w:t>
      </w:r>
      <w:r>
        <w:t xml:space="preserve"> </w:t>
      </w:r>
      <w:hyperlink r:id="rId48">
        <w:r>
          <w:rPr>
            <w:rStyle w:val="Hyperlink"/>
          </w:rPr>
          <w:t xml:space="preserve">https://doi.org/10.1177/0095327x9402000405</w:t>
        </w:r>
      </w:hyperlink>
      <w:r>
        <w:t xml:space="preserve">.</w:t>
      </w:r>
    </w:p>
    <w:bookmarkEnd w:id="49"/>
    <w:bookmarkStart w:id="51"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50">
        <w:r>
          <w:rPr>
            <w:rStyle w:val="Hyperlink"/>
          </w:rPr>
          <w:t xml:space="preserve">https://doi.org/10.1093/oep/gpt024</w:t>
        </w:r>
      </w:hyperlink>
      <w:r>
        <w:t xml:space="preserve">.</w:t>
      </w:r>
    </w:p>
    <w:bookmarkEnd w:id="51"/>
    <w:bookmarkStart w:id="53"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52">
        <w:r>
          <w:rPr>
            <w:rStyle w:val="Hyperlink"/>
          </w:rPr>
          <w:t xml:space="preserve">https://doi.org/10.1007/s11127-013-0124-4</w:t>
        </w:r>
      </w:hyperlink>
      <w:r>
        <w:t xml:space="preserve">.</w:t>
      </w:r>
    </w:p>
    <w:bookmarkEnd w:id="53"/>
    <w:bookmarkStart w:id="55" w:name="ref-miller2016"/>
    <w:p>
      <w:pPr>
        <w:pStyle w:val="Bibliography"/>
      </w:pPr>
      <w:r>
        <w:t xml:space="preserve">Miller, Michael K. 2016.</w:t>
      </w:r>
      <w:r>
        <w:t xml:space="preserve"> </w:t>
      </w:r>
      <w:r>
        <w:t xml:space="preserve">“Reanalysis: Are Coups Good for Democracy?”</w:t>
      </w:r>
      <w:r>
        <w:t xml:space="preserve"> </w:t>
      </w:r>
      <w:r>
        <w:rPr>
          <w:iCs/>
          <w:i/>
        </w:rPr>
        <w:t xml:space="preserve">Research &amp; Politics</w:t>
      </w:r>
      <w:r>
        <w:t xml:space="preserve"> </w:t>
      </w:r>
      <w:r>
        <w:t xml:space="preserve">3 (4): 205316801668190.</w:t>
      </w:r>
      <w:r>
        <w:t xml:space="preserve"> </w:t>
      </w:r>
      <w:hyperlink r:id="rId54">
        <w:r>
          <w:rPr>
            <w:rStyle w:val="Hyperlink"/>
          </w:rPr>
          <w:t xml:space="preserve">https://doi.org/10.1177/2053168016681908</w:t>
        </w:r>
      </w:hyperlink>
      <w:r>
        <w:t xml:space="preserve">.</w:t>
      </w:r>
    </w:p>
    <w:bookmarkEnd w:id="55"/>
    <w:bookmarkStart w:id="57"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56">
        <w:r>
          <w:rPr>
            <w:rStyle w:val="Hyperlink"/>
          </w:rPr>
          <w:t xml:space="preserve">https://doi.org/10.1177/0022002712445732</w:t>
        </w:r>
      </w:hyperlink>
      <w:r>
        <w:t xml:space="preserve">.</w:t>
      </w:r>
    </w:p>
    <w:bookmarkEnd w:id="57"/>
    <w:bookmarkStart w:id="59"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8">
        <w:r>
          <w:rPr>
            <w:rStyle w:val="Hyperlink"/>
          </w:rPr>
          <w:t xml:space="preserve">https://doi.org/10.1177/0022343310397436</w:t>
        </w:r>
      </w:hyperlink>
      <w:r>
        <w:t xml:space="preserve">.</w:t>
      </w:r>
    </w:p>
    <w:bookmarkEnd w:id="59"/>
    <w:bookmarkStart w:id="61"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60">
        <w:r>
          <w:rPr>
            <w:rStyle w:val="Hyperlink"/>
          </w:rPr>
          <w:t xml:space="preserve">https://doi.org/10.1080/13510347.2018.1450389</w:t>
        </w:r>
      </w:hyperlink>
      <w:r>
        <w:t xml:space="preserve">.</w:t>
      </w:r>
    </w:p>
    <w:bookmarkEnd w:id="61"/>
    <w:bookmarkStart w:id="63" w:name="ref-quinlivan1999"/>
    <w:p>
      <w:pPr>
        <w:pStyle w:val="Bibliography"/>
      </w:pPr>
      <w:r>
        <w:t xml:space="preserve">Quinlivan, James. 1999.</w:t>
      </w:r>
      <w:r>
        <w:t xml:space="preserve"> </w:t>
      </w:r>
      <w:r>
        <w:rPr>
          <w:iCs/>
          <w:i/>
        </w:rPr>
        <w:t xml:space="preserve">Coup-Proofing: Its Practice and Consequences in the Middle East</w:t>
      </w:r>
      <w:r>
        <w:t xml:space="preserve">. MIT Press.</w:t>
      </w:r>
      <w:r>
        <w:t xml:space="preserve"> </w:t>
      </w:r>
      <w:hyperlink r:id="rId62">
        <w:r>
          <w:rPr>
            <w:rStyle w:val="Hyperlink"/>
          </w:rPr>
          <w:t xml:space="preserve">https://doi.org/10.7249/rp844</w:t>
        </w:r>
      </w:hyperlink>
      <w:r>
        <w:t xml:space="preserve">.</w:t>
      </w:r>
    </w:p>
    <w:bookmarkEnd w:id="63"/>
    <w:bookmarkStart w:id="65"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64">
        <w:r>
          <w:rPr>
            <w:rStyle w:val="Hyperlink"/>
          </w:rPr>
          <w:t xml:space="preserve">https://doi.org/10.1177/0010414016688004</w:t>
        </w:r>
      </w:hyperlink>
      <w:r>
        <w:t xml:space="preserve">.</w:t>
      </w:r>
    </w:p>
    <w:bookmarkEnd w:id="65"/>
    <w:bookmarkStart w:id="67"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66">
        <w:r>
          <w:rPr>
            <w:rStyle w:val="Hyperlink"/>
          </w:rPr>
          <w:t xml:space="preserve">https://doi.org/10.1093/oxfordhb/9780190469771.013.13</w:t>
        </w:r>
      </w:hyperlink>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2024-04-18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10.1007/s11127-013-0124-4" TargetMode="External" /><Relationship Type="http://schemas.openxmlformats.org/officeDocument/2006/relationships/hyperlink" Id="rId60" Target="https://doi.org/10.1080/13510347.2018.1450389" TargetMode="External" /><Relationship Type="http://schemas.openxmlformats.org/officeDocument/2006/relationships/hyperlink" Id="rId50" Target="https://doi.org/10.1093/oep/gpt024" TargetMode="External" /><Relationship Type="http://schemas.openxmlformats.org/officeDocument/2006/relationships/hyperlink" Id="rId45" Target="https://doi.org/10.1093/oso/9780198837404.003.0003" TargetMode="External" /><Relationship Type="http://schemas.openxmlformats.org/officeDocument/2006/relationships/hyperlink" Id="rId66" Target="https://doi.org/10.1093/oxfordhb/9780190469771.013.13" TargetMode="External" /><Relationship Type="http://schemas.openxmlformats.org/officeDocument/2006/relationships/hyperlink" Id="rId35" Target="https://doi.org/10.1093/oxfordhb/9780190469771.013.15" TargetMode="External" /><Relationship Type="http://schemas.openxmlformats.org/officeDocument/2006/relationships/hyperlink" Id="rId37" Target="https://doi.org/10.1177/0010414015621081" TargetMode="External" /><Relationship Type="http://schemas.openxmlformats.org/officeDocument/2006/relationships/hyperlink" Id="rId64" Target="https://doi.org/10.1177/0010414016688004" TargetMode="External" /><Relationship Type="http://schemas.openxmlformats.org/officeDocument/2006/relationships/hyperlink" Id="rId56" Target="https://doi.org/10.1177/0022002712445732" TargetMode="External" /><Relationship Type="http://schemas.openxmlformats.org/officeDocument/2006/relationships/hyperlink" Id="rId58" Target="https://doi.org/10.1177/0022343310397436" TargetMode="External" /><Relationship Type="http://schemas.openxmlformats.org/officeDocument/2006/relationships/hyperlink" Id="rId48" Target="https://doi.org/10.1177/0095327x9402000405" TargetMode="External" /><Relationship Type="http://schemas.openxmlformats.org/officeDocument/2006/relationships/hyperlink" Id="rId39" Target="https://doi.org/10.1177/2053168016630837" TargetMode="External" /><Relationship Type="http://schemas.openxmlformats.org/officeDocument/2006/relationships/hyperlink" Id="rId54" Target="https://doi.org/10.1177/2053168016681908" TargetMode="External" /><Relationship Type="http://schemas.openxmlformats.org/officeDocument/2006/relationships/hyperlink" Id="rId41" Target="https://doi.org/10.1177/2053168017707355" TargetMode="External" /><Relationship Type="http://schemas.openxmlformats.org/officeDocument/2006/relationships/hyperlink" Id="rId43" Target="https://doi.org/10.2139/ssrn.2851758" TargetMode="External" /><Relationship Type="http://schemas.openxmlformats.org/officeDocument/2006/relationships/hyperlink" Id="rId62" Target="https://doi.org/10.7249/rp844"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7/s11127-013-0124-4" TargetMode="External" /><Relationship Type="http://schemas.openxmlformats.org/officeDocument/2006/relationships/hyperlink" Id="rId60" Target="https://doi.org/10.1080/13510347.2018.1450389" TargetMode="External" /><Relationship Type="http://schemas.openxmlformats.org/officeDocument/2006/relationships/hyperlink" Id="rId50" Target="https://doi.org/10.1093/oep/gpt024" TargetMode="External" /><Relationship Type="http://schemas.openxmlformats.org/officeDocument/2006/relationships/hyperlink" Id="rId45" Target="https://doi.org/10.1093/oso/9780198837404.003.0003" TargetMode="External" /><Relationship Type="http://schemas.openxmlformats.org/officeDocument/2006/relationships/hyperlink" Id="rId66" Target="https://doi.org/10.1093/oxfordhb/9780190469771.013.13" TargetMode="External" /><Relationship Type="http://schemas.openxmlformats.org/officeDocument/2006/relationships/hyperlink" Id="rId35" Target="https://doi.org/10.1093/oxfordhb/9780190469771.013.15" TargetMode="External" /><Relationship Type="http://schemas.openxmlformats.org/officeDocument/2006/relationships/hyperlink" Id="rId37" Target="https://doi.org/10.1177/0010414015621081" TargetMode="External" /><Relationship Type="http://schemas.openxmlformats.org/officeDocument/2006/relationships/hyperlink" Id="rId64" Target="https://doi.org/10.1177/0010414016688004" TargetMode="External" /><Relationship Type="http://schemas.openxmlformats.org/officeDocument/2006/relationships/hyperlink" Id="rId56" Target="https://doi.org/10.1177/0022002712445732" TargetMode="External" /><Relationship Type="http://schemas.openxmlformats.org/officeDocument/2006/relationships/hyperlink" Id="rId58" Target="https://doi.org/10.1177/0022343310397436" TargetMode="External" /><Relationship Type="http://schemas.openxmlformats.org/officeDocument/2006/relationships/hyperlink" Id="rId48" Target="https://doi.org/10.1177/0095327x9402000405" TargetMode="External" /><Relationship Type="http://schemas.openxmlformats.org/officeDocument/2006/relationships/hyperlink" Id="rId39" Target="https://doi.org/10.1177/2053168016630837" TargetMode="External" /><Relationship Type="http://schemas.openxmlformats.org/officeDocument/2006/relationships/hyperlink" Id="rId54" Target="https://doi.org/10.1177/2053168016681908" TargetMode="External" /><Relationship Type="http://schemas.openxmlformats.org/officeDocument/2006/relationships/hyperlink" Id="rId41" Target="https://doi.org/10.1177/2053168017707355" TargetMode="External" /><Relationship Type="http://schemas.openxmlformats.org/officeDocument/2006/relationships/hyperlink" Id="rId43" Target="https://doi.org/10.2139/ssrn.2851758" TargetMode="External" /><Relationship Type="http://schemas.openxmlformats.org/officeDocument/2006/relationships/hyperlink" Id="rId62" Target="https://doi.org/10.7249/rp844"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2024-04-18T17:04:58Z</dcterms:created>
  <dcterms:modified xsi:type="dcterms:W3CDTF">2024-04-18T17:04:58Z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2024-04-18</vt:lpwstr>
  </property>
  <property fmtid="{D5CDD505-2E9C-101B-9397-08002B2CF9AE}" pid="11" name="date-modified">
    <vt:lpwstr>2024-04-18</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