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2024-04-14</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2023, whereas South Africa has not experienced any coup since 1950.</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analyzing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analyzing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(P.252) 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 1950,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 1950,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 3,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 5, followed by the conclusion in Part 6.</w:t>
      </w:r>
    </w:p>
    <w:bookmarkEnd w:id="23"/>
    <w:bookmarkStart w:id="26" w:name="theory"/>
    <w:p>
      <w:pPr>
        <w:pStyle w:val="Heading2"/>
      </w:pPr>
      <w:r>
        <w:t xml:space="preserve">Theory</w:t>
      </w:r>
    </w:p>
    <w:p>
      <w:pPr>
        <w:pStyle w:val="FirstParagraph"/>
      </w:pPr>
      <w:r>
        <w:t xml:space="preserve">The majority of studies on coup risks primarily focus on identifying the causes and determinants of coup attempts.</w:t>
      </w:r>
      <w:r>
        <w:t xml:space="preserve"> </w:t>
      </w:r>
      <w:r>
        <w:t xml:space="preserve">As mentioned earlier, despite the multitude of potential determinants proposed—numbering around one hundred</w:t>
      </w:r>
      <w:r>
        <w:t xml:space="preserve"> </w:t>
      </w:r>
      <w:r>
        <w:t xml:space="preserve">(Gassebner, Gutmann, and Voigt 2016)</w:t>
      </w:r>
      <w:r>
        <w:t xml:space="preserve">—only a few studies have discussed both coup attempts and coup success.</w:t>
      </w:r>
      <w:r>
        <w:t xml:space="preserve"> </w:t>
      </w:r>
      <w:r>
        <w:t xml:space="preserve">Moreover, even fewer of these studies have specifically analysed the possible deterrent effect of coup outcomes on coup attempts.</w:t>
      </w:r>
      <w:r>
        <w:t xml:space="preserve"> </w:t>
      </w:r>
      <w:r>
        <w:t xml:space="preserve">Additionally, the dynamics of power balance among various types of regimes are often overlooked in previous studies.</w:t>
      </w:r>
    </w:p>
    <w:p>
      <w:pPr>
        <w:pStyle w:val="BodyText"/>
      </w:pPr>
      <w:r>
        <w:t xml:space="preserve">Coup plotters undertake coups with the intention of achieving certain benefits.</w:t>
      </w:r>
      <w:r>
        <w:t xml:space="preserve"> </w:t>
      </w:r>
      <w:r>
        <w:t xml:space="preserve">Despite the high risks involved, if the anticipated gains from a coup outweigh the risks, plotters may still proceed with their plans.</w:t>
      </w:r>
      <w:r>
        <w:t xml:space="preserve"> </w:t>
      </w:r>
      <w:r>
        <w:t xml:space="preserve">So, how can we quantify these anticipated gains?</w:t>
      </w:r>
      <w:r>
        <w:t xml:space="preserve"> </w:t>
      </w:r>
      <w:r>
        <w:t xml:space="preserve">The commonly referenced framework for assessing the expected benefits of coup plotters has been formalized by</w:t>
      </w:r>
      <w:r>
        <w:t xml:space="preserve"> </w:t>
      </w:r>
      <w:r>
        <w:t xml:space="preserve">Leon (2013a)</w:t>
      </w:r>
      <w:r>
        <w:t xml:space="preserve"> </w:t>
      </w:r>
      <w:r>
        <w:t xml:space="preserve">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Based on these two equations,</w:t>
      </w:r>
      <w:r>
        <w:t xml:space="preserve"> </w:t>
      </w:r>
      <w:r>
        <w:t xml:space="preserve">Aidt and Leon (2019)</w:t>
      </w:r>
      <w:r>
        <w:t xml:space="preserve"> </w:t>
      </w:r>
      <w:r>
        <w:t xml:space="preserve">suggests that a coup is likely to be initiated when the anticipated benefits of a successful coup outweigh the potential costs of failure.</w:t>
      </w:r>
      <w:r>
        <w:t xml:space="preserve"> </w:t>
      </w:r>
      <w:r>
        <w:t xml:space="preserve">it raises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w:t>
      </w:r>
      <w:r>
        <w:t xml:space="preserve"> </w:t>
      </w:r>
      <w:r>
        <w:t xml:space="preserve">How can we measure the cost of losing freedom, life, even beloved family members if the coup fails.</w:t>
      </w:r>
      <w:r>
        <w:t xml:space="preserve"> </w:t>
      </w:r>
      <w:r>
        <w:t xml:space="preserve">How can we measure the value of being the leader of a country if the coup succeeds?</w:t>
      </w:r>
      <w:r>
        <w:t xml:space="preserve"> </w:t>
      </w:r>
      <w:r>
        <w:t xml:space="preserve">There is no such a market.</w:t>
      </w:r>
    </w:p>
    <w:p>
      <w:pPr>
        <w:pStyle w:val="BodyText"/>
      </w:pPr>
      <w:r>
        <w:t xml:space="preserve">As</w:t>
      </w:r>
      <w:r>
        <w:t xml:space="preserve"> </w:t>
      </w:r>
      <m:oMath>
        <m:sSub>
          <m:e>
            <m:r>
              <m:t>V</m:t>
            </m:r>
          </m:e>
          <m:sub>
            <m:r>
              <m:t>S</m:t>
            </m:r>
          </m:sub>
        </m:sSub>
      </m:oMath>
      <w:r>
        <w:t xml:space="preserve"> </w:t>
      </w:r>
      <w:r>
        <w:t xml:space="preserve">and</w:t>
      </w:r>
      <w:r>
        <w:t xml:space="preserve"> </w:t>
      </w:r>
      <m:oMath>
        <m:r>
          <m:t>C</m:t>
        </m:r>
      </m:oMath>
      <w:r>
        <w:t xml:space="preserve"> </w:t>
      </w:r>
      <w:r>
        <w:t xml:space="preserve">are impossible to measure in value, it does not mean the equations is useless.</w:t>
      </w:r>
      <w:r>
        <w:t xml:space="preserve"> </w:t>
      </w:r>
      <w:r>
        <w:t xml:space="preserve">For one thing, the underlying logic of the equation remains robust and offers a valuable framework for comprehending the decision-making dynamics of coup plotters.</w:t>
      </w:r>
      <w:r>
        <w:t xml:space="preserve"> </w:t>
      </w:r>
      <w:r>
        <w:t xml:space="preserve">For the other, there is no need to measure how much</w:t>
      </w:r>
      <w:r>
        <w:t xml:space="preserve"> </w:t>
      </w:r>
      <m:oMath>
        <m:sSub>
          <m:e>
            <m:r>
              <m:t>V</m:t>
            </m:r>
          </m:e>
          <m:sub>
            <m:r>
              <m:t>S</m:t>
            </m:r>
          </m:sub>
        </m:sSub>
      </m:oMath>
      <w:r>
        <w:t xml:space="preserve"> </w:t>
      </w:r>
      <w:r>
        <w:t xml:space="preserve">and</w:t>
      </w:r>
      <w:r>
        <w:t xml:space="preserve"> </w:t>
      </w:r>
      <m:oMath>
        <m:r>
          <m:t>C</m:t>
        </m:r>
      </m:oMath>
      <w:r>
        <w:t xml:space="preserve"> </w:t>
      </w:r>
      <w:r>
        <w:t xml:space="preserve">are in exact value.</w:t>
      </w:r>
      <w:r>
        <w:t xml:space="preserve"> </w:t>
      </w:r>
      <w:r>
        <w:t xml:space="preserve">One thing is for sure: both are priceless and we can take them rough equal.</w:t>
      </w:r>
      <w:r>
        <w:t xml:space="preserve"> </w:t>
      </w:r>
      <w:r>
        <w:t xml:space="preserve">Furthermore, coup plotters are motivated by more than just economic gains or losses.</w:t>
      </w:r>
      <w:r>
        <w:t xml:space="preserve"> </w:t>
      </w:r>
      <w:r>
        <w:t xml:space="preserve">Which means, coup plotters would not care much about</w:t>
      </w:r>
      <w:r>
        <w:t xml:space="preserve"> </w:t>
      </w:r>
      <m:oMath>
        <m:sSub>
          <m:e>
            <m:r>
              <m:t>V</m:t>
            </m:r>
          </m:e>
          <m:sub>
            <m:r>
              <m:t>S</m:t>
            </m:r>
          </m:sub>
        </m:sSub>
      </m:oMath>
      <w:r>
        <w:t xml:space="preserve"> </w:t>
      </w:r>
      <w:r>
        <w:t xml:space="preserve">or</w:t>
      </w:r>
      <w:r>
        <w:t xml:space="preserve"> </w:t>
      </w:r>
      <m:oMath>
        <m:r>
          <m:t>C</m:t>
        </m:r>
      </m:oMath>
      <w:r>
        <w:t xml:space="preserve">.</w:t>
      </w:r>
      <w:r>
        <w:t xml:space="preserve"> </w:t>
      </w:r>
      <w:r>
        <w:t xml:space="preserve">As long as the coup succeeds, they win.</w:t>
      </w:r>
      <w:r>
        <w:t xml:space="preserve"> </w:t>
      </w:r>
      <w:r>
        <w:t xml:space="preserve">This implies that in</w:t>
      </w:r>
      <w:r>
        <w:t xml:space="preserve"> </w:t>
      </w:r>
      <w:hyperlink w:anchor="eq-eq2">
        <w:r>
          <w:rPr>
            <w:rStyle w:val="Hyperlink"/>
          </w:rPr>
          <w:t xml:space="preserve">Equation 2</w:t>
        </w:r>
      </w:hyperlink>
      <w:r>
        <w:t xml:space="preserve">,</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ignored.</w:t>
      </w:r>
      <w:r>
        <w:t xml:space="preserve"> </w:t>
      </w:r>
      <w:r>
        <w:t xml:space="preserve">The factor that only matters is the probability of success of the coup.</w:t>
      </w:r>
    </w:p>
    <w:p>
      <w:pPr>
        <w:pStyle w:val="BodyText"/>
      </w:pPr>
      <w:r>
        <w:t xml:space="preserve">Drawing from these equations,</w:t>
      </w:r>
      <w:r>
        <w:t xml:space="preserve"> </w:t>
      </w:r>
      <w:r>
        <w:t xml:space="preserve">Aidt and Leon (2019)</w:t>
      </w:r>
      <w:r>
        <w:t xml:space="preserve"> </w:t>
      </w:r>
      <w:r>
        <w:t xml:space="preserve">suggests that the decision to initiate a coup hinges on whether the expected benefits of a successful coup outweigh the potential costs of failure.</w:t>
      </w:r>
      <w:r>
        <w:t xml:space="preserve"> </w:t>
      </w:r>
      <w:r>
        <w:t xml:space="preserve">However, quantifying the values of</w:t>
      </w:r>
      <w:r>
        <w:t xml:space="preserve"> </w:t>
      </w:r>
      <m:oMath>
        <m:sSub>
          <m:e>
            <m:r>
              <m:t>V</m:t>
            </m:r>
          </m:e>
          <m:sub>
            <m:r>
              <m:t>S</m:t>
            </m:r>
          </m:sub>
        </m:sSub>
      </m:oMath>
      <w:r>
        <w:t xml:space="preserve"> </w:t>
      </w:r>
      <w:r>
        <w:t xml:space="preserve">and</w:t>
      </w:r>
      <w:r>
        <w:t xml:space="preserve"> </w:t>
      </w:r>
      <m:oMath>
        <m:r>
          <m:t>C</m:t>
        </m:r>
      </m:oMath>
      <w:r>
        <w:t xml:space="preserve"> </w:t>
      </w:r>
      <w:r>
        <w:t xml:space="preserve">presents practical challenges, as they are not possibly measurable in real-world terms.</w:t>
      </w:r>
      <w:r>
        <w:t xml:space="preserve"> </w:t>
      </w:r>
      <w:r>
        <w:t xml:space="preserve">How can one measure the cost of losing freedom, life, or even beloved family members if a coup fails?</w:t>
      </w:r>
      <w:r>
        <w:t xml:space="preserve"> </w:t>
      </w:r>
      <w:r>
        <w:t xml:space="preserve">Similarly, how can the value of assuming leadership of a country be quantified if the coup succeeds?</w:t>
      </w:r>
      <w:r>
        <w:t xml:space="preserve"> </w:t>
      </w:r>
      <w:r>
        <w:t xml:space="preserve">These are not commodities that can be traded in a market.</w:t>
      </w:r>
    </w:p>
    <w:p>
      <w:pPr>
        <w:pStyle w:val="BodyText"/>
      </w:pPr>
      <w:r>
        <w:t xml:space="preserve">While</w:t>
      </w:r>
      <w:r>
        <w:t xml:space="preserve"> </w:t>
      </w:r>
      <m:oMath>
        <m:sSub>
          <m:e>
            <m:r>
              <m:t>V</m:t>
            </m:r>
          </m:e>
          <m:sub>
            <m:r>
              <m:t>S</m:t>
            </m:r>
          </m:sub>
        </m:sSub>
      </m:oMath>
      <w:r>
        <w:t xml:space="preserve"> </w:t>
      </w:r>
      <w:r>
        <w:t xml:space="preserve">and</w:t>
      </w:r>
      <w:r>
        <w:t xml:space="preserve"> </w:t>
      </w:r>
      <m:oMath>
        <m:r>
          <m:t>C</m:t>
        </m:r>
      </m:oMath>
      <w:r>
        <w:t xml:space="preserve"> </w:t>
      </w:r>
      <w:r>
        <w:t xml:space="preserve">may be impossible to measure in precise terms, this does not render the equations useless.</w:t>
      </w:r>
      <w:r>
        <w:t xml:space="preserve"> </w:t>
      </w:r>
      <w:r>
        <w:t xml:space="preserve">Firstly, the underlying logic of the equations remains robust and provides a valuable framework for understanding the decision-making process of coup plotters.</w:t>
      </w:r>
      <w:r>
        <w:t xml:space="preserve"> </w:t>
      </w:r>
      <w:r>
        <w:t xml:space="preserve">Secondly, there is no need for precise measurements of</w:t>
      </w:r>
      <w:r>
        <w:t xml:space="preserve"> </w:t>
      </w:r>
      <m:oMath>
        <m:sSub>
          <m:e>
            <m:r>
              <m:t>V</m:t>
            </m:r>
          </m:e>
          <m:sub>
            <m:r>
              <m:t>S</m:t>
            </m:r>
          </m:sub>
        </m:sSub>
      </m:oMath>
      <w:r>
        <w:t xml:space="preserve"> </w:t>
      </w:r>
      <w:r>
        <w:t xml:space="preserve">and</w:t>
      </w:r>
      <w:r>
        <w:t xml:space="preserve"> </w:t>
      </w:r>
      <m:oMath>
        <m:r>
          <m:t>C</m:t>
        </m:r>
      </m:oMath>
      <w:r>
        <w:t xml:space="preserve">.</w:t>
      </w:r>
      <w:r>
        <w:t xml:space="preserve"> </w:t>
      </w:r>
      <w:r>
        <w:t xml:space="preserve">It is sufficient to consider them as invaluable, with both potentially considered roughly equal.</w:t>
      </w:r>
      <w:r>
        <w:t xml:space="preserve"> </w:t>
      </w:r>
      <w:r>
        <w:t xml:space="preserve">Additionally, coup plotters are driven by factors beyond mere economic gains or losses.</w:t>
      </w:r>
      <w:r>
        <w:t xml:space="preserve"> </w:t>
      </w:r>
      <w:r>
        <w:t xml:space="preserve">As long as the coup succeeds, they win anyway.</w:t>
      </w:r>
      <w:r>
        <w:t xml:space="preserve"> </w:t>
      </w:r>
      <w:r>
        <w:t xml:space="preserve">This suggests that in</w:t>
      </w:r>
      <w:r>
        <w:t xml:space="preserve"> </w:t>
      </w:r>
      <w:hyperlink w:anchor="eq-eq2">
        <w:r>
          <w:rPr>
            <w:rStyle w:val="Hyperlink"/>
          </w:rPr>
          <w:t xml:space="preserve">Equation 2</w:t>
        </w:r>
      </w:hyperlink>
      <w:r>
        <w:t xml:space="preserve">, the values of</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disregarded, and the focus can solely be on the probability of the coup’s success.</w:t>
      </w:r>
    </w:p>
    <w:p>
      <w:pPr>
        <w:pStyle w:val="BodyText"/>
      </w:pPr>
      <w:r>
        <w:t xml:space="preserve">There are three dimensions when we analyse coup outcomes.</w:t>
      </w:r>
      <w:r>
        <w:t xml:space="preserve"> </w:t>
      </w:r>
      <w:r>
        <w:t xml:space="preserve">The first dimension is straightforward: why some coups succeed while others fail</w:t>
      </w:r>
      <w:r>
        <w:t xml:space="preserve"> </w:t>
      </w:r>
      <w:r>
        <w:t xml:space="preserve">(Quinlivan 1999; Kebschull 1994)</w:t>
      </w:r>
      <w:r>
        <w:t xml:space="preserve">.</w:t>
      </w:r>
      <w:r>
        <w:t xml:space="preserve"> </w:t>
      </w:r>
      <w:r>
        <w:t xml:space="preserve">The second dimension focuses on the potential influences: what happens after failed coups and successful coups.</w:t>
      </w:r>
      <w:r>
        <w:t xml:space="preserve"> </w:t>
      </w:r>
      <w:r>
        <w:t xml:space="preserve">In particular, whether it helps the shifts towards democracy following successful coups.</w:t>
      </w:r>
      <w:r>
        <w:t xml:space="preserve"> </w:t>
      </w:r>
      <w:r>
        <w:t xml:space="preserve">This debate is exemplified by the arguments between Michael Miller</w:t>
      </w:r>
      <w:r>
        <w:t xml:space="preserve"> </w:t>
      </w:r>
      <w:r>
        <w:t xml:space="preserve">(Miller 2016)</w:t>
      </w:r>
      <w:r>
        <w:t xml:space="preserve"> </w:t>
      </w:r>
      <w:r>
        <w:t xml:space="preserve">and Derpanopoulos, Frantz &amp; Gedde</w:t>
      </w:r>
      <w:r>
        <w:t xml:space="preserve"> </w:t>
      </w:r>
      <w:r>
        <w:t xml:space="preserve">(Derpanopoulos et al. 2016, 2017)</w:t>
      </w:r>
      <w:r>
        <w:t xml:space="preserve">.</w:t>
      </w:r>
      <w:r>
        <w:t xml:space="preserve"> </w:t>
      </w:r>
      <w:r>
        <w:t xml:space="preserve">However, the third dimension, which explores how the expected success of coups influences coup attempts, remains underexplored.</w:t>
      </w:r>
    </w:p>
    <w:p>
      <w:pPr>
        <w:pStyle w:val="BodyText"/>
      </w:pPr>
      <w:r>
        <w:t xml:space="preserve">Among the limited discussions on the influence of coup success on coup attempts,</w:t>
      </w:r>
      <w:r>
        <w:t xml:space="preserve"> </w:t>
      </w:r>
      <w:r>
        <w:t xml:space="preserve">J. Powell (2012)</w:t>
      </w:r>
      <w:r>
        <w:t xml:space="preserve"> </w:t>
      </w:r>
      <w:r>
        <w:t xml:space="preserve">utilizes a selection model with global data spanning 1961 to 2000.</w:t>
      </w:r>
      <w:r>
        <w:t xml:space="preserve"> </w:t>
      </w:r>
      <w:r>
        <w:t xml:space="preserve">Powell’s findings suggest that coup-proofing strategies, such as balancing and providing resources to the military, reduce the likelihood of coups but increase their chances of success.</w:t>
      </w:r>
    </w:p>
    <w:p>
      <w:pPr>
        <w:pStyle w:val="BodyText"/>
      </w:pPr>
      <w:r>
        <w:t xml:space="preserve">However, few of the aforementioned studies have explored the interdependence between coup attempts and coup success.</w:t>
      </w:r>
      <w:r>
        <w:t xml:space="preserve"> </w:t>
      </w:r>
      <w:r>
        <w:t xml:space="preserve">In other words, as demonstrated in</w:t>
      </w:r>
      <w:r>
        <w:t xml:space="preserve"> </w:t>
      </w:r>
      <w:hyperlink w:anchor="eq-eq1">
        <w:r>
          <w:rPr>
            <w:rStyle w:val="Hyperlink"/>
          </w:rPr>
          <w:t xml:space="preserve">Equation 1</w:t>
        </w:r>
      </w:hyperlink>
      <w:r>
        <w:t xml:space="preserve"> </w:t>
      </w:r>
      <w:r>
        <w:t xml:space="preserve">and</w:t>
      </w:r>
      <w:r>
        <w:t xml:space="preserve"> </w:t>
      </w:r>
      <w:hyperlink w:anchor="eq-eq2">
        <w:r>
          <w:rPr>
            <w:rStyle w:val="Hyperlink"/>
          </w:rPr>
          <w:t xml:space="preserve">Equation 2</w:t>
        </w:r>
      </w:hyperlink>
      <w:r>
        <w:t xml:space="preserve">, they do not consider the likelihood of coup success as a primary determinant of coup attempts.</w:t>
      </w:r>
    </w:p>
    <w:p>
      <w:pPr>
        <w:pStyle w:val="BodyText"/>
      </w:pPr>
      <w:r>
        <w:t xml:space="preserve">If the likelihood of coup success is predetermined, what factors influence or potentially determine the success rates of coups?</w:t>
      </w:r>
      <w:r>
        <w:t xml:space="preserve"> </w:t>
      </w:r>
      <w:r>
        <w:t xml:space="preserve">Much attention is understandably given to military strength, as it is believed that the control of military forces often determines the success of coups.</w:t>
      </w:r>
      <w:r>
        <w:t xml:space="preserve"> </w:t>
      </w:r>
      <w:r>
        <w:t xml:space="preserve">Consequently, coup-proofing strategies are designed to either decrease the inclination of military forces to stage coups or to erect barriers that impede their success.</w:t>
      </w:r>
      <w:r>
        <w:t xml:space="preserve"> </w:t>
      </w:r>
      <w:r>
        <w:t xml:space="preserve">For instance, studies by</w:t>
      </w:r>
      <w:r>
        <w:t xml:space="preserve"> </w:t>
      </w:r>
      <w:r>
        <w:t xml:space="preserve">Leon (2013b)</w:t>
      </w:r>
      <w:r>
        <w:t xml:space="preserve"> </w:t>
      </w:r>
      <w:r>
        <w:t xml:space="preserve">suggest that coups are more probable in nations where military spending as a percentage of GDP is low.</w:t>
      </w:r>
      <w:r>
        <w:t xml:space="preserve"> </w:t>
      </w:r>
      <w:r>
        <w:t xml:space="preserve">J. Powell et al. (2018)</w:t>
      </w:r>
      <w:r>
        <w:t xml:space="preserve"> </w:t>
      </w:r>
      <w:r>
        <w:t xml:space="preserve">also argue that increased military expenditures may decrease the propensity for coups among military factions.</w:t>
      </w:r>
      <w:r>
        <w:t xml:space="preserve"> </w:t>
      </w:r>
      <w:r>
        <w:t xml:space="preserve">However, as</w:t>
      </w:r>
      <w:r>
        <w:t xml:space="preserve"> </w:t>
      </w:r>
      <w:r>
        <w:t xml:space="preserve">J. Powell (2012)</w:t>
      </w:r>
      <w:r>
        <w:t xml:space="preserve"> </w:t>
      </w:r>
      <w:r>
        <w:t xml:space="preserve">posits, while measures aimed at pacifying the military may diminish the likelihood of a coup being attempted, greater military resources may simultaneously enhance the probability of a coup’s success.</w:t>
      </w:r>
    </w:p>
    <w:p>
      <w:pPr>
        <w:pStyle w:val="BodyText"/>
      </w:pPr>
      <w:r>
        <w:t xml:space="preserve">In addition to military factors, research delves into other determinants as well.</w:t>
      </w:r>
      <w:r>
        <w:t xml:space="preserve"> </w:t>
      </w:r>
      <w:r>
        <w:t xml:space="preserve">For instance,</w:t>
      </w:r>
      <w:r>
        <w:t xml:space="preserve"> </w:t>
      </w:r>
      <w:r>
        <w:t xml:space="preserve">Bell (2016)</w:t>
      </w:r>
      <w:r>
        <w:t xml:space="preserve"> </w:t>
      </w:r>
      <w:r>
        <w:t xml:space="preserve">contends that democracies are less susceptible to coups, yet coup attempts against democracies are more likely to succeed.</w:t>
      </w:r>
    </w:p>
    <w:bookmarkEnd w:id="26"/>
    <w:bookmarkStart w:id="27" w:name="research-framework-and-hypotheses"/>
    <w:p>
      <w:pPr>
        <w:pStyle w:val="Heading2"/>
      </w:pPr>
      <w:r>
        <w:t xml:space="preserve">Research Framework and Hypotheses</w:t>
      </w:r>
    </w:p>
    <w:bookmarkEnd w:id="27"/>
    <w:bookmarkStart w:id="28" w:name="data-and-variables"/>
    <w:p>
      <w:pPr>
        <w:pStyle w:val="Heading2"/>
      </w:pPr>
      <w:r>
        <w:t xml:space="preserve">Data and Variables</w:t>
      </w:r>
    </w:p>
    <w:bookmarkEnd w:id="28"/>
    <w:bookmarkStart w:id="29" w:name="results-and-discussion"/>
    <w:p>
      <w:pPr>
        <w:pStyle w:val="Heading2"/>
      </w:pPr>
      <w:r>
        <w:t xml:space="preserve">Results and Discussion</w:t>
      </w:r>
    </w:p>
    <w:bookmarkEnd w:id="29"/>
    <w:bookmarkStart w:id="57" w:name="conclusion"/>
    <w:p>
      <w:pPr>
        <w:pStyle w:val="Heading2"/>
      </w:pPr>
      <w:r>
        <w:t xml:space="preserve">Conclusion</w:t>
      </w:r>
    </w:p>
    <w:bookmarkStart w:id="56" w:name="refs"/>
    <w:bookmarkStart w:id="31"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0">
        <w:r>
          <w:rPr>
            <w:rStyle w:val="Hyperlink"/>
          </w:rPr>
          <w:t xml:space="preserve">https://doi.org/10.1093/oxfordhb/9780190469771.013.15</w:t>
        </w:r>
      </w:hyperlink>
      <w:r>
        <w:t xml:space="preserve">.</w:t>
      </w:r>
    </w:p>
    <w:bookmarkEnd w:id="31"/>
    <w:bookmarkStart w:id="33" w:name="ref-bell2016"/>
    <w:p>
      <w:pPr>
        <w:pStyle w:val="Bibliography"/>
      </w:pPr>
      <w:r>
        <w:t xml:space="preserve">Bell, Curtis. 2016.</w:t>
      </w:r>
      <w:r>
        <w:t xml:space="preserve"> </w:t>
      </w:r>
      <w:r>
        <w:t xml:space="preserve">“Coup d</w:t>
      </w:r>
      <w:r>
        <w:t xml:space="preserve">’</w:t>
      </w:r>
      <w:r>
        <w:t xml:space="preserve">État and Democracy.”</w:t>
      </w:r>
      <w:r>
        <w:t xml:space="preserve"> </w:t>
      </w:r>
      <w:r>
        <w:rPr>
          <w:iCs/>
          <w:i/>
        </w:rPr>
        <w:t xml:space="preserve">Comparative Political Studies</w:t>
      </w:r>
      <w:r>
        <w:t xml:space="preserve"> </w:t>
      </w:r>
      <w:r>
        <w:t xml:space="preserve">49 (9): 1167–1200.</w:t>
      </w:r>
      <w:r>
        <w:t xml:space="preserve"> </w:t>
      </w:r>
      <w:hyperlink r:id="rId32">
        <w:r>
          <w:rPr>
            <w:rStyle w:val="Hyperlink"/>
          </w:rPr>
          <w:t xml:space="preserve">https://doi.org/10.1177/0010414015621081</w:t>
        </w:r>
      </w:hyperlink>
      <w:r>
        <w:t xml:space="preserve">.</w:t>
      </w:r>
    </w:p>
    <w:bookmarkEnd w:id="33"/>
    <w:bookmarkStart w:id="35" w:name="ref-derpanopoulos2016"/>
    <w:p>
      <w:pPr>
        <w:pStyle w:val="Bibliography"/>
      </w:pPr>
      <w:r>
        <w:t xml:space="preserve">Derpanopoulos, George, Erica Frantz, Barbara Geddes, and Joseph Wright. 2016.</w:t>
      </w:r>
      <w:r>
        <w:t xml:space="preserve"> </w:t>
      </w:r>
      <w:r>
        <w:t xml:space="preserve">“Are Coups Good for Democracy?”</w:t>
      </w:r>
      <w:r>
        <w:t xml:space="preserve"> </w:t>
      </w:r>
      <w:r>
        <w:rPr>
          <w:iCs/>
          <w:i/>
        </w:rPr>
        <w:t xml:space="preserve">Research &amp; Politics</w:t>
      </w:r>
      <w:r>
        <w:t xml:space="preserve"> </w:t>
      </w:r>
      <w:r>
        <w:t xml:space="preserve">3 (1): 205316801663083.</w:t>
      </w:r>
      <w:r>
        <w:t xml:space="preserve"> </w:t>
      </w:r>
      <w:hyperlink r:id="rId34">
        <w:r>
          <w:rPr>
            <w:rStyle w:val="Hyperlink"/>
          </w:rPr>
          <w:t xml:space="preserve">https://doi.org/10.1177/2053168016630837</w:t>
        </w:r>
      </w:hyperlink>
      <w:r>
        <w:t xml:space="preserve">.</w:t>
      </w:r>
    </w:p>
    <w:bookmarkEnd w:id="35"/>
    <w:bookmarkStart w:id="37" w:name="ref-derpanopoulos2017"/>
    <w:p>
      <w:pPr>
        <w:pStyle w:val="Bibliography"/>
      </w:pPr>
      <w:r>
        <w:t xml:space="preserve">———. 2017.</w:t>
      </w:r>
      <w:r>
        <w:t xml:space="preserve"> </w:t>
      </w:r>
      <w:r>
        <w:t xml:space="preserve">“Are Coups Good for Democracy? A Response to Miller (2016).”</w:t>
      </w:r>
      <w:r>
        <w:t xml:space="preserve"> </w:t>
      </w:r>
      <w:r>
        <w:rPr>
          <w:iCs/>
          <w:i/>
        </w:rPr>
        <w:t xml:space="preserve">Research &amp; Politics</w:t>
      </w:r>
      <w:r>
        <w:t xml:space="preserve"> </w:t>
      </w:r>
      <w:r>
        <w:t xml:space="preserve">4 (2): 205316801770735.</w:t>
      </w:r>
      <w:r>
        <w:t xml:space="preserve"> </w:t>
      </w:r>
      <w:hyperlink r:id="rId36">
        <w:r>
          <w:rPr>
            <w:rStyle w:val="Hyperlink"/>
          </w:rPr>
          <w:t xml:space="preserve">https://doi.org/10.1177/2053168017707355</w:t>
        </w:r>
      </w:hyperlink>
      <w:r>
        <w:t xml:space="preserve">.</w:t>
      </w:r>
    </w:p>
    <w:bookmarkEnd w:id="37"/>
    <w:bookmarkStart w:id="39"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8">
        <w:r>
          <w:rPr>
            <w:rStyle w:val="Hyperlink"/>
          </w:rPr>
          <w:t xml:space="preserve">https://doi.org/10.2139/ssrn.2851758</w:t>
        </w:r>
      </w:hyperlink>
      <w:r>
        <w:t xml:space="preserve">.</w:t>
      </w:r>
    </w:p>
    <w:bookmarkEnd w:id="39"/>
    <w:bookmarkStart w:id="41" w:name="ref-kebschull1994"/>
    <w:p>
      <w:pPr>
        <w:pStyle w:val="Bibliography"/>
      </w:pPr>
      <w:r>
        <w:t xml:space="preserve">Kebschull, Harvey G. 1994.</w:t>
      </w:r>
      <w:r>
        <w:t xml:space="preserve"> </w:t>
      </w:r>
      <w:r>
        <w:t xml:space="preserve">“Operation</w:t>
      </w:r>
      <w:r>
        <w:t xml:space="preserve"> </w:t>
      </w:r>
      <w:r>
        <w:t xml:space="preserve">"</w:t>
      </w:r>
      <w:r>
        <w:t xml:space="preserve">Just Missed</w:t>
      </w:r>
      <w:r>
        <w:t xml:space="preserve">"</w:t>
      </w:r>
      <w:r>
        <w:t xml:space="preserve">: Lessons From Failed Coup Attempts.”</w:t>
      </w:r>
      <w:r>
        <w:t xml:space="preserve"> </w:t>
      </w:r>
      <w:r>
        <w:rPr>
          <w:iCs/>
          <w:i/>
        </w:rPr>
        <w:t xml:space="preserve">Armed Forces &amp; Society</w:t>
      </w:r>
      <w:r>
        <w:t xml:space="preserve"> </w:t>
      </w:r>
      <w:r>
        <w:t xml:space="preserve">20 (4): 565–79.</w:t>
      </w:r>
      <w:r>
        <w:t xml:space="preserve"> </w:t>
      </w:r>
      <w:hyperlink r:id="rId40">
        <w:r>
          <w:rPr>
            <w:rStyle w:val="Hyperlink"/>
          </w:rPr>
          <w:t xml:space="preserve">https://doi.org/10.1177/0095327x9402000405</w:t>
        </w:r>
      </w:hyperlink>
      <w:r>
        <w:t xml:space="preserve">.</w:t>
      </w:r>
    </w:p>
    <w:bookmarkEnd w:id="41"/>
    <w:bookmarkStart w:id="43"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2">
        <w:r>
          <w:rPr>
            <w:rStyle w:val="Hyperlink"/>
          </w:rPr>
          <w:t xml:space="preserve">https://doi.org/10.1093/oep/gpt024</w:t>
        </w:r>
      </w:hyperlink>
      <w:r>
        <w:t xml:space="preserve">.</w:t>
      </w:r>
    </w:p>
    <w:bookmarkEnd w:id="43"/>
    <w:bookmarkStart w:id="45"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44">
        <w:r>
          <w:rPr>
            <w:rStyle w:val="Hyperlink"/>
          </w:rPr>
          <w:t xml:space="preserve">https://doi.org/10.1007/s11127-013-0124-4</w:t>
        </w:r>
      </w:hyperlink>
      <w:r>
        <w:t xml:space="preserve">.</w:t>
      </w:r>
    </w:p>
    <w:bookmarkEnd w:id="45"/>
    <w:bookmarkStart w:id="47" w:name="ref-miller2016"/>
    <w:p>
      <w:pPr>
        <w:pStyle w:val="Bibliography"/>
      </w:pPr>
      <w:r>
        <w:t xml:space="preserve">Miller, Michael K. 2016.</w:t>
      </w:r>
      <w:r>
        <w:t xml:space="preserve"> </w:t>
      </w:r>
      <w:r>
        <w:t xml:space="preserve">“Reanalysis: Are Coups Good for Democracy?”</w:t>
      </w:r>
      <w:r>
        <w:t xml:space="preserve"> </w:t>
      </w:r>
      <w:r>
        <w:rPr>
          <w:iCs/>
          <w:i/>
        </w:rPr>
        <w:t xml:space="preserve">Research &amp; Politics</w:t>
      </w:r>
      <w:r>
        <w:t xml:space="preserve"> </w:t>
      </w:r>
      <w:r>
        <w:t xml:space="preserve">3 (4): 205316801668190.</w:t>
      </w:r>
      <w:r>
        <w:t xml:space="preserve"> </w:t>
      </w:r>
      <w:hyperlink r:id="rId46">
        <w:r>
          <w:rPr>
            <w:rStyle w:val="Hyperlink"/>
          </w:rPr>
          <w:t xml:space="preserve">https://doi.org/10.1177/2053168016681908</w:t>
        </w:r>
      </w:hyperlink>
      <w:r>
        <w:t xml:space="preserve">.</w:t>
      </w:r>
    </w:p>
    <w:bookmarkEnd w:id="47"/>
    <w:bookmarkStart w:id="49"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48">
        <w:r>
          <w:rPr>
            <w:rStyle w:val="Hyperlink"/>
          </w:rPr>
          <w:t xml:space="preserve">https://doi.org/10.1177/0022002712445732</w:t>
        </w:r>
      </w:hyperlink>
      <w:r>
        <w:t xml:space="preserve">.</w:t>
      </w:r>
    </w:p>
    <w:bookmarkEnd w:id="49"/>
    <w:bookmarkStart w:id="51"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0">
        <w:r>
          <w:rPr>
            <w:rStyle w:val="Hyperlink"/>
          </w:rPr>
          <w:t xml:space="preserve">https://doi.org/10.1177/0022343310397436</w:t>
        </w:r>
      </w:hyperlink>
      <w:r>
        <w:t xml:space="preserve">.</w:t>
      </w:r>
    </w:p>
    <w:bookmarkEnd w:id="51"/>
    <w:bookmarkStart w:id="53"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2">
        <w:r>
          <w:rPr>
            <w:rStyle w:val="Hyperlink"/>
          </w:rPr>
          <w:t xml:space="preserve">https://doi.org/10.1080/13510347.2018.1450389</w:t>
        </w:r>
      </w:hyperlink>
      <w:r>
        <w:t xml:space="preserve">.</w:t>
      </w:r>
    </w:p>
    <w:bookmarkEnd w:id="53"/>
    <w:bookmarkStart w:id="55" w:name="ref-quinlivan1999"/>
    <w:p>
      <w:pPr>
        <w:pStyle w:val="Bibliography"/>
      </w:pPr>
      <w:r>
        <w:t xml:space="preserve">Quinlivan, James. 1999.</w:t>
      </w:r>
      <w:r>
        <w:t xml:space="preserve"> </w:t>
      </w:r>
      <w:r>
        <w:rPr>
          <w:iCs/>
          <w:i/>
        </w:rPr>
        <w:t xml:space="preserve">Coup-Proofing: Its Practice and Consequences in the Middle East</w:t>
      </w:r>
      <w:r>
        <w:t xml:space="preserve">. MIT Press.</w:t>
      </w:r>
      <w:r>
        <w:t xml:space="preserve"> </w:t>
      </w:r>
      <w:hyperlink r:id="rId54">
        <w:r>
          <w:rPr>
            <w:rStyle w:val="Hyperlink"/>
          </w:rPr>
          <w:t xml:space="preserve">https://doi.org/10.7249/rp844</w:t>
        </w:r>
      </w:hyperlink>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07/s11127-013-0124-4" TargetMode="External" /><Relationship Type="http://schemas.openxmlformats.org/officeDocument/2006/relationships/hyperlink" Id="rId52" Target="https://doi.org/10.1080/13510347.2018.1450389" TargetMode="External" /><Relationship Type="http://schemas.openxmlformats.org/officeDocument/2006/relationships/hyperlink" Id="rId42" Target="https://doi.org/10.1093/oep/gpt024" TargetMode="External" /><Relationship Type="http://schemas.openxmlformats.org/officeDocument/2006/relationships/hyperlink" Id="rId30" Target="https://doi.org/10.1093/oxfordhb/9780190469771.013.15" TargetMode="External" /><Relationship Type="http://schemas.openxmlformats.org/officeDocument/2006/relationships/hyperlink" Id="rId32" Target="https://doi.org/10.1177/0010414015621081" TargetMode="External" /><Relationship Type="http://schemas.openxmlformats.org/officeDocument/2006/relationships/hyperlink" Id="rId48" Target="https://doi.org/10.1177/0022002712445732" TargetMode="External" /><Relationship Type="http://schemas.openxmlformats.org/officeDocument/2006/relationships/hyperlink" Id="rId50" Target="https://doi.org/10.1177/0022343310397436" TargetMode="External" /><Relationship Type="http://schemas.openxmlformats.org/officeDocument/2006/relationships/hyperlink" Id="rId40" Target="https://doi.org/10.1177/0095327x9402000405" TargetMode="External" /><Relationship Type="http://schemas.openxmlformats.org/officeDocument/2006/relationships/hyperlink" Id="rId34" Target="https://doi.org/10.1177/2053168016630837" TargetMode="External" /><Relationship Type="http://schemas.openxmlformats.org/officeDocument/2006/relationships/hyperlink" Id="rId46" Target="https://doi.org/10.1177/2053168016681908" TargetMode="External" /><Relationship Type="http://schemas.openxmlformats.org/officeDocument/2006/relationships/hyperlink" Id="rId36" Target="https://doi.org/10.1177/2053168017707355" TargetMode="External" /><Relationship Type="http://schemas.openxmlformats.org/officeDocument/2006/relationships/hyperlink" Id="rId38" Target="https://doi.org/10.2139/ssrn.2851758" TargetMode="External" /><Relationship Type="http://schemas.openxmlformats.org/officeDocument/2006/relationships/hyperlink" Id="rId54" Target="https://doi.org/10.7249/rp844"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7/s11127-013-0124-4" TargetMode="External" /><Relationship Type="http://schemas.openxmlformats.org/officeDocument/2006/relationships/hyperlink" Id="rId52" Target="https://doi.org/10.1080/13510347.2018.1450389" TargetMode="External" /><Relationship Type="http://schemas.openxmlformats.org/officeDocument/2006/relationships/hyperlink" Id="rId42" Target="https://doi.org/10.1093/oep/gpt024" TargetMode="External" /><Relationship Type="http://schemas.openxmlformats.org/officeDocument/2006/relationships/hyperlink" Id="rId30" Target="https://doi.org/10.1093/oxfordhb/9780190469771.013.15" TargetMode="External" /><Relationship Type="http://schemas.openxmlformats.org/officeDocument/2006/relationships/hyperlink" Id="rId32" Target="https://doi.org/10.1177/0010414015621081" TargetMode="External" /><Relationship Type="http://schemas.openxmlformats.org/officeDocument/2006/relationships/hyperlink" Id="rId48" Target="https://doi.org/10.1177/0022002712445732" TargetMode="External" /><Relationship Type="http://schemas.openxmlformats.org/officeDocument/2006/relationships/hyperlink" Id="rId50" Target="https://doi.org/10.1177/0022343310397436" TargetMode="External" /><Relationship Type="http://schemas.openxmlformats.org/officeDocument/2006/relationships/hyperlink" Id="rId40" Target="https://doi.org/10.1177/0095327x9402000405" TargetMode="External" /><Relationship Type="http://schemas.openxmlformats.org/officeDocument/2006/relationships/hyperlink" Id="rId34" Target="https://doi.org/10.1177/2053168016630837" TargetMode="External" /><Relationship Type="http://schemas.openxmlformats.org/officeDocument/2006/relationships/hyperlink" Id="rId46" Target="https://doi.org/10.1177/2053168016681908" TargetMode="External" /><Relationship Type="http://schemas.openxmlformats.org/officeDocument/2006/relationships/hyperlink" Id="rId36" Target="https://doi.org/10.1177/2053168017707355" TargetMode="External" /><Relationship Type="http://schemas.openxmlformats.org/officeDocument/2006/relationships/hyperlink" Id="rId38" Target="https://doi.org/10.2139/ssrn.2851758" TargetMode="External" /><Relationship Type="http://schemas.openxmlformats.org/officeDocument/2006/relationships/hyperlink" Id="rId54" Target="https://doi.org/10.7249/rp844"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2024-04-14T17:28:26Z</dcterms:created>
  <dcterms:modified xsi:type="dcterms:W3CDTF">2024-04-14T17:28:26Z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2024-04-14</vt:lpwstr>
  </property>
  <property fmtid="{D5CDD505-2E9C-101B-9397-08002B2CF9AE}" pid="11" name="date-modified">
    <vt:lpwstr>2024-04-14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