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2024-04-10</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literature-review"/>
    <w:p>
      <w:pPr>
        <w:pStyle w:val="Heading2"/>
      </w:pPr>
      <w:r>
        <w:t xml:space="preserve">Literature Review</w:t>
      </w:r>
    </w:p>
    <w:p>
      <w:pPr>
        <w:pStyle w:val="FirstParagraph"/>
      </w:pPr>
      <w:r>
        <w:t xml:space="preserve">The majority of studies on coup risks primarily focus on identifying the causes and determinants of coup attempts.</w:t>
      </w:r>
      <w:r>
        <w:t xml:space="preserve"> </w:t>
      </w:r>
      <w:r>
        <w:t xml:space="preserve">As mentioned earlier, despite the multitude of potential determinants proposed—numbering around one hundred</w:t>
      </w:r>
      <w:r>
        <w:t xml:space="preserve"> </w:t>
      </w:r>
      <w:r>
        <w:t xml:space="preserve">(Gassebner, Gutmann, and Voigt 2016)</w:t>
      </w:r>
      <w:r>
        <w:t xml:space="preserve">—only a few studies have discussed both coup attempts and coup success.</w:t>
      </w:r>
      <w:r>
        <w:t xml:space="preserve"> </w:t>
      </w:r>
      <w:r>
        <w:t xml:space="preserve">Moreover, even fewer of these studies have specifically analysed the possible deterrent effect of coup outcomes on coup attempts.</w:t>
      </w:r>
      <w:r>
        <w:t xml:space="preserve"> </w:t>
      </w:r>
      <w:r>
        <w:t xml:space="preserve">Additionally, the dynamics of power balance among various types of regimes are often overlooked in previous studies.</w:t>
      </w:r>
    </w:p>
    <w:p>
      <w:pPr>
        <w:pStyle w:val="BodyText"/>
      </w:pPr>
      <w:r>
        <w:t xml:space="preserve">The oft-cited framework regarding the anticipated gains of coup plotters is formalized by</w:t>
      </w:r>
      <w:r>
        <w:t xml:space="preserve"> </w:t>
      </w:r>
      <w:r>
        <w:t xml:space="preserve">Leon (2013)</w:t>
      </w:r>
      <w:r>
        <w:t xml:space="preserve"> </w:t>
      </w:r>
      <w:r>
        <w:t xml:space="preserve">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Aidt and Leon (2019)</w:t>
      </w:r>
      <w:r>
        <w:t xml:space="preserve"> </w:t>
      </w:r>
      <w:r>
        <w:t xml:space="preserve">suggests that a coup is likely to be initiated when the anticipated benefits of a successful coup outweigh the potential costs of failure. This implies that the decision to orchestrate a coup is heavily influenced by the perceived probability of success. While the discussion of</w:t>
      </w:r>
      <w:r>
        <w:t xml:space="preserve"> </w:t>
      </w:r>
      <w:hyperlink w:anchor="eq-eq1">
        <w:r>
          <w:rPr>
            <w:rStyle w:val="Hyperlink"/>
          </w:rPr>
          <w:t xml:space="preserve">Equation 1</w:t>
        </w:r>
      </w:hyperlink>
      <w:r>
        <w:t xml:space="preserve"> </w:t>
      </w:r>
      <w:r>
        <w:t xml:space="preserve">in</w:t>
      </w:r>
      <w:r>
        <w:t xml:space="preserve"> </w:t>
      </w:r>
      <w:r>
        <w:t xml:space="preserve">Leon (2013)</w:t>
      </w:r>
      <w:r>
        <w:t xml:space="preserve"> </w:t>
      </w:r>
      <w:r>
        <w:t xml:space="preserve">may appear technical and theoretical, it raises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 and cannot be exchanged in a public market. Coup plotters are motivated by more than just superficial gains or losses, as I will delve into further in the subsequent chapter. Nonetheless, the underlying logic of the equation remains robust and offers a valuable framework for comprehending the decision-making dynamics of coup plotters.</w:t>
      </w:r>
    </w:p>
    <w:p>
      <w:pPr>
        <w:pStyle w:val="BodyText"/>
      </w:pPr>
      <w:r>
        <w:t xml:space="preserve">There is a notable disparity between the number of studies focusing on coup attempts and those examining the outcomes of coups.</w:t>
      </w:r>
      <w:r>
        <w:t xml:space="preserve"> </w:t>
      </w:r>
      <w:r>
        <w:t xml:space="preserve">Among these fewer discussions on coup outcomes,</w:t>
      </w:r>
      <w:r>
        <w:t xml:space="preserve"> </w:t>
      </w:r>
      <w:r>
        <w:t xml:space="preserve">J. Powell (2012)</w:t>
      </w:r>
      <w:r>
        <w:t xml:space="preserve"> </w:t>
      </w:r>
      <w:r>
        <w:t xml:space="preserve">employs a selection model using global data from 1961 to 2000 to investigate the determinants and consequences of coups.</w:t>
      </w:r>
      <w:r>
        <w:t xml:space="preserve"> </w:t>
      </w:r>
      <w:r>
        <w:t xml:space="preserve">His findings suggest that coup-proofing strategies, such as counterbalancing and providing organizational resources to the military, effectively reduce the likelihood of coups but increase their chances of success.</w:t>
      </w:r>
      <w:r>
        <w:t xml:space="preserve"> </w:t>
      </w:r>
      <w:r>
        <w:t xml:space="preserve">Böhmelt and Pilster (2014)</w:t>
      </w:r>
      <w:r>
        <w:t xml:space="preserve"> </w:t>
      </w:r>
      <w:r>
        <w:t xml:space="preserve">propose a U-shaped relationship between institutional coup-proofing and coup outcomes, which they test using time-series cross-section data.</w:t>
      </w:r>
      <w:r>
        <w:t xml:space="preserve"> </w:t>
      </w:r>
      <w:r>
        <w:t xml:space="preserve">While they find strong support for their claims regarding coup attempts, the evidence is less robust for coup outcomes.</w:t>
      </w:r>
      <w:r>
        <w:t xml:space="preserve"> </w:t>
      </w:r>
      <w:r>
        <w:t xml:space="preserve">Conversely,</w:t>
      </w:r>
      <w:r>
        <w:t xml:space="preserve"> </w:t>
      </w:r>
      <w:r>
        <w:t xml:space="preserve">Bell (2016)</w:t>
      </w:r>
      <w:r>
        <w:t xml:space="preserve"> </w:t>
      </w:r>
      <w:r>
        <w:t xml:space="preserve">argues that democracies are less susceptible to coups, yet coups attempted against democracies are more likely to succeed.</w:t>
      </w:r>
      <w:r>
        <w:t xml:space="preserve"> </w:t>
      </w:r>
      <w:r>
        <w:t xml:space="preserve">However, this assertion lacks support from the data analysed in this study.</w:t>
      </w:r>
      <w:r>
        <w:t xml:space="preserve"> </w:t>
      </w:r>
      <w:r>
        <w:t xml:space="preserve">Additionally,</w:t>
      </w:r>
      <w:r>
        <w:t xml:space="preserve"> </w:t>
      </w:r>
      <w:r>
        <w:t xml:space="preserve">Bell and Sudduth (2015)</w:t>
      </w:r>
      <w:r>
        <w:t xml:space="preserve"> </w:t>
      </w:r>
      <w:r>
        <w:t xml:space="preserve">explore the relationship between ongoing civil wars and coup activity, finding that coup attempts during wartime are significantly less likely to succeed.</w:t>
      </w:r>
    </w:p>
    <w:p>
      <w:pPr>
        <w:pStyle w:val="BodyText"/>
      </w:pPr>
      <w:r>
        <w:t xml:space="preserve">However, few of the aforementioned studies have considered the interdependence between coup attempts and coup success.</w:t>
      </w:r>
      <w:r>
        <w:t xml:space="preserve"> </w:t>
      </w:r>
      <w:r>
        <w:t xml:space="preserve">Although</w:t>
      </w:r>
      <w:r>
        <w:t xml:space="preserve"> </w:t>
      </w:r>
      <w:r>
        <w:t xml:space="preserve">J. Powell (2012)</w:t>
      </w:r>
      <w:r>
        <w:t xml:space="preserve"> </w:t>
      </w:r>
      <w:r>
        <w:t xml:space="preserve">also employs a sample selection model and simultaneously considers both coup attempts and coup success, his primary focus is on military expenditure, personnel, and coup-proofing strategies, such as paramilitary measures, rather than the dynamics of power balance within different types of regimes.</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47" w:name="conclusion"/>
    <w:p>
      <w:pPr>
        <w:pStyle w:val="Heading2"/>
      </w:pPr>
      <w:r>
        <w:t xml:space="preserve">Conclusion</w:t>
      </w:r>
    </w:p>
    <w:bookmarkStart w:id="46"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2">
        <w:r>
          <w:rPr>
            <w:rStyle w:val="Hyperlink"/>
          </w:rPr>
          <w:t xml:space="preserve">https://doi.org/10.1177/0010414015621081</w:t>
        </w:r>
      </w:hyperlink>
      <w:r>
        <w:t xml:space="preserve">.</w:t>
      </w:r>
    </w:p>
    <w:bookmarkEnd w:id="33"/>
    <w:bookmarkStart w:id="35" w:name="ref-bell2015"/>
    <w:p>
      <w:pPr>
        <w:pStyle w:val="Bibliography"/>
      </w:pPr>
      <w:r>
        <w:t xml:space="preserve">Bell, Curtis, and Jun Koga Sudduth. 2015.</w:t>
      </w:r>
      <w:r>
        <w:t xml:space="preserve"> </w:t>
      </w:r>
      <w:r>
        <w:t xml:space="preserve">“The Causes and Outcomes of Coup During Civil War.”</w:t>
      </w:r>
      <w:r>
        <w:t xml:space="preserve"> </w:t>
      </w:r>
      <w:r>
        <w:rPr>
          <w:iCs/>
          <w:i/>
        </w:rPr>
        <w:t xml:space="preserve">Journal of Conflict Resolution</w:t>
      </w:r>
      <w:r>
        <w:t xml:space="preserve"> </w:t>
      </w:r>
      <w:r>
        <w:t xml:space="preserve">61 (7): 1432–55.</w:t>
      </w:r>
      <w:r>
        <w:t xml:space="preserve"> </w:t>
      </w:r>
      <w:hyperlink r:id="rId34">
        <w:r>
          <w:rPr>
            <w:rStyle w:val="Hyperlink"/>
          </w:rPr>
          <w:t xml:space="preserve">https://doi.org/10.1177/0022002715603098</w:t>
        </w:r>
      </w:hyperlink>
      <w:r>
        <w:t xml:space="preserve">.</w:t>
      </w:r>
    </w:p>
    <w:bookmarkEnd w:id="35"/>
    <w:bookmarkStart w:id="37" w:name="ref-böhmelt2014"/>
    <w:p>
      <w:pPr>
        <w:pStyle w:val="Bibliography"/>
      </w:pPr>
      <w:r>
        <w:t xml:space="preserve">Böhmelt, Tobias, and Ulrich Pilster. 2014.</w:t>
      </w:r>
      <w:r>
        <w:t xml:space="preserve"> </w:t>
      </w:r>
      <w:r>
        <w:t xml:space="preserve">“The Impact of Institutional Coup-Proofing on Coup Attempts and Coup Outcomes.”</w:t>
      </w:r>
      <w:r>
        <w:t xml:space="preserve"> </w:t>
      </w:r>
      <w:r>
        <w:rPr>
          <w:iCs/>
          <w:i/>
        </w:rPr>
        <w:t xml:space="preserve">International Interactions</w:t>
      </w:r>
      <w:r>
        <w:t xml:space="preserve"> </w:t>
      </w:r>
      <w:r>
        <w:t xml:space="preserve">41 (1): 158–82.</w:t>
      </w:r>
      <w:r>
        <w:t xml:space="preserve"> </w:t>
      </w:r>
      <w:hyperlink r:id="rId36">
        <w:r>
          <w:rPr>
            <w:rStyle w:val="Hyperlink"/>
          </w:rPr>
          <w:t xml:space="preserve">https://doi.org/10.1080/03050629.2014.906411</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leon2013"/>
    <w:p>
      <w:pPr>
        <w:pStyle w:val="Bibliography"/>
      </w:pPr>
      <w:r>
        <w:t xml:space="preserve">Leon, Gabriel. 2013.</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0">
        <w:r>
          <w:rPr>
            <w:rStyle w:val="Hyperlink"/>
          </w:rPr>
          <w:t xml:space="preserve">https://doi.org/10.1093/oep/gpt024</w:t>
        </w:r>
      </w:hyperlink>
      <w:r>
        <w:t xml:space="preserve">.</w:t>
      </w:r>
    </w:p>
    <w:bookmarkEnd w:id="41"/>
    <w:bookmarkStart w:id="43"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42">
        <w:r>
          <w:rPr>
            <w:rStyle w:val="Hyperlink"/>
          </w:rPr>
          <w:t xml:space="preserve">https://doi.org/10.1177/0022002712445732</w:t>
        </w:r>
      </w:hyperlink>
      <w:r>
        <w:t xml:space="preserve">.</w:t>
      </w:r>
    </w:p>
    <w:bookmarkEnd w:id="43"/>
    <w:bookmarkStart w:id="4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44">
        <w:r>
          <w:rPr>
            <w:rStyle w:val="Hyperlink"/>
          </w:rPr>
          <w:t xml:space="preserve">https://doi.org/10.1177/0022343310397436</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80/03050629.2014.906411" TargetMode="External" /><Relationship Type="http://schemas.openxmlformats.org/officeDocument/2006/relationships/hyperlink" Id="rId40"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2" Target="https://doi.org/10.1177/0022002712445732" TargetMode="External" /><Relationship Type="http://schemas.openxmlformats.org/officeDocument/2006/relationships/hyperlink" Id="rId34" Target="https://doi.org/10.1177/0022002715603098" TargetMode="External" /><Relationship Type="http://schemas.openxmlformats.org/officeDocument/2006/relationships/hyperlink" Id="rId44"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3050629.2014.906411" TargetMode="External" /><Relationship Type="http://schemas.openxmlformats.org/officeDocument/2006/relationships/hyperlink" Id="rId40"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2" Target="https://doi.org/10.1177/0022002712445732" TargetMode="External" /><Relationship Type="http://schemas.openxmlformats.org/officeDocument/2006/relationships/hyperlink" Id="rId34" Target="https://doi.org/10.1177/0022002715603098" TargetMode="External" /><Relationship Type="http://schemas.openxmlformats.org/officeDocument/2006/relationships/hyperlink" Id="rId44"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2024-04-10T21:56:09Z</dcterms:created>
  <dcterms:modified xsi:type="dcterms:W3CDTF">2024-04-10T21:56:09Z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2024-04-10</vt:lpwstr>
  </property>
  <property fmtid="{D5CDD505-2E9C-101B-9397-08002B2CF9AE}" pid="11" name="date-modified">
    <vt:lpwstr>2024-04-10</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