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2024-04-03</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7" w:name="introduction"/>
    <w:p>
      <w:pPr>
        <w:pStyle w:val="Heading2"/>
      </w:pPr>
      <w:r>
        <w:t xml:space="preserve">Introduction</w:t>
      </w:r>
    </w:p>
    <w:p>
      <w:pPr>
        <w:pStyle w:val="FirstParagraph"/>
      </w:pPr>
      <w:r>
        <w:t xml:space="preserve">Coups</w:t>
      </w:r>
      <w:r>
        <w:rPr>
          <w:rStyle w:val="FootnoteReference"/>
        </w:rPr>
        <w:footnoteReference w:id="20"/>
      </w:r>
      <w:r>
        <w:t xml:space="preserve"> </w:t>
      </w:r>
      <w:r>
        <w:t xml:space="preserve">occur with varying frequency across different countries, with some experiencing them more frequently than others.</w:t>
      </w:r>
      <w:r>
        <w:t xml:space="preserve"> </w:t>
      </w:r>
      <w:r>
        <w:t xml:space="preserve">According to the Global Instances of Coups (GIC) dataset</w:t>
      </w:r>
      <w:r>
        <w:t xml:space="preserve"> </w:t>
      </w:r>
      <w:r>
        <w:t xml:space="preserve">(Powell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2021, whereas South Africa has not experienced a coup since 1950.</w:t>
      </w:r>
      <w:r>
        <w:t xml:space="preserve"> </w:t>
      </w:r>
      <w:r>
        <w:t xml:space="preserve">Similar patterns are observed in the Middle East and South Asia.</w:t>
      </w:r>
      <w:r>
        <w:t xml:space="preserve"> </w:t>
      </w:r>
      <w:r>
        <w:t xml:space="preserve">Despite numerous attempts in previous studies to explain these disparities, no consensus has been reached on a definitive model for analysing coups.</w:t>
      </w:r>
      <w:r>
        <w:t xml:space="preserve"> </w:t>
      </w:r>
      <w:r>
        <w:t xml:space="preserve">As noted by</w:t>
      </w:r>
      <w:r>
        <w:t xml:space="preserve"> </w:t>
      </w:r>
      <w:r>
        <w:t xml:space="preserve">Gassebner, Gutmann, and Voigt (2016)</w:t>
      </w:r>
      <w:r>
        <w:t xml:space="preserve">, around one hundred potential determinants of coups have been proposed, yet the fundamental question remains unanswered.</w:t>
      </w:r>
    </w:p>
    <w:p>
      <w:pPr>
        <w:pStyle w:val="BodyText"/>
      </w:pPr>
      <w:r>
        <w:t xml:space="preserve">In analysing the determinants of coups, it’s crucial not to overlook the most significant characteristic of coups themselves.</w:t>
      </w:r>
      <w:r>
        <w:t xml:space="preserve"> </w:t>
      </w:r>
      <w:r>
        <w:t xml:space="preserve">Coups represent illegal attempts to overthrow current leaders, and the consequences of failed coups can be exceedingly high.</w:t>
      </w:r>
      <w:r>
        <w:t xml:space="preserve"> </w:t>
      </w:r>
      <w:r>
        <w:t xml:space="preserve">Perpetrators of coups risk imprisonment, exile, or even death if their attempts are unsuccessful.</w:t>
      </w:r>
      <w:r>
        <w:t xml:space="preserve"> </w:t>
      </w:r>
      <w:r>
        <w:t xml:space="preserve">In some instances, the repercussions extend to the families of the coup perpetrators. Despite these grave risks, there have been numerous coup attempts throughout history—according to the Global Instances of Coups (GIC) dataset, a total of 491 coups have been launched since 1950, with 245 coups succeeding. Furthermore, in 2021 alone, 7 coups occurred in 6 countries, marking the most frequent year for coup attempts since 2000. While 2022 and 2023 saw a decrease in the number of coups, they still witnessed 4 and 3 coups, respectively.</w:t>
      </w:r>
    </w:p>
    <w:p>
      <w:pPr>
        <w:pStyle w:val="BodyText"/>
      </w:pPr>
      <w:r>
        <w:t xml:space="preserve">To comprehend the motives of coup perpetrators, it’s essential to analyze the potential pay-off of coup attempts.</w:t>
      </w:r>
      <w:r>
        <w:t xml:space="preserve"> </w:t>
      </w:r>
      <w:r>
        <w:t xml:space="preserve">When orchestrating a coup, perpetrators anticipate gaining something, rather than risking losses, contingent upon the likelihood of their success.</w:t>
      </w:r>
      <w:r>
        <w:t xml:space="preserve"> </w:t>
      </w:r>
      <w:r>
        <w:t xml:space="preserve">Therefore, when considering a coup, plotters prioritize assessing their probability of success.</w:t>
      </w:r>
      <w:r>
        <w:t xml:space="preserve"> </w:t>
      </w:r>
      <w:r>
        <w:t xml:space="preserve">While they may have various motivations for initiating a coup, they are unlikely to proceed without a reasonable expectation of success.</w:t>
      </w:r>
      <w:r>
        <w:t xml:space="preserve"> </w:t>
      </w:r>
      <w:r>
        <w:t xml:space="preserve">When faced with low prospects of success, coup plotters may either abandon their plans or await more favorable circumstances.</w:t>
      </w:r>
      <w:r>
        <w:t xml:space="preserve"> </w:t>
      </w:r>
      <w:r>
        <w:t xml:space="preserve">Determining the threshold for the likelihood of success is challenging, but historical data reveals that staged coups have generally enjoyed satisfactory success rates. As depicted in</w:t>
      </w:r>
      <w:r>
        <w:t xml:space="preserve"> </w:t>
      </w:r>
      <w:hyperlink w:anchor="tbl-coups">
        <w:r>
          <w:rPr>
            <w:rStyle w:val="Hyperlink"/>
          </w:rPr>
          <w:t xml:space="preserve">Table 1</w:t>
        </w:r>
      </w:hyperlink>
      <w:r>
        <w:t xml:space="preserve">, the overall success rate of coups stands at 0.5, implying that half of the coups attempted since 1950 have resulted in success.</w:t>
      </w:r>
    </w:p>
    <w:tbl>
      <w:tblPr>
        <w:tblStyle w:val="Table"/>
        <w:tblW w:type="pct" w:w="5000"/>
        <w:tblLook w:firstRow="0" w:lastRow="0" w:firstColumn="0" w:lastColumn="0" w:noHBand="0" w:noVBand="0" w:val="0000"/>
        <w:jc w:val="start"/>
        <w:tblLayout w:type="fixed"/>
      </w:tblPr>
      <w:tblGrid>
        <w:gridCol w:w="7920"/>
      </w:tblGrid>
      <w:tr>
        <w:tc>
          <w:tcPr/>
          <w:bookmarkStart w:id="21"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Coup succeeded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r>
            <w:tr>
              <w:trPr>
                <w:cantSplit/>
              </w:trPr>
              <w:tc>
                <w:tcPr>
                  <w:gridSpan w:val="3"/>
                </w:tcPr>
                <w:p>
                  <w:pPr>
                    <w:spacing w:before="0" w:after="60"/>
                    <w:keepNext/>
                  </w:pPr>
                  <w:r>
                    <w:rPr>
                      <w:b w:val="true"/>
                      <w:i/>
                      <w:rFonts w:ascii="Calibri" w:hAnsi="Calibri"/>
                      <w:sz w:val="20"/>
                    </w:rPr>
                    <w:t xml:space="preserve">Source: GIC dataset</w:t>
                  </w:r>
                </w:p>
              </w:tc>
            </w:tr>
          </w:tbl>
          <w:bookmarkEnd w:id="21"/>
        </w:tc>
      </w:tr>
    </w:tbl>
    <w:bookmarkStart w:id="26" w:name="refs"/>
    <w:bookmarkStart w:id="23"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2">
        <w:r>
          <w:rPr>
            <w:rStyle w:val="Hyperlink"/>
          </w:rPr>
          <w:t xml:space="preserve">https://doi.org/10.2139/ssrn.2851758</w:t>
        </w:r>
      </w:hyperlink>
      <w:r>
        <w:t xml:space="preserve">.</w:t>
      </w:r>
    </w:p>
    <w:bookmarkEnd w:id="23"/>
    <w:bookmarkStart w:id="2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24">
        <w:r>
          <w:rPr>
            <w:rStyle w:val="Hyperlink"/>
          </w:rPr>
          <w:t xml:space="preserve">https://doi.org/10.1177/0022343310397436</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Coups, according to Powell and Thyne, are</w:t>
      </w:r>
      <w:r>
        <w:t xml:space="preserve"> </w:t>
      </w:r>
      <w:r>
        <w:t xml:space="preserve">“</w:t>
      </w:r>
      <w:r>
        <w:t xml:space="preserve">illegal and overt attempts by the military or other elites within the state apparatus to unseat the sitting executive</w:t>
      </w:r>
      <w:r>
        <w:t xml:space="preserve">”</w:t>
      </w:r>
      <w:r>
        <w:t xml:space="preserve"> </w:t>
      </w:r>
      <w:r>
        <w:t xml:space="preserve">(Powell and Thyne 2011, 252)</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2024-04-03T17:13:24Z</dcterms:created>
  <dcterms:modified xsi:type="dcterms:W3CDTF">2024-04-03T17:13:24Z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2024-04-03</vt:lpwstr>
  </property>
  <property fmtid="{D5CDD505-2E9C-101B-9397-08002B2CF9AE}" pid="10" name="date-modified">
    <vt:lpwstr>2024-04-03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
  </property>
  <property fmtid="{D5CDD505-2E9C-101B-9397-08002B2CF9AE}" pid="16" name="other-links">
    <vt:lpwstr/>
  </property>
  <property fmtid="{D5CDD505-2E9C-101B-9397-08002B2CF9AE}" pid="17" name="toc-title">
    <vt:lpwstr>Table of contents</vt:lpwstr>
  </property>
</Properties>
</file>