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2024-04-16</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theory"/>
    <w:p>
      <w:pPr>
        <w:pStyle w:val="Heading2"/>
      </w:pPr>
      <w:r>
        <w:t xml:space="preserve">Theory</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endeavour.</w:t>
      </w:r>
    </w:p>
    <w:p>
      <w:pPr>
        <w:pStyle w:val="BodyText"/>
      </w:pPr>
      <w:r>
        <w:t xml:space="preserve">Explaining the disposition is relatively straightforward.</w:t>
      </w:r>
      <w:r>
        <w:t xml:space="preserve"> </w:t>
      </w:r>
      <w:r>
        <w:t xml:space="preserve">Firstly, in most cases, coup plotters are motivated by the allure of unrestrained power, revered status, and access to substantial financial resources.</w:t>
      </w:r>
      <w:r>
        <w:t xml:space="preserve"> </w:t>
      </w:r>
      <w:r>
        <w:t xml:space="preserve">Wintrobe (2019)</w:t>
      </w:r>
      <w:r>
        <w:t xml:space="preserve"> </w:t>
      </w:r>
      <w:r>
        <w:t xml:space="preserve">explores various forms of dictatorships, distinguishing between totalitarian leaders and tinpot leaders.</w:t>
      </w:r>
      <w:r>
        <w:t xml:space="preserve"> </w:t>
      </w:r>
      <w:r>
        <w:t xml:space="preserve">Totalitarian leaders exert control over every aspect of their citizens’ lives, relishing the power they wield.</w:t>
      </w:r>
      <w:r>
        <w:t xml:space="preserve"> </w:t>
      </w:r>
      <w:r>
        <w:t xml:space="preserve">On the other hand, tinpot leaders are primarily motivated by personal consumption, indulging in luxuries such as living in opulent palaces, driving luxury cars like Mercedes, and adorning themselves with prestigious accessories like Rolex watches.</w:t>
      </w:r>
      <w:r>
        <w:t xml:space="preserve"> </w:t>
      </w:r>
      <w:r>
        <w:t xml:space="preserve">Secondly, in some instances, the justification for a coup may include motives such as rescuing a country in crisis, upholding constitutional authority, or facilitating democratic transition.</w:t>
      </w:r>
      <w:r>
        <w:t xml:space="preserve"> </w:t>
      </w:r>
      <w:r>
        <w:t xml:space="preserve">For instance, in Niger in 2010,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r>
        <w:t xml:space="preserve"> </w:t>
      </w:r>
      <w:r>
        <w:t xml:space="preserve">Thirdly, occasionaly, staging a coup serves as a last-ditch effort for self-preservation, undertaken to evade political persecution by adversaries.</w:t>
      </w:r>
      <w:r>
        <w:t xml:space="preserve"> </w:t>
      </w:r>
      <w:r>
        <w:t xml:space="preserve">An illustrative example is Idi Amin, who, as the army commander-in-chief of Uganda in 1971, staged a coup against President Obote, who was attempting to undermine Amin</w:t>
      </w:r>
      <w:r>
        <w:t xml:space="preserve"> </w:t>
      </w:r>
      <w:r>
        <w:t xml:space="preserve">(Sudduth 2017)</w:t>
      </w:r>
      <w:r>
        <w:t xml:space="preserve">.</w:t>
      </w:r>
    </w:p>
    <w:p>
      <w:pPr>
        <w:pStyle w:val="BodyText"/>
      </w:pPr>
      <w:r>
        <w:t xml:space="preserve">While there may be numerous ambitious political figures aspiring to seize supreme power for various reasons as mentioned above, only a select few have the opportunity to orchestrate a successful coup.</w:t>
      </w:r>
      <w:r>
        <w:t xml:space="preserve"> </w:t>
      </w:r>
      <w:r>
        <w:t xml:space="preserve">Among them, those who control the military forces wield the greatest potential as coup plotters.</w:t>
      </w:r>
      <w:r>
        <w:t xml:space="preserve"> </w:t>
      </w:r>
      <w:r>
        <w:t xml:space="preserve">This is why military coups are often the focal point of discussion in political science.</w:t>
      </w:r>
    </w:p>
    <w:p>
      <w:pPr>
        <w:pStyle w:val="BodyText"/>
      </w:pPr>
      <w:r>
        <w:t xml:space="preserve">A commonly cited framework for assessing the disposition and opportunity of coup attempts is formalized by</w:t>
      </w:r>
      <w:r>
        <w:t xml:space="preserve"> </w:t>
      </w:r>
      <w:r>
        <w:t xml:space="preserve">Leon (2013a)</w:t>
      </w:r>
      <w:r>
        <w:t xml:space="preserve"> </w:t>
      </w:r>
      <w:r>
        <w:t xml:space="preserve">to evaluate the anticipated benefits for coup plotters.</w:t>
      </w:r>
      <w:r>
        <w:t xml:space="preserve"> </w:t>
      </w:r>
      <w:r>
        <w:t xml:space="preserve">This framework can be outlined 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Both the disposition to attempt a coup and the opportunity to stage a successful coup are encompassed within the equation.</w:t>
      </w:r>
      <w:r>
        <w:t xml:space="preserve"> </w:t>
      </w:r>
      <w:r>
        <w:t xml:space="preserve">The disposition is captured in the gain from a successful coup, denoted as</w:t>
      </w:r>
      <w:r>
        <w:t xml:space="preserve"> </w:t>
      </w:r>
      <m:oMath>
        <m:sSub>
          <m:e>
            <m:r>
              <m:t>V</m:t>
            </m:r>
          </m:e>
          <m:sub>
            <m:r>
              <m:t>S</m:t>
            </m:r>
          </m:sub>
        </m:sSub>
        <m:r>
          <m:rPr>
            <m:sty m:val="p"/>
          </m:rPr>
          <m:t>−</m:t>
        </m:r>
        <m:sSub>
          <m:e>
            <m:r>
              <m:t>V</m:t>
            </m:r>
          </m:e>
          <m:sub>
            <m:r>
              <m:t>I</m:t>
            </m:r>
          </m:sub>
        </m:sSub>
      </m:oMath>
      <w:r>
        <w:t xml:space="preserve">.</w:t>
      </w:r>
      <w:r>
        <w:t xml:space="preserve"> </w:t>
      </w:r>
      <w:r>
        <w:t xml:space="preserve">Meanwhile, the opportunity is represented by the probability of a successful coup, denoted as</w:t>
      </w:r>
      <w:r>
        <w:t xml:space="preserve"> </w:t>
      </w:r>
      <m:oMath>
        <m:r>
          <m:t>σ</m:t>
        </m:r>
      </m:oMath>
      <w:r>
        <w:t xml:space="preserve">.</w:t>
      </w:r>
      <w:r>
        <w:t xml:space="preserve"> </w:t>
      </w:r>
      <w:r>
        <w:t xml:space="preserve">Although this logical framework seems plausible, it immediately poses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one accurately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exchanged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r>
        <w:t xml:space="preserve"> </w:t>
      </w:r>
      <m:oMath>
        <m:r>
          <m:t>σ</m:t>
        </m:r>
      </m:oMath>
      <w:r>
        <w:t xml:space="preserve">.</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r>
        <w:t xml:space="preserve"> </w:t>
      </w:r>
      <w:r>
        <w:t xml:space="preserve">Consequently, coup-proofing strategies are designed to either decrease the inclination of military forces to stage coups or to erect barriers that impede their success.</w:t>
      </w:r>
      <w:r>
        <w:t xml:space="preserve"> </w:t>
      </w:r>
      <w:r>
        <w:t xml:space="preserve">For instance, studies by</w:t>
      </w:r>
      <w:r>
        <w:t xml:space="preserve"> </w:t>
      </w:r>
      <w:r>
        <w:t xml:space="preserve">Leon (2013b)</w:t>
      </w:r>
      <w:r>
        <w:t xml:space="preserve"> </w:t>
      </w:r>
      <w:r>
        <w:t xml:space="preserve">suggest that coups are more probable in nations where military spending as a percentage of GDP is low.</w:t>
      </w:r>
      <w:r>
        <w:t xml:space="preserve"> </w:t>
      </w:r>
      <w:r>
        <w:t xml:space="preserve">J. Powell et al. (2018)</w:t>
      </w:r>
      <w:r>
        <w:t xml:space="preserve"> </w:t>
      </w:r>
      <w:r>
        <w:t xml:space="preserve">also argue that increased military expenditures may decrease the propensity for coups among military factions.</w:t>
      </w:r>
      <w:r>
        <w:t xml:space="preserve"> </w:t>
      </w: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63" w:name="conclusion"/>
    <w:p>
      <w:pPr>
        <w:pStyle w:val="Heading2"/>
      </w:pPr>
      <w:r>
        <w:t xml:space="preserve">Conclusion</w:t>
      </w:r>
    </w:p>
    <w:bookmarkStart w:id="62"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2">
        <w:r>
          <w:rPr>
            <w:rStyle w:val="Hyperlink"/>
          </w:rPr>
          <w:t xml:space="preserve">https://doi.org/10.1177/0010414015621081</w:t>
        </w:r>
      </w:hyperlink>
      <w:r>
        <w:t xml:space="preserve">.</w:t>
      </w:r>
    </w:p>
    <w:bookmarkEnd w:id="33"/>
    <w:bookmarkStart w:id="35"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4">
        <w:r>
          <w:rPr>
            <w:rStyle w:val="Hyperlink"/>
          </w:rPr>
          <w:t xml:space="preserve">https://doi.org/10.1177/2053168016630837</w:t>
        </w:r>
      </w:hyperlink>
      <w:r>
        <w:t xml:space="preserve">.</w:t>
      </w:r>
    </w:p>
    <w:bookmarkEnd w:id="35"/>
    <w:bookmarkStart w:id="37"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6">
        <w:r>
          <w:rPr>
            <w:rStyle w:val="Hyperlink"/>
          </w:rPr>
          <w:t xml:space="preserve">https://doi.org/10.1177/2053168017707355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0">
        <w:r>
          <w:rPr>
            <w:rStyle w:val="Hyperlink"/>
          </w:rPr>
          <w:t xml:space="preserve">https://doi.org/10.1093/oso/9780198837404.003.0003</w:t>
        </w:r>
      </w:hyperlink>
      <w:r>
        <w:t xml:space="preserve">.</w:t>
      </w:r>
    </w:p>
    <w:bookmarkEnd w:id="41"/>
    <w:bookmarkStart w:id="43"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2">
        <w:r>
          <w:rPr>
            <w:rStyle w:val="Hyperlink"/>
          </w:rPr>
          <w:t xml:space="preserve">https://doi.org/10.1177/0095327x9402000405</w:t>
        </w:r>
      </w:hyperlink>
      <w:r>
        <w:t xml:space="preserve">.</w:t>
      </w:r>
    </w:p>
    <w:bookmarkEnd w:id="43"/>
    <w:bookmarkStart w:id="45"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4">
        <w:r>
          <w:rPr>
            <w:rStyle w:val="Hyperlink"/>
          </w:rPr>
          <w:t xml:space="preserve">https://doi.org/10.1093/oep/gpt024</w:t>
        </w:r>
      </w:hyperlink>
      <w:r>
        <w:t xml:space="preserve">.</w:t>
      </w:r>
    </w:p>
    <w:bookmarkEnd w:id="45"/>
    <w:bookmarkStart w:id="47"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6">
        <w:r>
          <w:rPr>
            <w:rStyle w:val="Hyperlink"/>
          </w:rPr>
          <w:t xml:space="preserve">https://doi.org/10.1007/s11127-013-0124-4</w:t>
        </w:r>
      </w:hyperlink>
      <w:r>
        <w:t xml:space="preserve">.</w:t>
      </w:r>
    </w:p>
    <w:bookmarkEnd w:id="47"/>
    <w:bookmarkStart w:id="49"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48">
        <w:r>
          <w:rPr>
            <w:rStyle w:val="Hyperlink"/>
          </w:rPr>
          <w:t xml:space="preserve">https://doi.org/10.1177/2053168016681908</w:t>
        </w:r>
      </w:hyperlink>
      <w:r>
        <w:t xml:space="preserve">.</w:t>
      </w:r>
    </w:p>
    <w:bookmarkEnd w:id="49"/>
    <w:bookmarkStart w:id="5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0">
        <w:r>
          <w:rPr>
            <w:rStyle w:val="Hyperlink"/>
          </w:rPr>
          <w:t xml:space="preserve">https://doi.org/10.1177/0022002712445732</w:t>
        </w:r>
      </w:hyperlink>
      <w:r>
        <w:t xml:space="preserve">.</w:t>
      </w:r>
    </w:p>
    <w:bookmarkEnd w:id="51"/>
    <w:bookmarkStart w:id="5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2">
        <w:r>
          <w:rPr>
            <w:rStyle w:val="Hyperlink"/>
          </w:rPr>
          <w:t xml:space="preserve">https://doi.org/10.1177/0022343310397436</w:t>
        </w:r>
      </w:hyperlink>
      <w:r>
        <w:t xml:space="preserve">.</w:t>
      </w:r>
    </w:p>
    <w:bookmarkEnd w:id="53"/>
    <w:bookmarkStart w:id="5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4">
        <w:r>
          <w:rPr>
            <w:rStyle w:val="Hyperlink"/>
          </w:rPr>
          <w:t xml:space="preserve">https://doi.org/10.1080/13510347.2018.1450389</w:t>
        </w:r>
      </w:hyperlink>
      <w:r>
        <w:t xml:space="preserve">.</w:t>
      </w:r>
    </w:p>
    <w:bookmarkEnd w:id="55"/>
    <w:bookmarkStart w:id="57"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56">
        <w:r>
          <w:rPr>
            <w:rStyle w:val="Hyperlink"/>
          </w:rPr>
          <w:t xml:space="preserve">https://doi.org/10.7249/rp844</w:t>
        </w:r>
      </w:hyperlink>
      <w:r>
        <w:t xml:space="preserve">.</w:t>
      </w:r>
    </w:p>
    <w:bookmarkEnd w:id="57"/>
    <w:bookmarkStart w:id="5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8">
        <w:r>
          <w:rPr>
            <w:rStyle w:val="Hyperlink"/>
          </w:rPr>
          <w:t xml:space="preserve">https://doi.org/10.1177/0010414016688004</w:t>
        </w:r>
      </w:hyperlink>
      <w:r>
        <w:t xml:space="preserve">.</w:t>
      </w:r>
    </w:p>
    <w:bookmarkEnd w:id="59"/>
    <w:bookmarkStart w:id="61"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60">
        <w:r>
          <w:rPr>
            <w:rStyle w:val="Hyperlink"/>
          </w:rPr>
          <w:t xml:space="preserve">https://doi.org/10.1093/oxfordhb/9780190469771.013.13</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11127-013-0124-4" TargetMode="External" /><Relationship Type="http://schemas.openxmlformats.org/officeDocument/2006/relationships/hyperlink" Id="rId54" Target="https://doi.org/10.1080/13510347.2018.1450389" TargetMode="External" /><Relationship Type="http://schemas.openxmlformats.org/officeDocument/2006/relationships/hyperlink" Id="rId44" Target="https://doi.org/10.1093/oep/gpt024" TargetMode="External" /><Relationship Type="http://schemas.openxmlformats.org/officeDocument/2006/relationships/hyperlink" Id="rId40" Target="https://doi.org/10.1093/oso/9780198837404.003.0003" TargetMode="External" /><Relationship Type="http://schemas.openxmlformats.org/officeDocument/2006/relationships/hyperlink" Id="rId60" Target="https://doi.org/10.1093/oxfordhb/9780190469771.013.13"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58" Target="https://doi.org/10.1177/0010414016688004" TargetMode="External" /><Relationship Type="http://schemas.openxmlformats.org/officeDocument/2006/relationships/hyperlink" Id="rId50" Target="https://doi.org/10.1177/0022002712445732" TargetMode="External" /><Relationship Type="http://schemas.openxmlformats.org/officeDocument/2006/relationships/hyperlink" Id="rId52" Target="https://doi.org/10.1177/0022343310397436" TargetMode="External" /><Relationship Type="http://schemas.openxmlformats.org/officeDocument/2006/relationships/hyperlink" Id="rId42"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8"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6"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1127-013-0124-4" TargetMode="External" /><Relationship Type="http://schemas.openxmlformats.org/officeDocument/2006/relationships/hyperlink" Id="rId54" Target="https://doi.org/10.1080/13510347.2018.1450389" TargetMode="External" /><Relationship Type="http://schemas.openxmlformats.org/officeDocument/2006/relationships/hyperlink" Id="rId44" Target="https://doi.org/10.1093/oep/gpt024" TargetMode="External" /><Relationship Type="http://schemas.openxmlformats.org/officeDocument/2006/relationships/hyperlink" Id="rId40" Target="https://doi.org/10.1093/oso/9780198837404.003.0003" TargetMode="External" /><Relationship Type="http://schemas.openxmlformats.org/officeDocument/2006/relationships/hyperlink" Id="rId60" Target="https://doi.org/10.1093/oxfordhb/9780190469771.013.13"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58" Target="https://doi.org/10.1177/0010414016688004" TargetMode="External" /><Relationship Type="http://schemas.openxmlformats.org/officeDocument/2006/relationships/hyperlink" Id="rId50" Target="https://doi.org/10.1177/0022002712445732" TargetMode="External" /><Relationship Type="http://schemas.openxmlformats.org/officeDocument/2006/relationships/hyperlink" Id="rId52" Target="https://doi.org/10.1177/0022343310397436" TargetMode="External" /><Relationship Type="http://schemas.openxmlformats.org/officeDocument/2006/relationships/hyperlink" Id="rId42"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8"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6"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2024-04-16T21:20:43Z</dcterms:created>
  <dcterms:modified xsi:type="dcterms:W3CDTF">2024-04-16T21:20:43Z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2024-04-16</vt:lpwstr>
  </property>
  <property fmtid="{D5CDD505-2E9C-101B-9397-08002B2CF9AE}" pid="11" name="date-modified">
    <vt:lpwstr>2024-04-16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