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REIGN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1921-2021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Curtis Bell, Clayton Besaw, Matthew Frank</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REIGN dataset</w:t>
      </w:r>
      <w:r>
        <w:t xml:space="preserve"> </w:t>
      </w:r>
      <w:r>
        <w:t xml:space="preserve">(Bell 2016)</w:t>
      </w:r>
      <w:r>
        <w:t xml:space="preserve"> </w:t>
      </w:r>
      <w:r>
        <w:t xml:space="preserve">provide comprehensive data on all leaders from 1875 to 2021,</w:t>
      </w:r>
      <w:r>
        <w:t xml:space="preserve"> </w:t>
      </w:r>
      <w:r>
        <w:t xml:space="preserve">although our coding only includes autocoups since 1945. These datasets help</w:t>
      </w:r>
      <w:r>
        <w:t xml:space="preserve"> </w:t>
      </w:r>
      <w:r>
        <w:t xml:space="preserve">identify the actual rulers of countries, saving time in distinguishing real</w:t>
      </w:r>
      <w:r>
        <w:t xml:space="preserve"> </w:t>
      </w:r>
      <w:r>
        <w:t xml:space="preserve">leaders from nominal heads of 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As the Archigos dataset concludes at the end of 2015, I used trusted news reports</w:t>
      </w:r>
      <w:r>
        <w:t xml:space="preserve"> </w:t>
      </w:r>
      <w:r>
        <w:t xml:space="preserve">to validate data from the Incumbent Takeover dataset. In total, I coded 113</w:t>
      </w:r>
      <w:r>
        <w:t xml:space="preserve"> </w:t>
      </w:r>
      <w:r>
        <w:t xml:space="preserve">observations, with 75 overlapping with the candidate data from Incumbent</w:t>
      </w:r>
      <w:r>
        <w:t xml:space="preserve"> </w:t>
      </w:r>
      <w:r>
        <w:t xml:space="preserve">Takeover. The remaining 38 events were newly coded by the author through</w:t>
      </w:r>
      <w:r>
        <w:t xml:space="preserve"> </w:t>
      </w:r>
      <w:r>
        <w:t xml:space="preserve">verification with other sources such as Archigos, REIGN, and news reports.The</w:t>
      </w:r>
      <w:r>
        <w:t xml:space="preserve"> </w:t>
      </w:r>
      <w:r>
        <w:t xml:space="preserve">main deviation from the Incumbent Takeover dataset arises from excluding power</w:t>
      </w:r>
      <w:r>
        <w:t xml:space="preserve"> </w:t>
      </w:r>
      <w:r>
        <w:t xml:space="preserve">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bookmarkEnd w:id="35"/>
        </w:tc>
      </w:tr>
    </w:tbl>
    <w:p>
      <w:pPr>
        <w:pStyle w:val="BodyText"/>
      </w:pPr>
      <w:r>
        <w:t xml:space="preserve">According to our primary coding, we have identified 113 autocoup cases from 1945</w:t>
      </w:r>
      <w:r>
        <w:t xml:space="preserve"> </w:t>
      </w:r>
      <w:r>
        <w:t xml:space="preserve">to 2021, involving 74 countries. As shown in</w:t>
      </w:r>
      <w:r>
        <w:t xml:space="preserve"> </w:t>
      </w:r>
      <w:hyperlink w:anchor="tbl-autocoup_method">
        <w:r>
          <w:rPr>
            <w:rStyle w:val="Hyperlink"/>
          </w:rPr>
          <w:t xml:space="preserve">Table 2</w:t>
        </w:r>
      </w:hyperlink>
      <w:r>
        <w:t xml:space="preserve">,</w:t>
      </w:r>
      <w:r>
        <w:t xml:space="preserve"> </w:t>
      </w:r>
      <w:r>
        <w:t xml:space="preserve">the most common autocoup method is enabling re-election, accounting for 49</w:t>
      </w:r>
      <w:r>
        <w:t xml:space="preserve"> </w:t>
      </w:r>
      <w:r>
        <w:t xml:space="preserve">events. This is followed by removing term limits altogether, with 14 cases, and</w:t>
      </w:r>
      <w:r>
        <w:t xml:space="preserve"> </w:t>
      </w:r>
      <w:r>
        <w:t xml:space="preserve">then delaying elections and declaring the leader for life, each with 9 cases.</w:t>
      </w:r>
    </w:p>
    <w:p>
      <w:pPr>
        <w:pStyle w:val="BodyText"/>
      </w:pPr>
      <w:r>
        <w:t xml:space="preserve">Examining the success rates of autocoups, the total success rate is 78%,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0" w:name="Xaf719d404823a79d156c434b0ba7cbfc37e932f"/>
    <w:p>
      <w:pPr>
        <w:pStyle w:val="Heading2"/>
      </w:pPr>
      <w:r>
        <w:t xml:space="preserve">Determinants of Autocoup Attempts: Case Studies</w:t>
      </w:r>
    </w:p>
    <w:bookmarkStart w:id="39" w:name="X9a65d15dfd0a4b70b37a7ddd7411ac27fa4762a"/>
    <w:p>
      <w:pPr>
        <w:pStyle w:val="Heading3"/>
      </w:pPr>
      <w:r>
        <w:t xml:space="preserve">High attempts and high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at the end of the Cold War, regardless of whether they</w:t>
      </w:r>
      <w:r>
        <w:t xml:space="preserve"> </w:t>
      </w:r>
      <w:r>
        <w:t xml:space="preserve">have since transitioned to other types of regimes. In these countries, there are</w:t>
      </w:r>
      <w:r>
        <w:t xml:space="preserve"> </w:t>
      </w:r>
      <w:r>
        <w:t xml:space="preserve">12 documented cases</w:t>
      </w:r>
      <w:r>
        <w:rPr>
          <w:rStyle w:val="FootnoteReference"/>
        </w:rPr>
        <w:footnoteReference w:id="38"/>
      </w:r>
      <w:r>
        <w:t xml:space="preserve"> </w:t>
      </w:r>
      <w:r>
        <w:t xml:space="preserve">of autocoups aimed at prolonging incumbency, with only 2</w:t>
      </w:r>
      <w:r>
        <w:t xml:space="preserve"> </w:t>
      </w:r>
      <w:r>
        <w:t xml:space="preserve">of these attempts failing. Look into the cases in post-communist countries, we</w:t>
      </w:r>
      <w:r>
        <w:t xml:space="preserve"> </w:t>
      </w:r>
      <w:r>
        <w:t xml:space="preserve">can see several characteristics in these countries. First of all, although most</w:t>
      </w:r>
      <w:r>
        <w:t xml:space="preserve"> </w:t>
      </w:r>
      <w:r>
        <w:t xml:space="preserve">of these countries transferred from communist regimes to non-communist countries</w:t>
      </w:r>
      <w:r>
        <w:t xml:space="preserve"> </w:t>
      </w:r>
      <w:r>
        <w:t xml:space="preserve">(except China), they inherit the authoritarian system of communist. Secondly, the</w:t>
      </w:r>
      <w:r>
        <w:t xml:space="preserve"> </w:t>
      </w:r>
      <w:r>
        <w:t xml:space="preserve">transitions did not result in the removal or overthrow of the previous ruling</w:t>
      </w:r>
      <w:r>
        <w:t xml:space="preserve"> </w:t>
      </w:r>
      <w:r>
        <w:t xml:space="preserve">groups and the former communist elites completely remain in power. Thirdly,</w:t>
      </w:r>
      <w:r>
        <w:t xml:space="preserve"> </w:t>
      </w:r>
      <w:r>
        <w:t xml:space="preserve">although most of the countries introduced general elections and term limits, due</w:t>
      </w:r>
      <w:r>
        <w:t xml:space="preserve"> </w:t>
      </w:r>
      <w:r>
        <w:t xml:space="preserve">to the inertia of former communist regimes, the term limits are often broken and</w:t>
      </w:r>
      <w:r>
        <w:t xml:space="preserve"> </w:t>
      </w:r>
      <w:r>
        <w:t xml:space="preserve">the elections are rigged.</w:t>
      </w:r>
    </w:p>
    <w:p>
      <w:pPr>
        <w:pStyle w:val="BodyText"/>
      </w:pPr>
      <w:r>
        <w:t xml:space="preserve">For example, Lukashenko was the member Supreme Soviet of the Byelorussian Soviet</w:t>
      </w:r>
      <w:r>
        <w:t xml:space="preserve"> </w:t>
      </w:r>
      <w:r>
        <w:t xml:space="preserve">Socialist Republic before the dissolution of the Soviet Union. After the</w:t>
      </w:r>
      <w:r>
        <w:t xml:space="preserve"> </w:t>
      </w:r>
      <w:r>
        <w:t xml:space="preserve">dissolution, he assumed the position of head of the interim anti-corruption</w:t>
      </w:r>
      <w:r>
        <w:t xml:space="preserve"> </w:t>
      </w:r>
      <w:r>
        <w:t xml:space="preserve">committee of the Supreme Council of Belarus. He was elected as the first</w:t>
      </w:r>
      <w:r>
        <w:t xml:space="preserve"> </w:t>
      </w:r>
      <w:r>
        <w:t xml:space="preserve">president of Belarus in 1994, then holding the office ever since. The same</w:t>
      </w:r>
      <w:r>
        <w:t xml:space="preserve"> </w:t>
      </w:r>
      <w:r>
        <w:t xml:space="preserve">pattern happens to all the five Central Asian countries of the former Soviet</w:t>
      </w:r>
      <w:r>
        <w:t xml:space="preserve"> </w:t>
      </w:r>
      <w:r>
        <w:t xml:space="preserve">Union. In the 1994 constitutions, the presidency has a maxium of two successive</w:t>
      </w:r>
      <w:r>
        <w:t xml:space="preserve"> </w:t>
      </w:r>
      <w:r>
        <w:t xml:space="preserve">terms, but this was removed by Lukashenko in 2004. Further more, International</w:t>
      </w:r>
      <w:r>
        <w:t xml:space="preserve"> </w:t>
      </w:r>
      <w:r>
        <w:t xml:space="preserve">monitors have not regarded Belarusian elections as free and fair, except for his</w:t>
      </w:r>
      <w:r>
        <w:t xml:space="preserve"> </w:t>
      </w:r>
      <w:r>
        <w:t xml:space="preserve">initial win. Although a lot of protests against Lukashenko, he claimed to win</w:t>
      </w:r>
      <w:r>
        <w:t xml:space="preserve"> </w:t>
      </w:r>
      <w:r>
        <w:t xml:space="preserve">with a pretty high votes, almost more than 80% in each election. The</w:t>
      </w:r>
      <w:r>
        <w:t xml:space="preserve"> </w:t>
      </w:r>
      <w:r>
        <w:t xml:space="preserve">post-dissolution leaders of these countries are all high officials or heads of</w:t>
      </w:r>
      <w:r>
        <w:t xml:space="preserve"> </w:t>
      </w:r>
      <w:r>
        <w:t xml:space="preserve">the former Soviet republics and continued their leadership in presidency.</w:t>
      </w:r>
    </w:p>
    <w:bookmarkEnd w:id="39"/>
    <w:bookmarkEnd w:id="40"/>
    <w:bookmarkStart w:id="89" w:name="X9a4805636581ebc415611f36c260a1877ae8324"/>
    <w:p>
      <w:pPr>
        <w:pStyle w:val="Heading2"/>
      </w:pPr>
      <w:r>
        <w:t xml:space="preserve">Determinants of Autocoup Attempts: Case Studies</w:t>
      </w:r>
    </w:p>
    <w:bookmarkStart w:id="8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at the end of the Cold War, regardless of whether they</w:t>
      </w:r>
      <w:r>
        <w:t xml:space="preserve"> </w:t>
      </w:r>
      <w:r>
        <w:t xml:space="preserve">have since transitioned to other types of regimes. In these countries, there are</w:t>
      </w:r>
      <w:r>
        <w:t xml:space="preserve"> </w:t>
      </w:r>
      <w:r>
        <w:t xml:space="preserve">12 documented cases</w:t>
      </w:r>
      <w:r>
        <w:rPr>
          <w:rStyle w:val="FootnoteReference"/>
        </w:rPr>
        <w:footnoteReference w:id="41"/>
      </w:r>
      <w:r>
        <w:t xml:space="preserve"> </w:t>
      </w:r>
      <w:r>
        <w:t xml:space="preserve">of autocoups aimed at prolonging incumbency, with only 2</w:t>
      </w:r>
      <w:r>
        <w:t xml:space="preserve"> </w:t>
      </w:r>
      <w:r>
        <w:t xml:space="preserve">of these attempts failing.</w:t>
      </w:r>
    </w:p>
    <w:p>
      <w:pPr>
        <w:pStyle w:val="BodyText"/>
      </w:pPr>
      <w:r>
        <w:t xml:space="preserve">Examining the cases in post-communist countries, several characteristics stand</w:t>
      </w:r>
      <w:r>
        <w:t xml:space="preserve"> </w:t>
      </w:r>
      <w:r>
        <w:t xml:space="preserve">out:</w:t>
      </w:r>
    </w:p>
    <w:p>
      <w:pPr>
        <w:numPr>
          <w:ilvl w:val="0"/>
          <w:numId w:val="1012"/>
        </w:numPr>
        <w:pStyle w:val="Compact"/>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Style w:val="Compact"/>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Style w:val="Compact"/>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constitutions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bookmarkStart w:id="87" w:name="refs"/>
    <w:bookmarkStart w:id="43"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2">
        <w:r>
          <w:rPr>
            <w:rStyle w:val="Hyperlink"/>
          </w:rPr>
          <w:t xml:space="preserve">https://doi.org/10.1177/08969205211049499</w:t>
        </w:r>
      </w:hyperlink>
      <w:r>
        <w:t xml:space="preserve">.</w:t>
      </w:r>
    </w:p>
    <w:bookmarkEnd w:id="43"/>
    <w:bookmarkStart w:id="45" w:name="ref-baturo2014"/>
    <w:p>
      <w:pPr>
        <w:pStyle w:val="Bibliography"/>
      </w:pPr>
      <w:r>
        <w:t xml:space="preserve">Baturo, Alexander. 2014.</w:t>
      </w:r>
      <w:r>
        <w:t xml:space="preserve"> </w:t>
      </w:r>
      <w:r>
        <w:t xml:space="preserve">“Democracy, Dictatorship, and Term Limits.”</w:t>
      </w:r>
      <w:r>
        <w:t xml:space="preserve"> </w:t>
      </w:r>
      <w:hyperlink r:id="rId44">
        <w:r>
          <w:rPr>
            <w:rStyle w:val="Hyperlink"/>
          </w:rPr>
          <w:t xml:space="preserve">https://doi.org/10.3998/mpub.4772634</w:t>
        </w:r>
      </w:hyperlink>
      <w:r>
        <w:t xml:space="preserve">.</w:t>
      </w:r>
    </w:p>
    <w:bookmarkEnd w:id="45"/>
    <w:bookmarkStart w:id="47"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46">
        <w:r>
          <w:rPr>
            <w:rStyle w:val="Hyperlink"/>
          </w:rPr>
          <w:t xml:space="preserve">https://doi.org/10.1093/oso/9780198837404.003.0005</w:t>
        </w:r>
      </w:hyperlink>
      <w:r>
        <w:t xml:space="preserve">.</w:t>
      </w:r>
    </w:p>
    <w:bookmarkEnd w:id="47"/>
    <w:bookmarkStart w:id="49"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48">
        <w:r>
          <w:rPr>
            <w:rStyle w:val="Hyperlink"/>
          </w:rPr>
          <w:t xml:space="preserve">https://doi.org/10.1177/00223433221075183</w:t>
        </w:r>
      </w:hyperlink>
      <w:r>
        <w:t xml:space="preserve">.</w:t>
      </w:r>
    </w:p>
    <w:bookmarkEnd w:id="49"/>
    <w:bookmarkStart w:id="51" w:name="ref-bell2016reign"/>
    <w:p>
      <w:pPr>
        <w:pStyle w:val="Bibliography"/>
      </w:pPr>
      <w:r>
        <w:t xml:space="preserve">Bell, Curtis. 2016.</w:t>
      </w:r>
      <w:r>
        <w:t xml:space="preserve"> </w:t>
      </w:r>
      <w:r>
        <w:t xml:space="preserve">“The Rulers, Elections, and Irregular Governance (REIGN) Dataset.”</w:t>
      </w:r>
      <w:r>
        <w:t xml:space="preserve"> </w:t>
      </w:r>
      <w:r>
        <w:t xml:space="preserve">Broomfield, CO: OEF Research.</w:t>
      </w:r>
      <w:r>
        <w:t xml:space="preserve"> </w:t>
      </w:r>
      <w:hyperlink r:id="rId50">
        <w:r>
          <w:rPr>
            <w:rStyle w:val="Hyperlink"/>
          </w:rPr>
          <w:t xml:space="preserve">https://oneearthfuture.org/en/one-earth-future/reign-dataset-international-elections-and-leaders</w:t>
        </w:r>
      </w:hyperlink>
      <w:r>
        <w:t xml:space="preserve">.</w:t>
      </w:r>
    </w:p>
    <w:bookmarkEnd w:id="51"/>
    <w:bookmarkStart w:id="53"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2">
        <w:r>
          <w:rPr>
            <w:rStyle w:val="Hyperlink"/>
          </w:rPr>
          <w:t xml:space="preserve">https://doi.org/10.1353/jod.2016.0012</w:t>
        </w:r>
      </w:hyperlink>
      <w:r>
        <w:t xml:space="preserve">.</w:t>
      </w:r>
    </w:p>
    <w:bookmarkEnd w:id="53"/>
    <w:bookmarkStart w:id="55"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54">
        <w:r>
          <w:rPr>
            <w:rStyle w:val="Hyperlink"/>
          </w:rPr>
          <w:t xml:space="preserve">https://doi.org/10.1080/01436599814433</w:t>
        </w:r>
      </w:hyperlink>
      <w:r>
        <w:t xml:space="preserve">.</w:t>
      </w:r>
    </w:p>
    <w:bookmarkEnd w:id="55"/>
    <w:bookmarkStart w:id="57"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56">
        <w:r>
          <w:rPr>
            <w:rStyle w:val="Hyperlink"/>
          </w:rPr>
          <w:t xml:space="preserve">https://doi.org/10.1353/jod.1998.0003</w:t>
        </w:r>
      </w:hyperlink>
      <w:r>
        <w:t xml:space="preserve">.</w:t>
      </w:r>
    </w:p>
    <w:bookmarkEnd w:id="57"/>
    <w:bookmarkStart w:id="5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58">
        <w:r>
          <w:rPr>
            <w:rStyle w:val="Hyperlink"/>
          </w:rPr>
          <w:t xml:space="preserve">https://doi.org/10.1093/oso/9780198837404.003.0019</w:t>
        </w:r>
      </w:hyperlink>
      <w:r>
        <w:t xml:space="preserve">.</w:t>
      </w:r>
    </w:p>
    <w:bookmarkEnd w:id="59"/>
    <w:bookmarkStart w:id="61"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60">
        <w:r>
          <w:rPr>
            <w:rStyle w:val="Hyperlink"/>
          </w:rPr>
          <w:t xml:space="preserve">https://doi.org/10.1093/oso/9780198837404.003.0014</w:t>
        </w:r>
      </w:hyperlink>
      <w:r>
        <w:t xml:space="preserve">.</w:t>
      </w:r>
    </w:p>
    <w:bookmarkEnd w:id="61"/>
    <w:bookmarkStart w:id="6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62">
        <w:r>
          <w:rPr>
            <w:rStyle w:val="Hyperlink"/>
          </w:rPr>
          <w:t xml:space="preserve">https://doi.org/10.1177/0010414016655538</w:t>
        </w:r>
      </w:hyperlink>
      <w:r>
        <w:t xml:space="preserve">.</w:t>
      </w:r>
    </w:p>
    <w:bookmarkEnd w:id="63"/>
    <w:bookmarkStart w:id="64"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64"/>
    <w:bookmarkStart w:id="65"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65"/>
    <w:bookmarkStart w:id="67"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66">
        <w:r>
          <w:rPr>
            <w:rStyle w:val="Hyperlink"/>
          </w:rPr>
          <w:t xml:space="preserve">https://doi.org/10.1177/0022343308100719</w:t>
        </w:r>
      </w:hyperlink>
      <w:r>
        <w:t xml:space="preserve">.</w:t>
      </w:r>
    </w:p>
    <w:bookmarkEnd w:id="67"/>
    <w:bookmarkStart w:id="69"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68">
        <w:r>
          <w:rPr>
            <w:rStyle w:val="Hyperlink"/>
          </w:rPr>
          <w:t xml:space="preserve">https://doi.org/10.1017/9781139031738</w:t>
        </w:r>
      </w:hyperlink>
      <w:r>
        <w:t xml:space="preserve">.</w:t>
      </w:r>
    </w:p>
    <w:bookmarkEnd w:id="69"/>
    <w:bookmarkStart w:id="71"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70">
        <w:r>
          <w:rPr>
            <w:rStyle w:val="Hyperlink"/>
          </w:rPr>
          <w:t xml:space="preserve">https://doi.org/10.1177/0032321719888857</w:t>
        </w:r>
      </w:hyperlink>
      <w:r>
        <w:t xml:space="preserve">.</w:t>
      </w:r>
    </w:p>
    <w:bookmarkEnd w:id="71"/>
    <w:bookmarkStart w:id="73"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72">
        <w:r>
          <w:rPr>
            <w:rStyle w:val="Hyperlink"/>
          </w:rPr>
          <w:t xml:space="preserve">https://doi.org/10.1017/s0023879100017155</w:t>
        </w:r>
      </w:hyperlink>
      <w:r>
        <w:t xml:space="preserve">.</w:t>
      </w:r>
    </w:p>
    <w:bookmarkEnd w:id="73"/>
    <w:bookmarkStart w:id="75"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74">
        <w:r>
          <w:rPr>
            <w:rStyle w:val="Hyperlink"/>
          </w:rPr>
          <w:t xml:space="preserve">https://doi.org/10.1017/gov.2022.13</w:t>
        </w:r>
      </w:hyperlink>
      <w:r>
        <w:t xml:space="preserve">.</w:t>
      </w:r>
    </w:p>
    <w:bookmarkEnd w:id="75"/>
    <w:bookmarkStart w:id="77"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6">
        <w:r>
          <w:rPr>
            <w:rStyle w:val="Hyperlink"/>
          </w:rPr>
          <w:t xml:space="preserve">https://doi.org/10.1177/0022343310397436</w:t>
        </w:r>
      </w:hyperlink>
      <w:r>
        <w:t xml:space="preserve">.</w:t>
      </w:r>
    </w:p>
    <w:bookmarkEnd w:id="77"/>
    <w:bookmarkStart w:id="79"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78">
        <w:r>
          <w:rPr>
            <w:rStyle w:val="Hyperlink"/>
          </w:rPr>
          <w:t xml:space="preserve">https://doi.org/10.1017/cbo9780511804946</w:t>
        </w:r>
      </w:hyperlink>
      <w:r>
        <w:t xml:space="preserve">.</w:t>
      </w:r>
    </w:p>
    <w:bookmarkEnd w:id="79"/>
    <w:bookmarkStart w:id="81"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80">
        <w:r>
          <w:rPr>
            <w:rStyle w:val="Hyperlink"/>
          </w:rPr>
          <w:t xml:space="preserve">https://doi.org/10.1177/073889420201900203</w:t>
        </w:r>
      </w:hyperlink>
      <w:r>
        <w:t xml:space="preserve">.</w:t>
      </w:r>
    </w:p>
    <w:bookmarkEnd w:id="81"/>
    <w:bookmarkStart w:id="83"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82">
        <w:r>
          <w:rPr>
            <w:rStyle w:val="Hyperlink"/>
          </w:rPr>
          <w:t xml:space="preserve">https://doi.org/10.1017/s0007123413000550</w:t>
        </w:r>
      </w:hyperlink>
      <w:r>
        <w:t xml:space="preserve">.</w:t>
      </w:r>
    </w:p>
    <w:bookmarkEnd w:id="83"/>
    <w:bookmarkStart w:id="85"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84">
        <w:r>
          <w:rPr>
            <w:rStyle w:val="Hyperlink"/>
          </w:rPr>
          <w:t xml:space="preserve">https://doi.org/10.1093/acrefore/9780190846626.013.369</w:t>
        </w:r>
      </w:hyperlink>
      <w:r>
        <w:t xml:space="preserve">.</w:t>
      </w:r>
    </w:p>
    <w:bookmarkEnd w:id="85"/>
    <w:bookmarkStart w:id="86"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86"/>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The 12 cases involve 11 countries, with Azerbaijan experiencing two</w:t>
      </w:r>
      <w:r>
        <w:t xml:space="preserve"> </w:t>
      </w:r>
      <w:r>
        <w:t xml:space="preserve">autocoup attempts.</w:t>
      </w:r>
    </w:p>
  </w:footnote>
  <w:footnote w:id="41">
    <w:p>
      <w:pPr>
        <w:pStyle w:val="FootnoteText"/>
      </w:pPr>
      <w:r>
        <w:rPr>
          <w:rStyle w:val="FootnoteReference"/>
        </w:rPr>
        <w:footnoteRef/>
      </w:r>
      <w:r>
        <w:t xml:space="preserve"> </w:t>
      </w:r>
      <w:r>
        <w:t xml:space="preserve">The 12 cases involve 11 countries, with Azerbaijan experiencing two</w:t>
      </w:r>
      <w:r>
        <w:t xml:space="preserve"> </w:t>
      </w:r>
      <w:r>
        <w:t xml:space="preserve">autocoup attempts.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17/9781139031738" TargetMode="External" /><Relationship Type="http://schemas.openxmlformats.org/officeDocument/2006/relationships/hyperlink" Id="rId78" Target="https://doi.org/10.1017/cbo9780511804946" TargetMode="External" /><Relationship Type="http://schemas.openxmlformats.org/officeDocument/2006/relationships/hyperlink" Id="rId74" Target="https://doi.org/10.1017/gov.2022.13" TargetMode="External" /><Relationship Type="http://schemas.openxmlformats.org/officeDocument/2006/relationships/hyperlink" Id="rId82" Target="https://doi.org/10.1017/s0007123413000550" TargetMode="External" /><Relationship Type="http://schemas.openxmlformats.org/officeDocument/2006/relationships/hyperlink" Id="rId72" Target="https://doi.org/10.1017/s0023879100017155" TargetMode="External" /><Relationship Type="http://schemas.openxmlformats.org/officeDocument/2006/relationships/hyperlink" Id="rId54" Target="https://doi.org/10.1080/01436599814433" TargetMode="External" /><Relationship Type="http://schemas.openxmlformats.org/officeDocument/2006/relationships/hyperlink" Id="rId84" Target="https://doi.org/10.1093/acrefore/9780190846626.013.369" TargetMode="External" /><Relationship Type="http://schemas.openxmlformats.org/officeDocument/2006/relationships/hyperlink" Id="rId46" Target="https://doi.org/10.1093/oso/9780198837404.003.0005" TargetMode="External" /><Relationship Type="http://schemas.openxmlformats.org/officeDocument/2006/relationships/hyperlink" Id="rId60" Target="https://doi.org/10.1093/oso/9780198837404.003.0014" TargetMode="External" /><Relationship Type="http://schemas.openxmlformats.org/officeDocument/2006/relationships/hyperlink" Id="rId58" Target="https://doi.org/10.1093/oso/9780198837404.003.0019" TargetMode="External" /><Relationship Type="http://schemas.openxmlformats.org/officeDocument/2006/relationships/hyperlink" Id="rId62" Target="https://doi.org/10.1177/0010414016655538" TargetMode="External" /><Relationship Type="http://schemas.openxmlformats.org/officeDocument/2006/relationships/hyperlink" Id="rId66" Target="https://doi.org/10.1177/0022343308100719" TargetMode="External" /><Relationship Type="http://schemas.openxmlformats.org/officeDocument/2006/relationships/hyperlink" Id="rId76" Target="https://doi.org/10.1177/0022343310397436" TargetMode="External" /><Relationship Type="http://schemas.openxmlformats.org/officeDocument/2006/relationships/hyperlink" Id="rId48" Target="https://doi.org/10.1177/00223433221075183" TargetMode="External" /><Relationship Type="http://schemas.openxmlformats.org/officeDocument/2006/relationships/hyperlink" Id="rId70" Target="https://doi.org/10.1177/0032321719888857" TargetMode="External" /><Relationship Type="http://schemas.openxmlformats.org/officeDocument/2006/relationships/hyperlink" Id="rId80" Target="https://doi.org/10.1177/073889420201900203" TargetMode="External" /><Relationship Type="http://schemas.openxmlformats.org/officeDocument/2006/relationships/hyperlink" Id="rId42" Target="https://doi.org/10.1177/08969205211049499" TargetMode="External" /><Relationship Type="http://schemas.openxmlformats.org/officeDocument/2006/relationships/hyperlink" Id="rId56" Target="https://doi.org/10.1353/jod.1998.0003" TargetMode="External" /><Relationship Type="http://schemas.openxmlformats.org/officeDocument/2006/relationships/hyperlink" Id="rId52" Target="https://doi.org/10.1353/jod.2016.0012" TargetMode="External" /><Relationship Type="http://schemas.openxmlformats.org/officeDocument/2006/relationships/hyperlink" Id="rId44" Target="https://doi.org/10.3998/mpub.4772634" TargetMode="External" /><Relationship Type="http://schemas.openxmlformats.org/officeDocument/2006/relationships/hyperlink" Id="rId50" Target="https://oneearthfuture.org/en/one-earth-future/reign-dataset-international-elections-and-leader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17/9781139031738" TargetMode="External" /><Relationship Type="http://schemas.openxmlformats.org/officeDocument/2006/relationships/hyperlink" Id="rId78" Target="https://doi.org/10.1017/cbo9780511804946" TargetMode="External" /><Relationship Type="http://schemas.openxmlformats.org/officeDocument/2006/relationships/hyperlink" Id="rId74" Target="https://doi.org/10.1017/gov.2022.13" TargetMode="External" /><Relationship Type="http://schemas.openxmlformats.org/officeDocument/2006/relationships/hyperlink" Id="rId82" Target="https://doi.org/10.1017/s0007123413000550" TargetMode="External" /><Relationship Type="http://schemas.openxmlformats.org/officeDocument/2006/relationships/hyperlink" Id="rId72" Target="https://doi.org/10.1017/s0023879100017155" TargetMode="External" /><Relationship Type="http://schemas.openxmlformats.org/officeDocument/2006/relationships/hyperlink" Id="rId54" Target="https://doi.org/10.1080/01436599814433" TargetMode="External" /><Relationship Type="http://schemas.openxmlformats.org/officeDocument/2006/relationships/hyperlink" Id="rId84" Target="https://doi.org/10.1093/acrefore/9780190846626.013.369" TargetMode="External" /><Relationship Type="http://schemas.openxmlformats.org/officeDocument/2006/relationships/hyperlink" Id="rId46" Target="https://doi.org/10.1093/oso/9780198837404.003.0005" TargetMode="External" /><Relationship Type="http://schemas.openxmlformats.org/officeDocument/2006/relationships/hyperlink" Id="rId60" Target="https://doi.org/10.1093/oso/9780198837404.003.0014" TargetMode="External" /><Relationship Type="http://schemas.openxmlformats.org/officeDocument/2006/relationships/hyperlink" Id="rId58" Target="https://doi.org/10.1093/oso/9780198837404.003.0019" TargetMode="External" /><Relationship Type="http://schemas.openxmlformats.org/officeDocument/2006/relationships/hyperlink" Id="rId62" Target="https://doi.org/10.1177/0010414016655538" TargetMode="External" /><Relationship Type="http://schemas.openxmlformats.org/officeDocument/2006/relationships/hyperlink" Id="rId66" Target="https://doi.org/10.1177/0022343308100719" TargetMode="External" /><Relationship Type="http://schemas.openxmlformats.org/officeDocument/2006/relationships/hyperlink" Id="rId76" Target="https://doi.org/10.1177/0022343310397436" TargetMode="External" /><Relationship Type="http://schemas.openxmlformats.org/officeDocument/2006/relationships/hyperlink" Id="rId48" Target="https://doi.org/10.1177/00223433221075183" TargetMode="External" /><Relationship Type="http://schemas.openxmlformats.org/officeDocument/2006/relationships/hyperlink" Id="rId70" Target="https://doi.org/10.1177/0032321719888857" TargetMode="External" /><Relationship Type="http://schemas.openxmlformats.org/officeDocument/2006/relationships/hyperlink" Id="rId80" Target="https://doi.org/10.1177/073889420201900203" TargetMode="External" /><Relationship Type="http://schemas.openxmlformats.org/officeDocument/2006/relationships/hyperlink" Id="rId42" Target="https://doi.org/10.1177/08969205211049499" TargetMode="External" /><Relationship Type="http://schemas.openxmlformats.org/officeDocument/2006/relationships/hyperlink" Id="rId56" Target="https://doi.org/10.1353/jod.1998.0003" TargetMode="External" /><Relationship Type="http://schemas.openxmlformats.org/officeDocument/2006/relationships/hyperlink" Id="rId52" Target="https://doi.org/10.1353/jod.2016.0012" TargetMode="External" /><Relationship Type="http://schemas.openxmlformats.org/officeDocument/2006/relationships/hyperlink" Id="rId44" Target="https://doi.org/10.3998/mpub.4772634" TargetMode="External" /><Relationship Type="http://schemas.openxmlformats.org/officeDocument/2006/relationships/hyperlink" Id="rId50" Target="https://oneearthfuture.org/en/one-earth-future/reign-dataset-international-elections-and-lea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2024-06-25T18:10:45Z</dcterms:created>
  <dcterms:modified xsi:type="dcterms:W3CDTF">2024-06-25T18:10:45Z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2024-06-25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