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overstay</w:t>
      </w:r>
      <w:r>
        <w:t xml:space="preserve"> </w:t>
      </w:r>
      <w:r>
        <w:t xml:space="preserve">coups,</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overstay</w:t>
      </w:r>
      <w:r>
        <w:t xml:space="preserve"> </w:t>
      </w:r>
      <w:r>
        <w:t xml:space="preserve">coups</w:t>
      </w:r>
      <w:r>
        <w:t xml:space="preserve"> </w:t>
      </w:r>
      <w:r>
        <w:t xml:space="preserve">from</w:t>
      </w:r>
      <w:r>
        <w:t xml:space="preserve"> </w:t>
      </w:r>
      <w:r>
        <w:t xml:space="preserve">the</w:t>
      </w:r>
      <w:r>
        <w:t xml:space="preserve"> </w:t>
      </w:r>
      <w:r>
        <w:t xml:space="preserve">broader,</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autocoups,</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introduces</w:t>
      </w:r>
      <w:r>
        <w:t xml:space="preserve"> </w:t>
      </w:r>
      <w:r>
        <w:t xml:space="preserve">a</w:t>
      </w:r>
      <w:r>
        <w:t xml:space="preserve"> </w:t>
      </w:r>
      <w:r>
        <w:t xml:space="preserve">refined</w:t>
      </w:r>
      <w:r>
        <w:t xml:space="preserve"> </w:t>
      </w:r>
      <w:r>
        <w:t xml:space="preserve">understanding</w:t>
      </w:r>
      <w:r>
        <w:t xml:space="preserve"> </w:t>
      </w:r>
      <w:r>
        <w:t xml:space="preserve">of</w:t>
      </w:r>
      <w:r>
        <w:t xml:space="preserve"> </w:t>
      </w:r>
      <w:r>
        <w:t xml:space="preserve">these</w:t>
      </w:r>
      <w:r>
        <w:t xml:space="preserve"> </w:t>
      </w:r>
      <w:r>
        <w:t xml:space="preserve">specific</w:t>
      </w:r>
      <w:r>
        <w:t xml:space="preserve"> </w:t>
      </w:r>
      <w:r>
        <w:t xml:space="preserve">political</w:t>
      </w:r>
      <w:r>
        <w:t xml:space="preserve"> </w:t>
      </w:r>
      <w:r>
        <w:t xml:space="preserve">events.</w:t>
      </w:r>
    </w:p>
    <w:p>
      <w:pPr>
        <w:pStyle w:val="Abstract"/>
      </w:pPr>
      <w:r>
        <w:t xml:space="preserve">The</w:t>
      </w:r>
      <w:r>
        <w:t xml:space="preserve"> </w:t>
      </w:r>
      <w:r>
        <w:t xml:space="preserve">research</w:t>
      </w:r>
      <w:r>
        <w:t xml:space="preserve"> </w:t>
      </w:r>
      <w:r>
        <w:t xml:space="preserve">involves</w:t>
      </w:r>
      <w:r>
        <w:t xml:space="preserve"> </w:t>
      </w:r>
      <w:r>
        <w:t xml:space="preserve">coding</w:t>
      </w:r>
      <w:r>
        <w:t xml:space="preserve"> </w:t>
      </w:r>
      <w:r>
        <w:t xml:space="preserve">overstay</w:t>
      </w:r>
      <w:r>
        <w:t xml:space="preserve"> </w:t>
      </w:r>
      <w:r>
        <w:t xml:space="preserve">coup</w:t>
      </w:r>
      <w:r>
        <w:t xml:space="preserve"> </w:t>
      </w:r>
      <w:r>
        <w:t xml:space="preserve">events</w:t>
      </w:r>
      <w:r>
        <w:t xml:space="preserve"> </w:t>
      </w:r>
      <w:r>
        <w:t xml:space="preserve">and</w:t>
      </w:r>
      <w:r>
        <w:t xml:space="preserve"> </w:t>
      </w:r>
      <w:r>
        <w:t xml:space="preserve">compiling</w:t>
      </w:r>
      <w:r>
        <w:t xml:space="preserve"> </w:t>
      </w:r>
      <w:r>
        <w:t xml:space="preserve">a</w:t>
      </w:r>
      <w:r>
        <w:t xml:space="preserve"> </w:t>
      </w:r>
      <w:r>
        <w:t xml:space="preserve">comprehensive</w:t>
      </w:r>
      <w:r>
        <w:t xml:space="preserve"> </w:t>
      </w:r>
      <w:r>
        <w:t xml:space="preserve">dataset</w:t>
      </w:r>
      <w:r>
        <w:t xml:space="preserve"> </w:t>
      </w:r>
      <w:r>
        <w:t xml:space="preserve">covering</w:t>
      </w:r>
      <w:r>
        <w:t xml:space="preserve"> </w:t>
      </w:r>
      <w:r>
        <w:t xml:space="preserve">the</w:t>
      </w:r>
      <w:r>
        <w:t xml:space="preserve"> </w:t>
      </w:r>
      <w:r>
        <w:t xml:space="preserve">period</w:t>
      </w:r>
      <w:r>
        <w:t xml:space="preserve"> </w:t>
      </w:r>
      <w:r>
        <w:t xml:space="preserve">from</w:t>
      </w:r>
      <w:r>
        <w:t xml:space="preserve"> </w:t>
      </w:r>
      <w:r>
        <w:t xml:space="preserve">1945</w:t>
      </w:r>
      <w:r>
        <w:t xml:space="preserve"> </w:t>
      </w:r>
      <w:r>
        <w:t xml:space="preserve">to</w:t>
      </w:r>
      <w:r>
        <w:t xml:space="preserve"> </w:t>
      </w:r>
      <w:r>
        <w:t xml:space="preserve">the</w:t>
      </w:r>
      <w:r>
        <w:t xml:space="preserve"> </w:t>
      </w:r>
      <w:r>
        <w:t xml:space="preserve">present.</w:t>
      </w:r>
      <w:r>
        <w:t xml:space="preserve"> </w:t>
      </w:r>
      <w:r>
        <w:t xml:space="preserve">Using</w:t>
      </w:r>
      <w:r>
        <w:t xml:space="preserve"> </w:t>
      </w:r>
      <w:r>
        <w:t xml:space="preserve">this</w:t>
      </w:r>
      <w:r>
        <w:t xml:space="preserve"> </w:t>
      </w:r>
      <w:r>
        <w:t xml:space="preserve">dataset,</w:t>
      </w:r>
      <w:r>
        <w:t xml:space="preserve"> </w:t>
      </w:r>
      <w:r>
        <w:t xml:space="preserve">two</w:t>
      </w:r>
      <w:r>
        <w:t xml:space="preserve"> </w:t>
      </w:r>
      <w:r>
        <w:t xml:space="preserve">detailed</w:t>
      </w:r>
      <w:r>
        <w:t xml:space="preserve"> </w:t>
      </w:r>
      <w:r>
        <w:t xml:space="preserve">case</w:t>
      </w:r>
      <w:r>
        <w:t xml:space="preserve"> </w:t>
      </w:r>
      <w:r>
        <w:t xml:space="preserve">studies</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and</w:t>
      </w:r>
      <w:r>
        <w:t xml:space="preserve"> </w:t>
      </w:r>
      <w:r>
        <w:t xml:space="preserve">outcomes</w:t>
      </w:r>
      <w:r>
        <w:t xml:space="preserve"> </w:t>
      </w:r>
      <w:r>
        <w:t xml:space="preserve">of</w:t>
      </w:r>
      <w:r>
        <w:t xml:space="preserve"> </w:t>
      </w:r>
      <w:r>
        <w:t xml:space="preserve">overstay</w:t>
      </w:r>
      <w:r>
        <w:t xml:space="preserve"> </w:t>
      </w:r>
      <w:r>
        <w:t xml:space="preserve">coups.</w:t>
      </w:r>
      <w:r>
        <w:t xml:space="preserve"> </w:t>
      </w:r>
      <w:r>
        <w:t xml:space="preserve">Additionally,</w:t>
      </w:r>
      <w:r>
        <w:t xml:space="preserve"> </w:t>
      </w:r>
      <w:r>
        <w:t xml:space="preserve">a</w:t>
      </w:r>
      <w:r>
        <w:t xml:space="preserve"> </w:t>
      </w:r>
      <w:r>
        <w:t xml:space="preserve">regression</w:t>
      </w:r>
      <w:r>
        <w:t xml:space="preserve"> </w:t>
      </w:r>
      <w:r>
        <w:t xml:space="preserve">analysis</w:t>
      </w:r>
      <w:r>
        <w:t xml:space="preserve"> </w:t>
      </w:r>
      <w:r>
        <w:t xml:space="preserve">identifies</w:t>
      </w:r>
      <w:r>
        <w:t xml:space="preserve"> </w:t>
      </w:r>
      <w:r>
        <w:t xml:space="preserve">the</w:t>
      </w:r>
      <w:r>
        <w:t xml:space="preserve"> </w:t>
      </w:r>
      <w:r>
        <w:t xml:space="preserve">determinants</w:t>
      </w:r>
      <w:r>
        <w:t xml:space="preserve"> </w:t>
      </w:r>
      <w:r>
        <w:t xml:space="preserve">of</w:t>
      </w:r>
      <w:r>
        <w:t xml:space="preserve"> </w:t>
      </w:r>
      <w:r>
        <w:t xml:space="preserve">overstay</w:t>
      </w:r>
      <w:r>
        <w:t xml:space="preserve"> </w:t>
      </w:r>
      <w:r>
        <w:t xml:space="preserve">coup</w:t>
      </w:r>
      <w:r>
        <w:t xml:space="preserve"> </w:t>
      </w:r>
      <w:r>
        <w:t xml:space="preserve">attempts,</w:t>
      </w:r>
      <w:r>
        <w:t xml:space="preserve"> </w:t>
      </w:r>
      <w:r>
        <w:t xml:space="preserve">shedding</w:t>
      </w:r>
      <w:r>
        <w:t xml:space="preserve"> </w:t>
      </w:r>
      <w:r>
        <w:t xml:space="preserve">light</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influence</w:t>
      </w:r>
      <w:r>
        <w:t xml:space="preserve"> </w:t>
      </w:r>
      <w:r>
        <w:t xml:space="preserve">incumbents’</w:t>
      </w:r>
      <w:r>
        <w:t xml:space="preserve"> </w:t>
      </w:r>
      <w:r>
        <w:t xml:space="preserve">decisions</w:t>
      </w:r>
      <w:r>
        <w:t xml:space="preserve"> </w:t>
      </w:r>
      <w:r>
        <w:t xml:space="preserve">to</w:t>
      </w:r>
      <w:r>
        <w:t xml:space="preserve"> </w:t>
      </w:r>
      <w:r>
        <w:t xml:space="preserve">extend</w:t>
      </w:r>
      <w:r>
        <w:t xml:space="preserve"> </w:t>
      </w:r>
      <w:r>
        <w:t xml:space="preserve">their</w:t>
      </w:r>
      <w:r>
        <w:t xml:space="preserve"> </w:t>
      </w:r>
      <w:r>
        <w:t xml:space="preserve">power</w:t>
      </w:r>
      <w:r>
        <w:t xml:space="preserve"> </w:t>
      </w:r>
      <w:r>
        <w:t xml:space="preserve">illegitimately.</w:t>
      </w:r>
    </w:p>
    <w:p>
      <w:pPr>
        <w:pStyle w:val="Abstract"/>
      </w:pPr>
      <w:r>
        <w:t xml:space="preserve">The</w:t>
      </w:r>
      <w:r>
        <w:t xml:space="preserve"> </w:t>
      </w:r>
      <w:r>
        <w:t xml:space="preserve">findings</w:t>
      </w:r>
      <w:r>
        <w:t xml:space="preserve"> </w:t>
      </w:r>
      <w:r>
        <w:t xml:space="preserve">contribute</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empirical</w:t>
      </w:r>
      <w:r>
        <w:t xml:space="preserve"> </w:t>
      </w:r>
      <w:r>
        <w:t xml:space="preserve">evidence</w:t>
      </w:r>
      <w:r>
        <w:t xml:space="preserve"> </w:t>
      </w:r>
      <w:r>
        <w:t xml:space="preserve">on</w:t>
      </w:r>
      <w:r>
        <w:t xml:space="preserve"> </w:t>
      </w:r>
      <w:r>
        <w:t xml:space="preserve">overstay</w:t>
      </w:r>
      <w:r>
        <w:t xml:space="preserve"> </w:t>
      </w:r>
      <w:r>
        <w:t xml:space="preserve">coups.</w:t>
      </w:r>
      <w:r>
        <w:t xml:space="preserve"> </w:t>
      </w:r>
      <w:r>
        <w:t xml:space="preserve">This</w:t>
      </w:r>
      <w:r>
        <w:t xml:space="preserve"> </w:t>
      </w:r>
      <w:r>
        <w:t xml:space="preserve">research</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it</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resilience,</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of</w:t>
      </w:r>
      <w:r>
        <w:t xml:space="preserve"> </w:t>
      </w:r>
      <w:r>
        <w:t xml:space="preserve">power,</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inform</w:t>
      </w:r>
      <w:r>
        <w:t xml:space="preserve"> </w:t>
      </w:r>
      <w:r>
        <w:t xml:space="preserve">policy</w:t>
      </w:r>
      <w:r>
        <w:t xml:space="preserve"> </w:t>
      </w:r>
      <w:r>
        <w:t xml:space="preserve">and</w:t>
      </w:r>
      <w:r>
        <w:t xml:space="preserve"> </w:t>
      </w:r>
      <w:r>
        <w:t xml:space="preserve">theoretical</w:t>
      </w:r>
      <w:r>
        <w:t xml:space="preserve"> </w:t>
      </w:r>
      <w:r>
        <w:t xml:space="preserve">discussions</w:t>
      </w:r>
      <w:r>
        <w:t xml:space="preserve"> </w:t>
      </w:r>
      <w:r>
        <w:t xml:space="preserve">on</w:t>
      </w:r>
      <w:r>
        <w:t xml:space="preserve"> </w:t>
      </w:r>
      <w:r>
        <w:t xml:space="preserve">political</w:t>
      </w:r>
      <w:r>
        <w:t xml:space="preserve"> </w:t>
      </w:r>
      <w:r>
        <w:t xml:space="preserve">stability</w:t>
      </w:r>
      <w:r>
        <w:t xml:space="preserve"> </w:t>
      </w:r>
      <w:r>
        <w:t xml:space="preserve">and</w:t>
      </w:r>
      <w:r>
        <w:t xml:space="preserve"> </w:t>
      </w:r>
      <w:r>
        <w:t xml:space="preserve">the</w:t>
      </w:r>
      <w:r>
        <w:t xml:space="preserve"> </w:t>
      </w:r>
      <w:r>
        <w:t xml:space="preserve">challenges</w:t>
      </w:r>
      <w:r>
        <w:t xml:space="preserve"> </w:t>
      </w:r>
      <w:r>
        <w:t xml:space="preserve">facing</w:t>
      </w:r>
      <w:r>
        <w:t xml:space="preserve"> </w:t>
      </w:r>
      <w:r>
        <w:t xml:space="preserve">contemporary</w:t>
      </w:r>
      <w:r>
        <w:t xml:space="preserve"> </w:t>
      </w:r>
      <w:r>
        <w:t xml:space="preserve">democracies.</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64"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executive</w:t>
      </w:r>
      <w:r>
        <w:t xml:space="preserve"> </w:t>
      </w:r>
      <w:r>
        <w:t xml:space="preserve">takeover,</w:t>
      </w:r>
      <w:r>
        <w:t xml:space="preserve">”</w:t>
      </w:r>
      <w:r>
        <w:t xml:space="preserve"> </w:t>
      </w:r>
      <w:r>
        <w:t xml:space="preserve">referring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These terms</w:t>
      </w:r>
      <w:r>
        <w:t xml:space="preserve"> </w:t>
      </w:r>
      <w:r>
        <w:t xml:space="preserve">identify the perpetrator (the incumbent) and the nature of the event (a power</w:t>
      </w:r>
      <w:r>
        <w:t xml:space="preserve"> </w:t>
      </w:r>
      <w:r>
        <w:t xml:space="preserve">grab). However,</w:t>
      </w:r>
      <w:r>
        <w:t xml:space="preserve"> </w:t>
      </w:r>
      <w:r>
        <w:t xml:space="preserve">“</w:t>
      </w:r>
      <w:r>
        <w:t xml:space="preserve">incumbent takeover</w:t>
      </w:r>
      <w:r>
        <w:t xml:space="preserve">”</w:t>
      </w:r>
      <w:r>
        <w:t xml:space="preserve"> </w:t>
      </w:r>
      <w:r>
        <w:t xml:space="preserve">does not highlight the illegality or</w:t>
      </w:r>
      <w:r>
        <w:t xml:space="preserve"> </w:t>
      </w:r>
      <w:r>
        <w:t xml:space="preserve">illegitimacy of these actions. Therefore, it cannot serve as a direct counterpart</w:t>
      </w:r>
      <w:r>
        <w:t xml:space="preserve"> </w:t>
      </w:r>
      <w:r>
        <w:t xml:space="preserve">to</w:t>
      </w:r>
      <w:r>
        <w:t xml:space="preserve"> </w:t>
      </w:r>
      <w:r>
        <w:t xml:space="preserve">“</w:t>
      </w:r>
      <w:r>
        <w:t xml:space="preserve">coup,</w:t>
      </w:r>
      <w:r>
        <w:t xml:space="preserve">”</w:t>
      </w:r>
      <w:r>
        <w:t xml:space="preserve"> </w:t>
      </w:r>
      <w:r>
        <w:t xml:space="preserve">which clearly denotes the illegality of leadership ousters, while</w:t>
      </w:r>
      <w:r>
        <w:t xml:space="preserve"> </w:t>
      </w:r>
      <w:r>
        <w:t xml:space="preserve">“</w:t>
      </w:r>
      <w:r>
        <w:t xml:space="preserve">takeover</w:t>
      </w:r>
      <w:r>
        <w:t xml:space="preserve">”</w:t>
      </w:r>
      <w:r>
        <w:t xml:space="preserve"> </w:t>
      </w:r>
      <w:r>
        <w:t xml:space="preserve">diminishes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63"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Cs/>
          <w:i/>
        </w:rPr>
        <w:t xml:space="preserve">the practice of</w:t>
      </w:r>
      <w:r>
        <w:rPr>
          <w:iCs/>
          <w:i/>
        </w:rPr>
        <w:t xml:space="preserve"> </w:t>
      </w:r>
      <w:r>
        <w:rPr>
          <w:iCs/>
          <w:i/>
        </w:rPr>
        <w:t xml:space="preserve">current political leaders extending their time in office beyond their originally</w:t>
      </w:r>
      <w:r>
        <w:rPr>
          <w:iCs/>
          <w:i/>
        </w:rPr>
        <w:t xml:space="preserve"> </w:t>
      </w:r>
      <w:r>
        <w:rPr>
          <w:iCs/>
          <w:i/>
        </w:rPr>
        <w:t xml:space="preserve">mandated term limits</w:t>
      </w:r>
      <w:r>
        <w:t xml:space="preserve">. Two key points need to be highlighted. Firstly, this</w:t>
      </w:r>
      <w:r>
        <w:t xml:space="preserve"> </w:t>
      </w:r>
      <w:r>
        <w:t xml:space="preserve">definition does not exclude power expansion, but its primary characteristic is</w:t>
      </w:r>
      <w:r>
        <w:t xml:space="preserve"> </w:t>
      </w:r>
      <w:r>
        <w:t xml:space="preserve">extending the term in office. Secondly, the essence of an autocoup is</w:t>
      </w:r>
      <w:r>
        <w:t xml:space="preserve"> </w:t>
      </w:r>
      <w:r>
        <w:t xml:space="preserve">illegitimate, although it often employs seemingly legal mechanisms, which will be</w:t>
      </w:r>
      <w:r>
        <w:t xml:space="preserve"> </w:t>
      </w:r>
      <w:r>
        <w:t xml:space="preserve">discussed in more detail in Chapter III.</w:t>
      </w:r>
    </w:p>
    <w:bookmarkStart w:id="62" w:name="refs"/>
    <w:bookmarkStart w:id="23"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Cs/>
          <w:i/>
        </w:rPr>
        <w:t xml:space="preserve">Critical Sociology</w:t>
      </w:r>
      <w:r>
        <w:t xml:space="preserve"> </w:t>
      </w:r>
      <w:r>
        <w:t xml:space="preserve">48 (6): 937–65.</w:t>
      </w:r>
      <w:r>
        <w:t xml:space="preserve"> </w:t>
      </w:r>
      <w:hyperlink r:id="rId22">
        <w:r>
          <w:rPr>
            <w:rStyle w:val="Hyperlink"/>
          </w:rPr>
          <w:t xml:space="preserve">https://doi.org/10.1177/08969205211049499</w:t>
        </w:r>
      </w:hyperlink>
      <w:r>
        <w:t xml:space="preserve">.</w:t>
      </w:r>
    </w:p>
    <w:bookmarkEnd w:id="23"/>
    <w:bookmarkStart w:id="25" w:name="ref-baturo2014"/>
    <w:p>
      <w:pPr>
        <w:pStyle w:val="Bibliography"/>
      </w:pPr>
      <w:r>
        <w:t xml:space="preserve">Baturo, Alexander. 2014.</w:t>
      </w:r>
      <w:r>
        <w:t xml:space="preserve"> </w:t>
      </w:r>
      <w:r>
        <w:t xml:space="preserve">“Democracy, Dictatorship, and Term Limits.”</w:t>
      </w:r>
      <w:r>
        <w:t xml:space="preserve"> </w:t>
      </w:r>
      <w:hyperlink r:id="rId24">
        <w:r>
          <w:rPr>
            <w:rStyle w:val="Hyperlink"/>
          </w:rPr>
          <w:t xml:space="preserve">https://doi.org/10.3998/mpub.4772634</w:t>
        </w:r>
      </w:hyperlink>
      <w:r>
        <w:t xml:space="preserve">.</w:t>
      </w:r>
    </w:p>
    <w:bookmarkEnd w:id="25"/>
    <w:bookmarkStart w:id="27"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26">
        <w:r>
          <w:rPr>
            <w:rStyle w:val="Hyperlink"/>
          </w:rPr>
          <w:t xml:space="preserve">https://doi.org/10.1093/oso/9780198837404.003.0005</w:t>
        </w:r>
      </w:hyperlink>
      <w:r>
        <w:t xml:space="preserve">.</w:t>
      </w:r>
    </w:p>
    <w:bookmarkEnd w:id="27"/>
    <w:bookmarkStart w:id="29" w:name="ref-baturo2022"/>
    <w:p>
      <w:pPr>
        <w:pStyle w:val="Bibliography"/>
      </w:pPr>
      <w:r>
        <w:t xml:space="preserve">Baturo, Alexander, and Jakob Tolstrup. 2022.</w:t>
      </w:r>
      <w:r>
        <w:t xml:space="preserve"> </w:t>
      </w:r>
      <w:r>
        <w:t xml:space="preserve">“Incumbent Takeovers.”</w:t>
      </w:r>
      <w:r>
        <w:t xml:space="preserve"> </w:t>
      </w:r>
      <w:r>
        <w:rPr>
          <w:iCs/>
          <w:i/>
        </w:rPr>
        <w:t xml:space="preserve">Journal of Peace Research</w:t>
      </w:r>
      <w:r>
        <w:t xml:space="preserve"> </w:t>
      </w:r>
      <w:r>
        <w:t xml:space="preserve">60 (2): 373–86.</w:t>
      </w:r>
      <w:r>
        <w:t xml:space="preserve"> </w:t>
      </w:r>
      <w:hyperlink r:id="rId28">
        <w:r>
          <w:rPr>
            <w:rStyle w:val="Hyperlink"/>
          </w:rPr>
          <w:t xml:space="preserve">https://doi.org/10.1177/00223433221075183</w:t>
        </w:r>
      </w:hyperlink>
      <w:r>
        <w:t xml:space="preserve">.</w:t>
      </w:r>
    </w:p>
    <w:bookmarkEnd w:id="29"/>
    <w:bookmarkStart w:id="31" w:name="ref-bermeo2016"/>
    <w:p>
      <w:pPr>
        <w:pStyle w:val="Bibliography"/>
      </w:pPr>
      <w:r>
        <w:t xml:space="preserve">Bermeo, Nancy. 2016.</w:t>
      </w:r>
      <w:r>
        <w:t xml:space="preserve"> </w:t>
      </w:r>
      <w:r>
        <w:t xml:space="preserve">“On Democratic Backsliding.”</w:t>
      </w:r>
      <w:r>
        <w:t xml:space="preserve"> </w:t>
      </w:r>
      <w:r>
        <w:rPr>
          <w:iCs/>
          <w:i/>
        </w:rPr>
        <w:t xml:space="preserve">Journal of Democracy</w:t>
      </w:r>
      <w:r>
        <w:t xml:space="preserve"> </w:t>
      </w:r>
      <w:r>
        <w:t xml:space="preserve">27 (1): 5–19.</w:t>
      </w:r>
      <w:r>
        <w:t xml:space="preserve"> </w:t>
      </w:r>
      <w:hyperlink r:id="rId30">
        <w:r>
          <w:rPr>
            <w:rStyle w:val="Hyperlink"/>
          </w:rPr>
          <w:t xml:space="preserve">https://doi.org/10.1353/jod.2016.0012</w:t>
        </w:r>
      </w:hyperlink>
      <w:r>
        <w:t xml:space="preserve">.</w:t>
      </w:r>
    </w:p>
    <w:bookmarkEnd w:id="31"/>
    <w:bookmarkStart w:id="3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Cs/>
          <w:i/>
        </w:rPr>
        <w:t xml:space="preserve">Third World Quarterly</w:t>
      </w:r>
      <w:r>
        <w:t xml:space="preserve"> </w:t>
      </w:r>
      <w:r>
        <w:t xml:space="preserve">19 (2): 219–39.</w:t>
      </w:r>
      <w:r>
        <w:t xml:space="preserve"> </w:t>
      </w:r>
      <w:hyperlink r:id="rId32">
        <w:r>
          <w:rPr>
            <w:rStyle w:val="Hyperlink"/>
          </w:rPr>
          <w:t xml:space="preserve">https://doi.org/10.1080/01436599814433</w:t>
        </w:r>
      </w:hyperlink>
      <w:r>
        <w:t xml:space="preserve">.</w:t>
      </w:r>
    </w:p>
    <w:bookmarkEnd w:id="33"/>
    <w:bookmarkStart w:id="35" w:name="ref-cameron1998"/>
    <w:p>
      <w:pPr>
        <w:pStyle w:val="Bibliography"/>
      </w:pPr>
      <w:r>
        <w:t xml:space="preserve">Cameron, Maxwell A. 1998b.</w:t>
      </w:r>
      <w:r>
        <w:t xml:space="preserve"> </w:t>
      </w:r>
      <w:r>
        <w:t xml:space="preserve">“Self-Coups: Peru, Guatemala, and Russia.”</w:t>
      </w:r>
      <w:r>
        <w:t xml:space="preserve"> </w:t>
      </w:r>
      <w:r>
        <w:rPr>
          <w:iCs/>
          <w:i/>
        </w:rPr>
        <w:t xml:space="preserve">Journal of Democracy</w:t>
      </w:r>
      <w:r>
        <w:t xml:space="preserve"> </w:t>
      </w:r>
      <w:r>
        <w:t xml:space="preserve">9 (1): 125–39.</w:t>
      </w:r>
      <w:r>
        <w:t xml:space="preserve"> </w:t>
      </w:r>
      <w:hyperlink r:id="rId34">
        <w:r>
          <w:rPr>
            <w:rStyle w:val="Hyperlink"/>
          </w:rPr>
          <w:t xml:space="preserve">https://doi.org/10.1353/jod.1998.0003</w:t>
        </w:r>
      </w:hyperlink>
      <w:r>
        <w:t xml:space="preserve">.</w:t>
      </w:r>
    </w:p>
    <w:bookmarkEnd w:id="35"/>
    <w:bookmarkStart w:id="37"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36">
        <w:r>
          <w:rPr>
            <w:rStyle w:val="Hyperlink"/>
          </w:rPr>
          <w:t xml:space="preserve">https://doi.org/10.1093/oso/9780198837404.003.0019</w:t>
        </w:r>
      </w:hyperlink>
      <w:r>
        <w:t xml:space="preserve">.</w:t>
      </w:r>
    </w:p>
    <w:bookmarkEnd w:id="37"/>
    <w:bookmarkStart w:id="3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38">
        <w:r>
          <w:rPr>
            <w:rStyle w:val="Hyperlink"/>
          </w:rPr>
          <w:t xml:space="preserve">https://doi.org/10.1093/oso/9780198837404.003.0014</w:t>
        </w:r>
      </w:hyperlink>
      <w:r>
        <w:t xml:space="preserve">.</w:t>
      </w:r>
    </w:p>
    <w:bookmarkEnd w:id="39"/>
    <w:bookmarkStart w:id="41"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40">
        <w:r>
          <w:rPr>
            <w:rStyle w:val="Hyperlink"/>
          </w:rPr>
          <w:t xml:space="preserve">https://doi.org/10.1177/0010414016655538</w:t>
        </w:r>
      </w:hyperlink>
      <w:r>
        <w:t xml:space="preserve">.</w:t>
      </w:r>
    </w:p>
    <w:bookmarkEnd w:id="41"/>
    <w:bookmarkStart w:id="42" w:name="ref-ginsburg2010evasion"/>
    <w:p>
      <w:pPr>
        <w:pStyle w:val="Bibliography"/>
      </w:pPr>
      <w:r>
        <w:t xml:space="preserve">Ginsburg, Tom, James Melton, and Zachary Elkins. 2010.</w:t>
      </w:r>
      <w:r>
        <w:t xml:space="preserve"> </w:t>
      </w:r>
      <w:r>
        <w:t xml:space="preserve">“On the Evasion of Executive Term Limits.”</w:t>
      </w:r>
      <w:r>
        <w:t xml:space="preserve"> </w:t>
      </w:r>
      <w:r>
        <w:rPr>
          <w:iCs/>
          <w:i/>
        </w:rPr>
        <w:t xml:space="preserve">Wm. &amp; Mary L. Rev.</w:t>
      </w:r>
      <w:r>
        <w:t xml:space="preserve"> </w:t>
      </w:r>
      <w:r>
        <w:t xml:space="preserve">52: 1807.</w:t>
      </w:r>
    </w:p>
    <w:bookmarkEnd w:id="42"/>
    <w:bookmarkStart w:id="44"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43">
        <w:r>
          <w:rPr>
            <w:rStyle w:val="Hyperlink"/>
          </w:rPr>
          <w:t xml:space="preserve">https://doi.org/10.1177/0022343308100719</w:t>
        </w:r>
      </w:hyperlink>
      <w:r>
        <w:t xml:space="preserve">.</w:t>
      </w:r>
    </w:p>
    <w:bookmarkEnd w:id="44"/>
    <w:bookmarkStart w:id="46"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45">
        <w:r>
          <w:rPr>
            <w:rStyle w:val="Hyperlink"/>
          </w:rPr>
          <w:t xml:space="preserve">https://doi.org/10.1017/9781139031738</w:t>
        </w:r>
      </w:hyperlink>
      <w:r>
        <w:t xml:space="preserve">.</w:t>
      </w:r>
    </w:p>
    <w:bookmarkEnd w:id="46"/>
    <w:bookmarkStart w:id="48"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Cs/>
          <w:i/>
        </w:rPr>
        <w:t xml:space="preserve">Political Studies</w:t>
      </w:r>
      <w:r>
        <w:t xml:space="preserve"> </w:t>
      </w:r>
      <w:r>
        <w:t xml:space="preserve">68 (4): 1014–35.</w:t>
      </w:r>
      <w:r>
        <w:t xml:space="preserve"> </w:t>
      </w:r>
      <w:hyperlink r:id="rId47">
        <w:r>
          <w:rPr>
            <w:rStyle w:val="Hyperlink"/>
          </w:rPr>
          <w:t xml:space="preserve">https://doi.org/10.1177/0032321719888857</w:t>
        </w:r>
      </w:hyperlink>
      <w:r>
        <w:t xml:space="preserve">.</w:t>
      </w:r>
    </w:p>
    <w:bookmarkEnd w:id="48"/>
    <w:bookmarkStart w:id="50" w:name="ref-mauceri1995"/>
    <w:p>
      <w:pPr>
        <w:pStyle w:val="Bibliography"/>
      </w:pPr>
      <w:r>
        <w:t xml:space="preserve">Mauceri, Philip. 1995.</w:t>
      </w:r>
      <w:r>
        <w:t xml:space="preserve"> </w:t>
      </w:r>
      <w:r>
        <w:t xml:space="preserve">“State Reform, Coalitions, and The Neoliberal</w:t>
      </w:r>
      <w:r>
        <w:t xml:space="preserve"> </w:t>
      </w:r>
      <w:r>
        <w:rPr>
          <w:iCs/>
          <w:i/>
        </w:rPr>
        <w:t xml:space="preserve">Autogolpe</w:t>
      </w:r>
      <w:r>
        <w:t xml:space="preserve"> </w:t>
      </w:r>
      <w:r>
        <w:t xml:space="preserve">in Peru.”</w:t>
      </w:r>
      <w:r>
        <w:t xml:space="preserve"> </w:t>
      </w:r>
      <w:r>
        <w:rPr>
          <w:iCs/>
          <w:i/>
        </w:rPr>
        <w:t xml:space="preserve">Latin American Research Review</w:t>
      </w:r>
      <w:r>
        <w:t xml:space="preserve"> </w:t>
      </w:r>
      <w:r>
        <w:t xml:space="preserve">30 (1): 7–37.</w:t>
      </w:r>
      <w:r>
        <w:t xml:space="preserve"> </w:t>
      </w:r>
      <w:hyperlink r:id="rId49">
        <w:r>
          <w:rPr>
            <w:rStyle w:val="Hyperlink"/>
          </w:rPr>
          <w:t xml:space="preserve">https://doi.org/10.1017/s0023879100017155</w:t>
        </w:r>
      </w:hyperlink>
      <w:r>
        <w:t xml:space="preserve">.</w:t>
      </w:r>
    </w:p>
    <w:bookmarkEnd w:id="50"/>
    <w:bookmarkStart w:id="5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Cs/>
          <w:i/>
        </w:rPr>
        <w:t xml:space="preserve">Government and Opposition</w:t>
      </w:r>
      <w:r>
        <w:t xml:space="preserve"> </w:t>
      </w:r>
      <w:r>
        <w:t xml:space="preserve">58 (4): 789–806.</w:t>
      </w:r>
      <w:r>
        <w:t xml:space="preserve"> </w:t>
      </w:r>
      <w:hyperlink r:id="rId51">
        <w:r>
          <w:rPr>
            <w:rStyle w:val="Hyperlink"/>
          </w:rPr>
          <w:t xml:space="preserve">https://doi.org/10.1017/gov.2022.13</w:t>
        </w:r>
      </w:hyperlink>
      <w:r>
        <w:t xml:space="preserve">.</w:t>
      </w:r>
    </w:p>
    <w:bookmarkEnd w:id="52"/>
    <w:bookmarkStart w:id="5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53">
        <w:r>
          <w:rPr>
            <w:rStyle w:val="Hyperlink"/>
          </w:rPr>
          <w:t xml:space="preserve">https://doi.org/10.1177/0022343310397436</w:t>
        </w:r>
      </w:hyperlink>
      <w:r>
        <w:t xml:space="preserve">.</w:t>
      </w:r>
    </w:p>
    <w:bookmarkEnd w:id="54"/>
    <w:bookmarkStart w:id="56"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55">
        <w:r>
          <w:rPr>
            <w:rStyle w:val="Hyperlink"/>
          </w:rPr>
          <w:t xml:space="preserve">https://doi.org/10.1017/cbo9780511804946</w:t>
        </w:r>
      </w:hyperlink>
      <w:r>
        <w:t xml:space="preserve">.</w:t>
      </w:r>
    </w:p>
    <w:bookmarkEnd w:id="56"/>
    <w:bookmarkStart w:id="58"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57">
        <w:r>
          <w:rPr>
            <w:rStyle w:val="Hyperlink"/>
          </w:rPr>
          <w:t xml:space="preserve">https://doi.org/10.1017/s0007123413000550</w:t>
        </w:r>
      </w:hyperlink>
      <w:r>
        <w:t xml:space="preserve">.</w:t>
      </w:r>
    </w:p>
    <w:bookmarkEnd w:id="58"/>
    <w:bookmarkStart w:id="60"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59">
        <w:r>
          <w:rPr>
            <w:rStyle w:val="Hyperlink"/>
          </w:rPr>
          <w:t xml:space="preserve">https://doi.org/10.1093/acrefore/9780190846626.013.369</w:t>
        </w:r>
      </w:hyperlink>
      <w:r>
        <w:t xml:space="preserve">.</w:t>
      </w:r>
    </w:p>
    <w:bookmarkEnd w:id="60"/>
    <w:bookmarkStart w:id="61"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Cs/>
          <w:i/>
        </w:rPr>
        <w:t xml:space="preserve">Colum. L. Rev.</w:t>
      </w:r>
      <w:r>
        <w:t xml:space="preserve"> </w:t>
      </w:r>
      <w:r>
        <w:t xml:space="preserve">120: 173.</w:t>
      </w:r>
    </w:p>
    <w:bookmarkEnd w:id="61"/>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017/9781139031738" TargetMode="External" /><Relationship Type="http://schemas.openxmlformats.org/officeDocument/2006/relationships/hyperlink" Id="rId55" Target="https://doi.org/10.1017/cbo9780511804946" TargetMode="External" /><Relationship Type="http://schemas.openxmlformats.org/officeDocument/2006/relationships/hyperlink" Id="rId51" Target="https://doi.org/10.1017/gov.2022.13" TargetMode="External" /><Relationship Type="http://schemas.openxmlformats.org/officeDocument/2006/relationships/hyperlink" Id="rId57" Target="https://doi.org/10.1017/s0007123413000550" TargetMode="External" /><Relationship Type="http://schemas.openxmlformats.org/officeDocument/2006/relationships/hyperlink" Id="rId49" Target="https://doi.org/10.1017/s0023879100017155" TargetMode="External" /><Relationship Type="http://schemas.openxmlformats.org/officeDocument/2006/relationships/hyperlink" Id="rId32" Target="https://doi.org/10.1080/01436599814433" TargetMode="External" /><Relationship Type="http://schemas.openxmlformats.org/officeDocument/2006/relationships/hyperlink" Id="rId59"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8" Target="https://doi.org/10.1093/oso/9780198837404.003.0014" TargetMode="External" /><Relationship Type="http://schemas.openxmlformats.org/officeDocument/2006/relationships/hyperlink" Id="rId36" Target="https://doi.org/10.1093/oso/9780198837404.003.0019" TargetMode="External" /><Relationship Type="http://schemas.openxmlformats.org/officeDocument/2006/relationships/hyperlink" Id="rId40" Target="https://doi.org/10.1177/0010414016655538" TargetMode="External" /><Relationship Type="http://schemas.openxmlformats.org/officeDocument/2006/relationships/hyperlink" Id="rId43" Target="https://doi.org/10.1177/0022343308100719" TargetMode="External" /><Relationship Type="http://schemas.openxmlformats.org/officeDocument/2006/relationships/hyperlink" Id="rId53"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7"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4"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24" Target="https://doi.org/10.3998/mpub.4772634"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17/9781139031738" TargetMode="External" /><Relationship Type="http://schemas.openxmlformats.org/officeDocument/2006/relationships/hyperlink" Id="rId55" Target="https://doi.org/10.1017/cbo9780511804946" TargetMode="External" /><Relationship Type="http://schemas.openxmlformats.org/officeDocument/2006/relationships/hyperlink" Id="rId51" Target="https://doi.org/10.1017/gov.2022.13" TargetMode="External" /><Relationship Type="http://schemas.openxmlformats.org/officeDocument/2006/relationships/hyperlink" Id="rId57" Target="https://doi.org/10.1017/s0007123413000550" TargetMode="External" /><Relationship Type="http://schemas.openxmlformats.org/officeDocument/2006/relationships/hyperlink" Id="rId49" Target="https://doi.org/10.1017/s0023879100017155" TargetMode="External" /><Relationship Type="http://schemas.openxmlformats.org/officeDocument/2006/relationships/hyperlink" Id="rId32" Target="https://doi.org/10.1080/01436599814433" TargetMode="External" /><Relationship Type="http://schemas.openxmlformats.org/officeDocument/2006/relationships/hyperlink" Id="rId59" Target="https://doi.org/10.1093/acrefore/9780190846626.013.369" TargetMode="External" /><Relationship Type="http://schemas.openxmlformats.org/officeDocument/2006/relationships/hyperlink" Id="rId26" Target="https://doi.org/10.1093/oso/9780198837404.003.0005" TargetMode="External" /><Relationship Type="http://schemas.openxmlformats.org/officeDocument/2006/relationships/hyperlink" Id="rId38" Target="https://doi.org/10.1093/oso/9780198837404.003.0014" TargetMode="External" /><Relationship Type="http://schemas.openxmlformats.org/officeDocument/2006/relationships/hyperlink" Id="rId36" Target="https://doi.org/10.1093/oso/9780198837404.003.0019" TargetMode="External" /><Relationship Type="http://schemas.openxmlformats.org/officeDocument/2006/relationships/hyperlink" Id="rId40" Target="https://doi.org/10.1177/0010414016655538" TargetMode="External" /><Relationship Type="http://schemas.openxmlformats.org/officeDocument/2006/relationships/hyperlink" Id="rId43" Target="https://doi.org/10.1177/0022343308100719" TargetMode="External" /><Relationship Type="http://schemas.openxmlformats.org/officeDocument/2006/relationships/hyperlink" Id="rId53" Target="https://doi.org/10.1177/0022343310397436" TargetMode="External" /><Relationship Type="http://schemas.openxmlformats.org/officeDocument/2006/relationships/hyperlink" Id="rId28" Target="https://doi.org/10.1177/00223433221075183" TargetMode="External" /><Relationship Type="http://schemas.openxmlformats.org/officeDocument/2006/relationships/hyperlink" Id="rId47" Target="https://doi.org/10.1177/0032321719888857" TargetMode="External" /><Relationship Type="http://schemas.openxmlformats.org/officeDocument/2006/relationships/hyperlink" Id="rId22" Target="https://doi.org/10.1177/08969205211049499" TargetMode="External" /><Relationship Type="http://schemas.openxmlformats.org/officeDocument/2006/relationships/hyperlink" Id="rId34" Target="https://doi.org/10.1353/jod.1998.0003" TargetMode="External" /><Relationship Type="http://schemas.openxmlformats.org/officeDocument/2006/relationships/hyperlink" Id="rId30" Target="https://doi.org/10.1353/jod.2016.0012" TargetMode="External" /><Relationship Type="http://schemas.openxmlformats.org/officeDocument/2006/relationships/hyperlink" Id="rId24" Target="https://doi.org/10.3998/mpub.47726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2024-06-20T11:56:42Z</dcterms:created>
  <dcterms:modified xsi:type="dcterms:W3CDTF">2024-06-20T11:56:42Z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overstay coups, focusing on power extensions by incumbent leaders. By distinguishing overstay coups from the broader, more ambiguous concepts of self-coups or autocoups, which encompass both executive power aggrandizement and power extension, this research introduces a refined understanding of these specific political events.The research involves coding overstay coup events and compiling a comprehensive dataset covering the period from 1945 to the present. Using this dataset, two detailed case studies provide qualitative insights into the dynamics and outcomes of overstay coups. Additionally, a regression analysis identifies the determinants of overstay coup attempts, shedding light on the factors that influence incumbents’ decisions to extend their power illegitimately.The findings contribute to the existing literature by providing a clearer conceptual framework and empirical evidence on overstay coups. This research enhances our understanding of the mechanisms and motivations behind power extensions by incumbent leaders, and it examines the implications for democratic resilience, democratic backsliding, democratic breakdown, personalization of power, and autocratic deterioration. The insights gained from this study inform policy and theoretical discussions on political stability and the challenges facing contemporary democracies.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2024-06-20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