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specifically</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autocoups</w:t>
      </w:r>
      <w:r>
        <w:t xml:space="preserve"> </w:t>
      </w:r>
      <w:r>
        <w:t xml:space="preserve">from</w:t>
      </w:r>
      <w:r>
        <w:t xml:space="preserve"> </w:t>
      </w:r>
      <w:r>
        <w:t xml:space="preserve">the</w:t>
      </w:r>
      <w:r>
        <w:t xml:space="preserve"> </w:t>
      </w:r>
      <w:r>
        <w:t xml:space="preserve">broader</w:t>
      </w:r>
      <w:r>
        <w:t xml:space="preserve"> </w:t>
      </w:r>
      <w:r>
        <w:t xml:space="preserve">and</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executive</w:t>
      </w:r>
      <w:r>
        <w:t xml:space="preserve"> </w:t>
      </w:r>
      <w:r>
        <w:t xml:space="preserve">takeover,</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redefines</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Based</w:t>
      </w:r>
      <w:r>
        <w:t xml:space="preserve"> </w:t>
      </w:r>
      <w:r>
        <w:t xml:space="preserve">on</w:t>
      </w:r>
      <w:r>
        <w:t xml:space="preserve"> </w:t>
      </w:r>
      <w:r>
        <w:t xml:space="preserve">this</w:t>
      </w:r>
      <w:r>
        <w:t xml:space="preserve"> </w:t>
      </w:r>
      <w:r>
        <w:t xml:space="preserve">refined</w:t>
      </w:r>
      <w:r>
        <w:t xml:space="preserve"> </w:t>
      </w:r>
      <w:r>
        <w:t xml:space="preserve">definition,</w:t>
      </w:r>
      <w:r>
        <w:t xml:space="preserve"> </w:t>
      </w:r>
      <w:r>
        <w:t xml:space="preserve">we</w:t>
      </w:r>
      <w:r>
        <w:t xml:space="preserve"> </w:t>
      </w:r>
      <w:r>
        <w:t xml:space="preserve">introduce</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w:t>
      </w:r>
      <w:r>
        <w:t xml:space="preserve"> </w:t>
      </w:r>
      <w:r>
        <w:t xml:space="preserve">events</w:t>
      </w:r>
      <w:r>
        <w:t xml:space="preserve"> </w:t>
      </w:r>
      <w:r>
        <w:t xml:space="preserve">from</w:t>
      </w:r>
      <w:r>
        <w:t xml:space="preserve"> </w:t>
      </w:r>
      <w:r>
        <w:t xml:space="preserve">1945</w:t>
      </w:r>
      <w:r>
        <w:t xml:space="preserve"> </w:t>
      </w:r>
      <w:r>
        <w:t xml:space="preserve">to</w:t>
      </w:r>
      <w:r>
        <w:t xml:space="preserve"> </w:t>
      </w:r>
      <w:r>
        <w:t xml:space="preserve">2022.</w:t>
      </w:r>
    </w:p>
    <w:p>
      <w:pPr>
        <w:pStyle w:val="Abstract"/>
      </w:pPr>
      <w:r>
        <w:t xml:space="preserve">Using</w:t>
      </w:r>
      <w:r>
        <w:t xml:space="preserve"> </w:t>
      </w:r>
      <w:r>
        <w:t xml:space="preserve">the</w:t>
      </w:r>
      <w:r>
        <w:t xml:space="preserve"> </w:t>
      </w:r>
      <w:r>
        <w:t xml:space="preserve">newly</w:t>
      </w:r>
      <w:r>
        <w:t xml:space="preserve"> </w:t>
      </w:r>
      <w:r>
        <w:t xml:space="preserve">compiled</w:t>
      </w:r>
      <w:r>
        <w:t xml:space="preserve"> </w:t>
      </w:r>
      <w:r>
        <w:t xml:space="preserve">dataset,</w:t>
      </w:r>
      <w:r>
        <w:t xml:space="preserve"> </w:t>
      </w:r>
      <w:r>
        <w:t xml:space="preserve">the</w:t>
      </w:r>
      <w:r>
        <w:t xml:space="preserve"> </w:t>
      </w:r>
      <w:r>
        <w:t xml:space="preserve">research</w:t>
      </w:r>
      <w:r>
        <w:t xml:space="preserve"> </w:t>
      </w:r>
      <w:r>
        <w:t xml:space="preserve">includes</w:t>
      </w:r>
      <w:r>
        <w:t xml:space="preserve"> </w:t>
      </w:r>
      <w:r>
        <w:t xml:space="preserve">three</w:t>
      </w:r>
      <w:r>
        <w:t xml:space="preserve"> </w:t>
      </w:r>
      <w:r>
        <w:t xml:space="preserve">types</w:t>
      </w:r>
      <w:r>
        <w:t xml:space="preserve"> </w:t>
      </w:r>
      <w:r>
        <w:t xml:space="preserve">of</w:t>
      </w:r>
      <w:r>
        <w:t xml:space="preserve"> </w:t>
      </w:r>
      <w:r>
        <w:t xml:space="preserve">case</w:t>
      </w:r>
      <w:r>
        <w:t xml:space="preserve"> </w:t>
      </w:r>
      <w:r>
        <w:t xml:space="preserve">studies</w:t>
      </w:r>
      <w:r>
        <w:t xml:space="preserve"> </w:t>
      </w:r>
      <w:r>
        <w:t xml:space="preserve">that</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autocoups.</w:t>
      </w:r>
      <w:r>
        <w:t xml:space="preserve"> </w:t>
      </w:r>
      <w:r>
        <w:t xml:space="preserve">Additionally,</w:t>
      </w:r>
      <w:r>
        <w:t xml:space="preserve"> </w:t>
      </w:r>
      <w:r>
        <w:t xml:space="preserve">an</w:t>
      </w:r>
      <w:r>
        <w:t xml:space="preserve"> </w:t>
      </w:r>
      <w:r>
        <w:t xml:space="preserve">empirical</w:t>
      </w:r>
      <w:r>
        <w:t xml:space="preserve"> </w:t>
      </w:r>
      <w:r>
        <w:t xml:space="preserve">analysis</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autocoup</w:t>
      </w:r>
      <w:r>
        <w:t xml:space="preserve"> </w:t>
      </w:r>
      <w:r>
        <w:t xml:space="preserve">attempts</w:t>
      </w:r>
      <w:r>
        <w:t xml:space="preserve"> </w:t>
      </w:r>
      <w:r>
        <w:t xml:space="preserve">and</w:t>
      </w:r>
      <w:r>
        <w:t xml:space="preserve"> </w:t>
      </w:r>
      <w:r>
        <w:t xml:space="preserve">success</w:t>
      </w:r>
      <w:r>
        <w:t xml:space="preserve"> </w:t>
      </w:r>
      <w:r>
        <w:t xml:space="preserve">is</w:t>
      </w:r>
      <w:r>
        <w:t xml:space="preserve"> </w:t>
      </w:r>
      <w:r>
        <w:t xml:space="preserve">offered</w:t>
      </w:r>
      <w:r>
        <w:t xml:space="preserve"> </w:t>
      </w:r>
      <w:r>
        <w:t xml:space="preserve">to</w:t>
      </w:r>
      <w:r>
        <w:t xml:space="preserve"> </w:t>
      </w:r>
      <w:r>
        <w:t xml:space="preserve">demonstrate</w:t>
      </w:r>
      <w:r>
        <w:t xml:space="preserve"> </w:t>
      </w:r>
      <w:r>
        <w:t xml:space="preserve">how</w:t>
      </w:r>
      <w:r>
        <w:t xml:space="preserve"> </w:t>
      </w:r>
      <w:r>
        <w:t xml:space="preserve">the</w:t>
      </w:r>
      <w:r>
        <w:t xml:space="preserve"> </w:t>
      </w:r>
      <w:r>
        <w:t xml:space="preserve">autocoup</w:t>
      </w:r>
      <w:r>
        <w:t xml:space="preserve"> </w:t>
      </w:r>
      <w:r>
        <w:t xml:space="preserve">dataset</w:t>
      </w:r>
      <w:r>
        <w:t xml:space="preserve"> </w:t>
      </w:r>
      <w:r>
        <w:t xml:space="preserve">can</w:t>
      </w:r>
      <w:r>
        <w:t xml:space="preserve"> </w:t>
      </w:r>
      <w:r>
        <w:t xml:space="preserve">be</w:t>
      </w:r>
      <w:r>
        <w:t xml:space="preserve"> </w:t>
      </w:r>
      <w:r>
        <w:t xml:space="preserve">employed</w:t>
      </w:r>
      <w:r>
        <w:t xml:space="preserve"> </w:t>
      </w:r>
      <w:r>
        <w:t xml:space="preserve">for</w:t>
      </w:r>
      <w:r>
        <w:t xml:space="preserve"> </w:t>
      </w:r>
      <w:r>
        <w:t xml:space="preserve">more</w:t>
      </w:r>
      <w:r>
        <w:t xml:space="preserve"> </w:t>
      </w:r>
      <w:r>
        <w:t xml:space="preserve">quantitative</w:t>
      </w:r>
      <w:r>
        <w:t xml:space="preserve"> </w:t>
      </w:r>
      <w:r>
        <w:t xml:space="preserve">research.</w:t>
      </w:r>
    </w:p>
    <w:p>
      <w:pPr>
        <w:pStyle w:val="Abstract"/>
      </w:pPr>
      <w:r>
        <w:t xml:space="preserve">This</w:t>
      </w:r>
      <w:r>
        <w:t xml:space="preserve"> </w:t>
      </w:r>
      <w:r>
        <w:t xml:space="preserve">study</w:t>
      </w:r>
      <w:r>
        <w:t xml:space="preserve"> </w:t>
      </w:r>
      <w:r>
        <w:t xml:space="preserve">contributes</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autocoups.</w:t>
      </w:r>
      <w:r>
        <w:t xml:space="preserve"> </w:t>
      </w:r>
      <w:r>
        <w:t xml:space="preserve">It</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could</w:t>
      </w:r>
      <w:r>
        <w:t xml:space="preserve"> </w:t>
      </w:r>
      <w:r>
        <w:t xml:space="preserve">draw</w:t>
      </w:r>
      <w:r>
        <w:t xml:space="preserve"> </w:t>
      </w:r>
      <w:r>
        <w:t xml:space="preserve">more</w:t>
      </w:r>
      <w:r>
        <w:t xml:space="preserve"> </w:t>
      </w:r>
      <w:r>
        <w:t xml:space="preserve">attention</w:t>
      </w:r>
      <w:r>
        <w:t xml:space="preserve"> </w:t>
      </w:r>
      <w:r>
        <w:t xml:space="preserve">to</w:t>
      </w:r>
      <w:r>
        <w:t xml:space="preserve"> </w:t>
      </w:r>
      <w:r>
        <w:t xml:space="preserve">the</w:t>
      </w:r>
      <w:r>
        <w:t xml:space="preserve"> </w:t>
      </w:r>
      <w:r>
        <w:t xml:space="preserve">effects</w:t>
      </w:r>
      <w:r>
        <w:t xml:space="preserve"> </w:t>
      </w:r>
      <w:r>
        <w:t xml:space="preserve">of</w:t>
      </w:r>
      <w:r>
        <w:t xml:space="preserve"> </w:t>
      </w:r>
      <w:r>
        <w:t xml:space="preserve">autocoups</w:t>
      </w:r>
      <w:r>
        <w:t xml:space="preserve"> </w:t>
      </w:r>
      <w:r>
        <w:t xml:space="preserve">on</w:t>
      </w:r>
      <w:r>
        <w:t xml:space="preserve"> </w:t>
      </w:r>
      <w:r>
        <w:t xml:space="preserve">power</w:t>
      </w:r>
      <w:r>
        <w:t xml:space="preserve"> </w:t>
      </w:r>
      <w:r>
        <w:t xml:space="preserve">transitions,</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resilience.</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Cs/>
          <w:i/>
        </w:rPr>
        <w:t xml:space="preserve">the practice of</w:t>
      </w:r>
      <w:r>
        <w:rPr>
          <w:iCs/>
          <w:i/>
        </w:rPr>
        <w:t xml:space="preserve"> </w:t>
      </w:r>
      <w:r>
        <w:rPr>
          <w:iCs/>
          <w:i/>
        </w:rPr>
        <w:t xml:space="preserve">current political leaders extending their time in office beyond their originally</w:t>
      </w:r>
      <w:r>
        <w:rPr>
          <w:iCs/>
          <w:i/>
        </w:rPr>
        <w:t xml:space="preserve"> </w:t>
      </w:r>
      <w:r>
        <w:rPr>
          <w:iCs/>
          <w:i/>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37"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Cs/>
          <w:b/>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Cs/>
          <w:b/>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Cs/>
          <w:b/>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Cs/>
          <w:b/>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Cs/>
          <w:b/>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Cs/>
          <w:b/>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Cs/>
          <w:b/>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Cs/>
          <w:b/>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Cs/>
          <w:b/>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Cs/>
          <w:b/>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Cs/>
          <w:b/>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2017.</w:t>
      </w:r>
    </w:p>
    <w:p>
      <w:pPr>
        <w:numPr>
          <w:ilvl w:val="0"/>
          <w:numId w:val="1003"/>
        </w:numPr>
      </w:pPr>
      <w:r>
        <w:rPr>
          <w:bCs/>
          <w:b/>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Cs/>
          <w:b/>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Cs/>
          <w:b/>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Cs/>
          <w:b/>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Cs/>
          <w:b/>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ook w:firstRow="0" w:lastRow="0" w:firstColumn="0" w:lastColumn="0" w:noHBand="0" w:noVBand="0" w:val="0000"/>
        <w:jc w:val="start"/>
        <w:tblLayout w:type="fixed"/>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 (2009)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Pietro Bomprezzi et al. (2024)</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 (2022)</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Political Leaders’</w:t>
      </w:r>
      <w:r>
        <w:t xml:space="preserve"> </w:t>
      </w:r>
      <w:r>
        <w:t xml:space="preserve">Affiliation Database (PLAD) dataset</w:t>
      </w:r>
      <w:r>
        <w:t xml:space="preserve"> </w:t>
      </w:r>
      <w:r>
        <w:t xml:space="preserve">(Bomprezzi et al. 2024)</w:t>
      </w:r>
      <w:r>
        <w:t xml:space="preserve"> </w:t>
      </w:r>
      <w:r>
        <w:t xml:space="preserve">provide comprehensive</w:t>
      </w:r>
      <w:r>
        <w:t xml:space="preserve"> </w:t>
      </w:r>
      <w:r>
        <w:t xml:space="preserve">data on all leaders from 1875 to 2023, although our coding only includes</w:t>
      </w:r>
      <w:r>
        <w:t xml:space="preserve"> </w:t>
      </w:r>
      <w:r>
        <w:t xml:space="preserve">autocoups since 1945. These datasets help identify the actual rulers of</w:t>
      </w:r>
      <w:r>
        <w:t xml:space="preserve"> </w:t>
      </w:r>
      <w:r>
        <w:t xml:space="preserve">countries, saving time in distinguishing real leaders from nominal heads of</w:t>
      </w:r>
      <w:r>
        <w:t xml:space="preserve"> </w:t>
      </w:r>
      <w:r>
        <w:t xml:space="preserve">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In total, I coded 110 observations, with</w:t>
      </w:r>
      <w:r>
        <w:t xml:space="preserve"> </w:t>
      </w:r>
      <w:r>
        <w:t xml:space="preserve">72 overlapping with the candidate data</w:t>
      </w:r>
      <w:r>
        <w:t xml:space="preserve"> </w:t>
      </w:r>
      <w:r>
        <w:t xml:space="preserve">from Incumbent Takeover. The remaining</w:t>
      </w:r>
      <w:r>
        <w:t xml:space="preserve"> </w:t>
      </w:r>
      <w:r>
        <w:t xml:space="preserve">38 events were newly</w:t>
      </w:r>
      <w:r>
        <w:t xml:space="preserve"> </w:t>
      </w:r>
      <w:r>
        <w:t xml:space="preserve">coded by the author through verification with other sources such as Archigos, and</w:t>
      </w:r>
      <w:r>
        <w:t xml:space="preserve"> </w:t>
      </w:r>
      <w:r>
        <w:t xml:space="preserve">news reports.The main deviation from the Incumbent Takeover dataset arises from</w:t>
      </w:r>
      <w:r>
        <w:t xml:space="preserve"> </w:t>
      </w:r>
      <w:r>
        <w:t xml:space="preserve">excluding power 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Cs/>
          <w:b/>
        </w:rPr>
        <w:t xml:space="preserve">Country Identification:</w:t>
      </w:r>
    </w:p>
    <w:p>
      <w:pPr>
        <w:numPr>
          <w:ilvl w:val="1"/>
          <w:numId w:val="1005"/>
        </w:numPr>
        <w:pStyle w:val="Compact"/>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Cs/>
          <w:b/>
        </w:rPr>
        <w:t xml:space="preserve">Leader Information:</w:t>
      </w:r>
    </w:p>
    <w:p>
      <w:pPr>
        <w:numPr>
          <w:ilvl w:val="1"/>
          <w:numId w:val="1006"/>
        </w:numPr>
        <w:pStyle w:val="Compact"/>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Cs/>
          <w:b/>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Cs/>
          <w:b/>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Cs/>
          <w:b/>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Cs/>
          <w:b/>
        </w:rPr>
        <w:t xml:space="preserve">Data Source:</w:t>
      </w:r>
    </w:p>
    <w:p>
      <w:pPr>
        <w:numPr>
          <w:ilvl w:val="1"/>
          <w:numId w:val="1010"/>
        </w:numPr>
        <w:pStyle w:val="Compact"/>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Cs/>
          <w:b/>
        </w:rPr>
        <w:t xml:space="preserve">Additional Notes:</w:t>
      </w:r>
    </w:p>
    <w:p>
      <w:pPr>
        <w:numPr>
          <w:ilvl w:val="1"/>
          <w:numId w:val="1011"/>
        </w:numPr>
        <w:pStyle w:val="Compact"/>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36" w:name="data-descriptions"/>
    <w:p>
      <w:pPr>
        <w:pStyle w:val="Heading3"/>
      </w:pPr>
      <w:r>
        <w:t xml:space="preserve">Data descriptions</w:t>
      </w:r>
    </w:p>
    <w:tbl>
      <w:tblPr>
        <w:tblStyle w:val="Table"/>
        <w:tblW w:type="pct" w:w="5000"/>
        <w:tblLook w:firstRow="0" w:lastRow="0" w:firstColumn="0" w:lastColumn="0" w:noHBand="0" w:noVBand="0" w:val="0000"/>
        <w:jc w:val="start"/>
        <w:tblLayout w:type="fixed"/>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Autocoup Method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Enabling re-election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Removing term limits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Delaying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 for life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Changing term 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Figurehead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One-time arrangement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Refusing election results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Reassigning power role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Rigging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Cancelling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79.09%</w:t>
                  </w:r>
                </w:p>
              </w:tc>
            </w:tr>
          </w:tbl>
          <w:bookmarkEnd w:id="35"/>
        </w:tc>
      </w:tr>
    </w:tbl>
    <w:p>
      <w:pPr>
        <w:pStyle w:val="BodyText"/>
      </w:pPr>
      <w:r>
        <w:t xml:space="preserve">According to our primary coding, we have identified 110 autocoup</w:t>
      </w:r>
      <w:r>
        <w:t xml:space="preserve"> </w:t>
      </w:r>
      <w:r>
        <w:t xml:space="preserve">cases from 1945 to 2022, involving 73 countries. As shown in</w:t>
      </w:r>
      <w:r>
        <w:t xml:space="preserve"> </w:t>
      </w:r>
      <w:hyperlink w:anchor="tbl-autocoup_method">
        <w:r>
          <w:rPr>
            <w:rStyle w:val="Hyperlink"/>
          </w:rPr>
          <w:t xml:space="preserve">Table 2</w:t>
        </w:r>
      </w:hyperlink>
      <w:r>
        <w:t xml:space="preserve">, the most common autocoup method is enabling re-election,</w:t>
      </w:r>
      <w:r>
        <w:t xml:space="preserve"> </w:t>
      </w:r>
      <w:r>
        <w:t xml:space="preserve">accounting for 46 events. This is followed</w:t>
      </w:r>
      <w:r>
        <w:t xml:space="preserve"> </w:t>
      </w:r>
      <w:r>
        <w:t xml:space="preserve">by removing term limits altogether, with 14</w:t>
      </w:r>
      <w:r>
        <w:t xml:space="preserve"> </w:t>
      </w:r>
      <w:r>
        <w:t xml:space="preserve">cases, and then delaying elections and declaring the leader for life, each with</w:t>
      </w:r>
      <w:r>
        <w:t xml:space="preserve"> </w:t>
      </w:r>
      <w:r>
        <w:t xml:space="preserve">9 cases.</w:t>
      </w:r>
    </w:p>
    <w:p>
      <w:pPr>
        <w:pStyle w:val="BodyText"/>
      </w:pPr>
      <w:r>
        <w:t xml:space="preserve">Examining the success rates of autocoups, the total success rate is 79%, which is</w:t>
      </w:r>
      <w:r>
        <w:t xml:space="preserve"> </w:t>
      </w:r>
      <w:r>
        <w:t xml:space="preserve">significantly higher than the roughly 50% success rate of classical coups. This</w:t>
      </w:r>
      <w:r>
        <w:t xml:space="preserve"> </w:t>
      </w:r>
      <w:r>
        <w:t xml:space="preserve">suggests that incumbents are in an advantageous position to expand or extend</w:t>
      </w:r>
      <w:r>
        <w:t xml:space="preserve"> </w:t>
      </w:r>
      <w:r>
        <w:t xml:space="preserve">their powers as executive leaders. They can do so openly and gradually, whereas</w:t>
      </w:r>
      <w:r>
        <w:t xml:space="preserve"> </w:t>
      </w:r>
      <w:r>
        <w:t xml:space="preserve">coup plotters must operate in secrecy and face numerous challenges such as</w:t>
      </w:r>
      <w:r>
        <w:t xml:space="preserve"> </w:t>
      </w:r>
      <w:r>
        <w:t xml:space="preserve">promissory issues and the risk of betrayal or exposure.</w:t>
      </w:r>
    </w:p>
    <w:p>
      <w:pPr>
        <w:pStyle w:val="BodyText"/>
      </w:pPr>
      <w:r>
        <w:t xml:space="preserve">However, the success rates vary significantly across different methods. Removing</w:t>
      </w:r>
      <w:r>
        <w:t xml:space="preserve"> </w:t>
      </w:r>
      <w:r>
        <w:t xml:space="preserve">term limits, delaying elections, declaring the leader for life, and cancelling</w:t>
      </w:r>
      <w:r>
        <w:t xml:space="preserve"> </w:t>
      </w:r>
      <w:r>
        <w:t xml:space="preserve">elections are all 100% successful. In contrast, there are only 4 cases of</w:t>
      </w:r>
      <w:r>
        <w:t xml:space="preserve"> </w:t>
      </w:r>
      <w:r>
        <w:t xml:space="preserve">refusing election results, with just one succeeding. Although this sample is</w:t>
      </w:r>
      <w:r>
        <w:t xml:space="preserve"> </w:t>
      </w:r>
      <w:r>
        <w:t xml:space="preserve">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End w:id="36"/>
    <w:bookmarkEnd w:id="37"/>
    <w:bookmarkStart w:id="41" w:name="Xaf719d404823a79d156c434b0ba7cbfc37e932f"/>
    <w:p>
      <w:pPr>
        <w:pStyle w:val="Heading2"/>
      </w:pPr>
      <w:r>
        <w:t xml:space="preserve">Determinants of Autocoup Attempts: Case Studies</w:t>
      </w:r>
    </w:p>
    <w:bookmarkStart w:id="38" w:name="X7801c15e5cb0007b794ebeb16a3e07f36f7e6bb"/>
    <w:p>
      <w:pPr>
        <w:pStyle w:val="Heading3"/>
      </w:pPr>
      <w:r>
        <w:t xml:space="preserve">High Frequency and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regimes before the collapse of the Soviet Union, while</w:t>
      </w:r>
      <w:r>
        <w:t xml:space="preserve"> </w:t>
      </w:r>
      <w:r>
        <w:t xml:space="preserve">most of them developed into</w:t>
      </w:r>
      <w:r>
        <w:t xml:space="preserve"> </w:t>
      </w:r>
      <w:r>
        <w:t xml:space="preserve">‘</w:t>
      </w:r>
      <w:r>
        <w:t xml:space="preserve">hybrid regimes</w:t>
      </w:r>
      <w:r>
        <w:t xml:space="preserve">’</w:t>
      </w:r>
      <w:r>
        <w:t xml:space="preserve"> </w:t>
      </w:r>
      <w:r>
        <w:t xml:space="preserve">(Nurumov and Vashchanka 2019)</w:t>
      </w:r>
      <w:r>
        <w:t xml:space="preserve"> </w:t>
      </w:r>
      <w:r>
        <w:t xml:space="preserve">and only a few remain</w:t>
      </w:r>
      <w:r>
        <w:t xml:space="preserve"> </w:t>
      </w:r>
      <w:r>
        <w:t xml:space="preserve">communist regimes after the collapse. In these countries, there are 12 documented</w:t>
      </w:r>
      <w:r>
        <w:t xml:space="preserve"> </w:t>
      </w:r>
      <w:r>
        <w:t xml:space="preserve">cases of autocoups aimed at prolonging incumbency, with only 2 of these attempts</w:t>
      </w:r>
      <w:r>
        <w:t xml:space="preserve"> </w:t>
      </w:r>
      <w:r>
        <w:t xml:space="preserve">failing. Examining the cases in post-communist countries, several characteristics</w:t>
      </w:r>
      <w:r>
        <w:t xml:space="preserve"> </w:t>
      </w:r>
      <w:r>
        <w:t xml:space="preserve">stand out:</w:t>
      </w:r>
    </w:p>
    <w:p>
      <w:pPr>
        <w:numPr>
          <w:ilvl w:val="0"/>
          <w:numId w:val="1012"/>
        </w:numPr>
      </w:pPr>
      <w:r>
        <w:rPr>
          <w:bCs/>
          <w:b/>
        </w:rPr>
        <w:t xml:space="preserve">Inherited Authoritarian Systems</w:t>
      </w:r>
      <w:r>
        <w:t xml:space="preserve">: Although most of these countries</w:t>
      </w:r>
      <w:r>
        <w:t xml:space="preserve"> </w:t>
      </w:r>
      <w:r>
        <w:t xml:space="preserve">transitioned from communist regimes to non-communist governments (with the</w:t>
      </w:r>
      <w:r>
        <w:t xml:space="preserve"> </w:t>
      </w:r>
      <w:r>
        <w:t xml:space="preserve">exception of China), they inherited the authoritarian systems of their</w:t>
      </w:r>
      <w:r>
        <w:t xml:space="preserve"> </w:t>
      </w:r>
      <w:r>
        <w:t xml:space="preserve">communist past.</w:t>
      </w:r>
    </w:p>
    <w:p>
      <w:pPr>
        <w:numPr>
          <w:ilvl w:val="0"/>
          <w:numId w:val="1012"/>
        </w:numPr>
      </w:pPr>
      <w:r>
        <w:rPr>
          <w:bCs/>
          <w:b/>
        </w:rPr>
        <w:t xml:space="preserve">Continuity of Former Elites</w:t>
      </w:r>
      <w:r>
        <w:t xml:space="preserve">: The transitions did not result in the</w:t>
      </w:r>
      <w:r>
        <w:t xml:space="preserve"> </w:t>
      </w:r>
      <w:r>
        <w:t xml:space="preserve">removal or overthrow of the previous ruling groups. Instead, the former</w:t>
      </w:r>
      <w:r>
        <w:t xml:space="preserve"> </w:t>
      </w:r>
      <w:r>
        <w:t xml:space="preserve">communist elites remained in power.</w:t>
      </w:r>
    </w:p>
    <w:p>
      <w:pPr>
        <w:numPr>
          <w:ilvl w:val="0"/>
          <w:numId w:val="1012"/>
        </w:numPr>
      </w:pPr>
      <w:r>
        <w:rPr>
          <w:bCs/>
          <w:b/>
        </w:rPr>
        <w:t xml:space="preserve">Subverted Democratic Processes</w:t>
      </w:r>
      <w:r>
        <w:t xml:space="preserve">: Despite the introduction of general</w:t>
      </w:r>
      <w:r>
        <w:t xml:space="preserve"> </w:t>
      </w:r>
      <w:r>
        <w:t xml:space="preserve">elections and term limits in most of these countries, the legacy of the</w:t>
      </w:r>
      <w:r>
        <w:t xml:space="preserve"> </w:t>
      </w:r>
      <w:r>
        <w:t xml:space="preserve">former communist regimes often led to term limits being ignored and elections</w:t>
      </w:r>
      <w:r>
        <w:t xml:space="preserve"> </w:t>
      </w:r>
      <w:r>
        <w:t xml:space="preserve">being rigged</w:t>
      </w:r>
      <w:r>
        <w:t xml:space="preserve"> </w:t>
      </w:r>
      <w:r>
        <w:t xml:space="preserve">(Nurumov and Vashchanka 2019)</w:t>
      </w:r>
      <w:r>
        <w:t xml:space="preserve">.</w:t>
      </w:r>
    </w:p>
    <w:p>
      <w:pPr>
        <w:pStyle w:val="FirstParagraph"/>
      </w:pPr>
      <w:r>
        <w:t xml:space="preserve">For example, Alexander Lukashenko was a member of the Supreme Soviet of the</w:t>
      </w:r>
      <w:r>
        <w:t xml:space="preserve"> </w:t>
      </w:r>
      <w:r>
        <w:t xml:space="preserve">Byelorussian Soviet Socialist Republic before the dissolution of the Soviet</w:t>
      </w:r>
      <w:r>
        <w:t xml:space="preserve"> </w:t>
      </w:r>
      <w:r>
        <w:t xml:space="preserve">Union. After the dissolution, he became head of the interim anti-corruption</w:t>
      </w:r>
      <w:r>
        <w:t xml:space="preserve"> </w:t>
      </w:r>
      <w:r>
        <w:t xml:space="preserve">committee of the Supreme Council of Belarus. Elected as the first president of</w:t>
      </w:r>
      <w:r>
        <w:t xml:space="preserve"> </w:t>
      </w:r>
      <w:r>
        <w:t xml:space="preserve">Belarus in 1994, he has held the office ever since. Initially, the 1994</w:t>
      </w:r>
      <w:r>
        <w:t xml:space="preserve"> </w:t>
      </w:r>
      <w:r>
        <w:t xml:space="preserve">constitution set a maximum of two successive presidential terms, but Lukashenko</w:t>
      </w:r>
      <w:r>
        <w:t xml:space="preserve"> </w:t>
      </w:r>
      <w:r>
        <w:t xml:space="preserve">removed this limit in 2004. Furthermore, international monitors have not regarded</w:t>
      </w:r>
      <w:r>
        <w:t xml:space="preserve"> </w:t>
      </w:r>
      <w:r>
        <w:t xml:space="preserve">Belarusian elections as free and fair, except for his initial win. Despite</w:t>
      </w:r>
      <w:r>
        <w:t xml:space="preserve"> </w:t>
      </w:r>
      <w:r>
        <w:t xml:space="preserve">significant protests against him, Lukashenko claimed to win with a high vote</w:t>
      </w:r>
      <w:r>
        <w:t xml:space="preserve"> </w:t>
      </w:r>
      <w:r>
        <w:t xml:space="preserve">share, often exceeding 80% in each election. This pattern is evident in all five</w:t>
      </w:r>
      <w:r>
        <w:t xml:space="preserve"> </w:t>
      </w:r>
      <w:r>
        <w:t xml:space="preserve">Central Asian countries of the former Soviet Union. Similarly, the</w:t>
      </w:r>
      <w:r>
        <w:t xml:space="preserve"> </w:t>
      </w:r>
      <w:r>
        <w:t xml:space="preserve">post-dissolution leaders of these countries were high officials or heads of the</w:t>
      </w:r>
      <w:r>
        <w:t xml:space="preserve"> </w:t>
      </w:r>
      <w:r>
        <w:t xml:space="preserve">former Soviet republics who continued their leadership in the presidency.</w:t>
      </w:r>
    </w:p>
    <w:p>
      <w:pPr>
        <w:pStyle w:val="BodyText"/>
      </w:pPr>
      <w:r>
        <w:t xml:space="preserve">Another long-ruling example is Nursultan Nazarbayev, who was the first president</w:t>
      </w:r>
      <w:r>
        <w:t xml:space="preserve"> </w:t>
      </w:r>
      <w:r>
        <w:t xml:space="preserve">of Kazakhstan from 1991 until 2019. He had been the real leader as the First</w:t>
      </w:r>
      <w:r>
        <w:t xml:space="preserve"> </w:t>
      </w:r>
      <w:r>
        <w:t xml:space="preserve">Secretary of the Communist Party of Kazakhstan before the dissolution of the</w:t>
      </w:r>
      <w:r>
        <w:t xml:space="preserve"> </w:t>
      </w:r>
      <w:r>
        <w:t xml:space="preserve">Soviet Union. After independence, he was elected as the first president and held</w:t>
      </w:r>
      <w:r>
        <w:t xml:space="preserve"> </w:t>
      </w:r>
      <w:r>
        <w:t xml:space="preserve">the office until 2019, through various means like resetting the term limits due</w:t>
      </w:r>
      <w:r>
        <w:t xml:space="preserve"> </w:t>
      </w:r>
      <w:r>
        <w:t xml:space="preserve">to the implementation of new constitutions. However, he did not officially</w:t>
      </w:r>
      <w:r>
        <w:t xml:space="preserve"> </w:t>
      </w:r>
      <w:r>
        <w:t xml:space="preserve">eliminate the term limits but made an exemption for the First President,</w:t>
      </w:r>
      <w:r>
        <w:t xml:space="preserve"> </w:t>
      </w:r>
      <w:r>
        <w:t xml:space="preserve">Nazarbayev</w:t>
      </w:r>
      <w:r>
        <w:t xml:space="preserve"> </w:t>
      </w:r>
      <w:r>
        <w:t xml:space="preserve">(Nurumov and Vashchanka 2019)</w:t>
      </w:r>
      <w:r>
        <w:t xml:space="preserve">. Unlike Lukashenko, who is still the incumbent of</w:t>
      </w:r>
      <w:r>
        <w:t xml:space="preserve"> </w:t>
      </w:r>
      <w:r>
        <w:t xml:space="preserve">Belarus, Nazarbayev passed the presidency to Kassym-Jomart Tokayev, a specially</w:t>
      </w:r>
      <w:r>
        <w:t xml:space="preserve"> </w:t>
      </w:r>
      <w:r>
        <w:t xml:space="preserve">designated successor, in 2019. However, he retained significant influence as the</w:t>
      </w:r>
      <w:r>
        <w:t xml:space="preserve"> </w:t>
      </w:r>
      <w:r>
        <w:t xml:space="preserve">Chairman of the Security Council of Kazakhstan until 2022.</w:t>
      </w:r>
    </w:p>
    <w:bookmarkEnd w:id="38"/>
    <w:bookmarkStart w:id="39" w:name="X526b7eeb333e67ad85c4e9f98a01f256218012c"/>
    <w:p>
      <w:pPr>
        <w:pStyle w:val="Heading3"/>
      </w:pPr>
      <w:r>
        <w:t xml:space="preserve">Autocoups for immediate re-election: Cases of Latin American countries</w:t>
      </w:r>
    </w:p>
    <w:p>
      <w:pPr>
        <w:pStyle w:val="FirstParagraph"/>
      </w:pPr>
      <w:r>
        <w:t xml:space="preserve">Latin America has a long history of maintaining term limit conventions. Simón</w:t>
      </w:r>
      <w:r>
        <w:t xml:space="preserve"> </w:t>
      </w:r>
      <w:r>
        <w:t xml:space="preserve">Bolívar, the founding father of Bolivia, was a strong advocate for term limits,</w:t>
      </w:r>
      <w:r>
        <w:t xml:space="preserve"> </w:t>
      </w:r>
      <w:r>
        <w:t xml:space="preserve">stating in 1819,</w:t>
      </w:r>
      <w:r>
        <w:t xml:space="preserve"> </w:t>
      </w:r>
      <w:r>
        <w:t xml:space="preserve">“</w:t>
      </w:r>
      <w:r>
        <w:t xml:space="preserve">Nothing is as dangerous as allowing the same citizen to remain</w:t>
      </w:r>
      <w:r>
        <w:t xml:space="preserve"> </w:t>
      </w:r>
      <w:r>
        <w:t xml:space="preserve">in power for a long time… That’s the origin of usurpation and tyranny</w:t>
      </w:r>
      <w:r>
        <w:t xml:space="preserve">”</w:t>
      </w:r>
      <w:r>
        <w:t xml:space="preserve"> </w:t>
      </w:r>
      <w:r>
        <w:t xml:space="preserve">(Ginsburg and Elkins 2019)</w:t>
      </w:r>
      <w:r>
        <w:t xml:space="preserve">. Although Bolívar eventually changed his stance, arguing in his</w:t>
      </w:r>
      <w:r>
        <w:t xml:space="preserve"> </w:t>
      </w:r>
      <w:r>
        <w:t xml:space="preserve">1826 Constitution Assembly speech that</w:t>
      </w:r>
      <w:r>
        <w:t xml:space="preserve"> </w:t>
      </w:r>
      <w:r>
        <w:t xml:space="preserve">“</w:t>
      </w:r>
      <w:r>
        <w:t xml:space="preserve">a president for life with the right to</w:t>
      </w:r>
      <w:r>
        <w:t xml:space="preserve"> </w:t>
      </w:r>
      <w:r>
        <w:t xml:space="preserve">choose the successor is the most sublime inspiration for the republican order,</w:t>
      </w:r>
      <w:r>
        <w:t xml:space="preserve">”</w:t>
      </w:r>
      <w:r>
        <w:t xml:space="preserve"> </w:t>
      </w:r>
      <w:r>
        <w:t xml:space="preserve">term limits became a convention in Latin America. Approximately 81% of Latin</w:t>
      </w:r>
      <w:r>
        <w:t xml:space="preserve"> </w:t>
      </w:r>
      <w:r>
        <w:t xml:space="preserve">American constitutions between independence and 1985 imposed some form of term</w:t>
      </w:r>
      <w:r>
        <w:t xml:space="preserve"> </w:t>
      </w:r>
      <w:r>
        <w:t xml:space="preserve">limits on the presidency</w:t>
      </w:r>
      <w:r>
        <w:t xml:space="preserve"> </w:t>
      </w:r>
      <w:r>
        <w:t xml:space="preserve">(Marsteintredet 2019)</w:t>
      </w:r>
      <w:r>
        <w:t xml:space="preserve">.</w:t>
      </w:r>
    </w:p>
    <w:p>
      <w:pPr>
        <w:pStyle w:val="BodyText"/>
      </w:pPr>
      <w:r>
        <w:t xml:space="preserve">Reviewing the cases in Latin American countries, we notice that:</w:t>
      </w:r>
    </w:p>
    <w:p>
      <w:pPr>
        <w:numPr>
          <w:ilvl w:val="0"/>
          <w:numId w:val="1013"/>
        </w:numPr>
      </w:pPr>
      <w:r>
        <w:rPr>
          <w:bCs/>
          <w:b/>
        </w:rPr>
        <w:t xml:space="preserve">Striving for Re-election:</w:t>
      </w:r>
      <w:r>
        <w:t xml:space="preserve"> </w:t>
      </w:r>
      <w:r>
        <w:t xml:space="preserve">Non-re-election or non-immediate re-election</w:t>
      </w:r>
      <w:r>
        <w:t xml:space="preserve"> </w:t>
      </w:r>
      <w:r>
        <w:t xml:space="preserve">has been common in Latin America, unlike other presidential countries where</w:t>
      </w:r>
      <w:r>
        <w:t xml:space="preserve"> </w:t>
      </w:r>
      <w:r>
        <w:t xml:space="preserve">two terms are more popular. Autocoup leaders in Latin America often attempt</w:t>
      </w:r>
      <w:r>
        <w:t xml:space="preserve"> </w:t>
      </w:r>
      <w:r>
        <w:t xml:space="preserve">to overstay a consecutive term.</w:t>
      </w:r>
    </w:p>
    <w:p>
      <w:pPr>
        <w:numPr>
          <w:ilvl w:val="0"/>
          <w:numId w:val="1013"/>
        </w:numPr>
      </w:pPr>
      <w:r>
        <w:rPr>
          <w:bCs/>
          <w:b/>
        </w:rPr>
        <w:t xml:space="preserve">Resisting long extensions:</w:t>
      </w:r>
      <w:r>
        <w:t xml:space="preserve"> </w:t>
      </w:r>
      <w:r>
        <w:t xml:space="preserve">Autocoups for one more term are often</w:t>
      </w:r>
      <w:r>
        <w:t xml:space="preserve"> </w:t>
      </w:r>
      <w:r>
        <w:t xml:space="preserve">successful, while attempts to overstay beyond this are frequently</w:t>
      </w:r>
      <w:r>
        <w:t xml:space="preserve"> </w:t>
      </w:r>
      <w:r>
        <w:t xml:space="preserve">unsuccessful.</w:t>
      </w:r>
    </w:p>
    <w:p>
      <w:pPr>
        <w:pStyle w:val="FirstParagraph"/>
      </w:pPr>
      <w:r>
        <w:t xml:space="preserve">According to</w:t>
      </w:r>
      <w:r>
        <w:t xml:space="preserve"> </w:t>
      </w:r>
      <w:r>
        <w:t xml:space="preserve">Marsteintredet (2019)</w:t>
      </w:r>
      <w:r>
        <w:t xml:space="preserve">, non-consecutive re-election was mandated in</w:t>
      </w:r>
      <w:r>
        <w:t xml:space="preserve"> </w:t>
      </w:r>
      <w:r>
        <w:t xml:space="preserve">about 64.9% of all constitutions between independence and 1985, while 5.9% banned</w:t>
      </w:r>
      <w:r>
        <w:t xml:space="preserve"> </w:t>
      </w:r>
      <w:r>
        <w:t xml:space="preserve">re-election entirely. However, adherence to these conventions has varied across</w:t>
      </w:r>
      <w:r>
        <w:t xml:space="preserve"> </w:t>
      </w:r>
      <w:r>
        <w:t xml:space="preserve">the region. Since Mexico introduced non-re-election institutions in 1911 at the</w:t>
      </w:r>
      <w:r>
        <w:t xml:space="preserve"> </w:t>
      </w:r>
      <w:r>
        <w:t xml:space="preserve">start of the Mexican Revolution, they have never been violated since then</w:t>
      </w:r>
      <w:r>
        <w:t xml:space="preserve"> </w:t>
      </w:r>
      <w:r>
        <w:t xml:space="preserve">(Klesner 2019)</w:t>
      </w:r>
      <w:r>
        <w:t xml:space="preserve">. Panama, along with Uruguay, has never changed the rules of</w:t>
      </w:r>
      <w:r>
        <w:t xml:space="preserve"> </w:t>
      </w:r>
      <w:r>
        <w:t xml:space="preserve">re-election, and since Costa Rica prohibited immediate presidential re-election</w:t>
      </w:r>
      <w:r>
        <w:t xml:space="preserve"> </w:t>
      </w:r>
      <w:r>
        <w:t xml:space="preserve">in 1859, the country has only experienced a brief period between 1897 and 1913 in</w:t>
      </w:r>
      <w:r>
        <w:t xml:space="preserve"> </w:t>
      </w:r>
      <w:r>
        <w:t xml:space="preserve">which the incumbent president could be re-elected</w:t>
      </w:r>
      <w:r>
        <w:t xml:space="preserve"> </w:t>
      </w:r>
      <w:r>
        <w:t xml:space="preserve">(Marsteintredet 2019)</w:t>
      </w:r>
      <w:r>
        <w:t xml:space="preserve">. In many</w:t>
      </w:r>
      <w:r>
        <w:t xml:space="preserve"> </w:t>
      </w:r>
      <w:r>
        <w:t xml:space="preserve">other countries, however, constitutions have been frequently amended or violated.</w:t>
      </w:r>
      <w:r>
        <w:t xml:space="preserve"> </w:t>
      </w:r>
      <w:r>
        <w:t xml:space="preserve">The pursuit of re-election or consecutive re-election has been a significant</w:t>
      </w:r>
      <w:r>
        <w:t xml:space="preserve"> </w:t>
      </w:r>
      <w:r>
        <w:t xml:space="preserve">trigger for autocoups aimed at power extension in Latin American countries. There</w:t>
      </w:r>
      <w:r>
        <w:t xml:space="preserve"> </w:t>
      </w:r>
      <w:r>
        <w:t xml:space="preserve">are 32 documented autocoup cases, with over 50% (17 cases) attempting to enable</w:t>
      </w:r>
      <w:r>
        <w:t xml:space="preserve"> </w:t>
      </w:r>
      <w:r>
        <w:t xml:space="preserve">re-election.</w:t>
      </w:r>
    </w:p>
    <w:p>
      <w:pPr>
        <w:pStyle w:val="BodyText"/>
      </w:pPr>
      <w:r>
        <w:t xml:space="preserve">Unlike those who attempt to overstay in office indefinitely, many Latin American</w:t>
      </w:r>
      <w:r>
        <w:t xml:space="preserve"> </w:t>
      </w:r>
      <w:r>
        <w:t xml:space="preserve">leaders exit after their second term expires. Examples include President Menem of</w:t>
      </w:r>
      <w:r>
        <w:t xml:space="preserve"> </w:t>
      </w:r>
      <w:r>
        <w:t xml:space="preserve">Argentina (1988-1999), President Fernando Cardoso of Brazil (1995-2003),</w:t>
      </w:r>
      <w:r>
        <w:t xml:space="preserve"> </w:t>
      </w:r>
      <w:r>
        <w:t xml:space="preserve">President Danilo Medina of the Dominican Republic (2012-2020), and President Juan</w:t>
      </w:r>
      <w:r>
        <w:t xml:space="preserve"> </w:t>
      </w:r>
      <w:r>
        <w:t xml:space="preserve">Orlando Hernández of Honduras (2014-2022)</w:t>
      </w:r>
      <w:r>
        <w:t xml:space="preserve"> </w:t>
      </w:r>
      <w:r>
        <w:t xml:space="preserve">(Ginsburg and Elkins 2019; Marsteintredet 2019; Landau, Roznai, and Dixon 2019; Baturo 2019; Neto and Acácio 2019)</w:t>
      </w:r>
      <w:r>
        <w:t xml:space="preserve">. This does not mean none of them tried to</w:t>
      </w:r>
      <w:r>
        <w:t xml:space="preserve"> </w:t>
      </w:r>
      <w:r>
        <w:t xml:space="preserve">extend even longer, but most did not manipulate the process by abusing their</w:t>
      </w:r>
      <w:r>
        <w:t xml:space="preserve"> </w:t>
      </w:r>
      <w:r>
        <w:t xml:space="preserve">power and accepted their unsuccessful outcomes soon.</w:t>
      </w:r>
    </w:p>
    <w:p>
      <w:pPr>
        <w:pStyle w:val="BodyText"/>
      </w:pPr>
      <w:r>
        <w:t xml:space="preserve">For instance, President Menem of Argentina successfully extended one term by</w:t>
      </w:r>
      <w:r>
        <w:t xml:space="preserve"> </w:t>
      </w:r>
      <w:r>
        <w:t xml:space="preserve">amending the constitution in 1994 to allow one executive re-election and was</w:t>
      </w:r>
      <w:r>
        <w:t xml:space="preserve"> </w:t>
      </w:r>
      <w:r>
        <w:t xml:space="preserve">re-elected in 1995. However, when he attempted to reset his term, arguing that</w:t>
      </w:r>
      <w:r>
        <w:t xml:space="preserve"> </w:t>
      </w:r>
      <w:r>
        <w:t xml:space="preserve">his first term from 1988 to 1995 did not count since it was under previous</w:t>
      </w:r>
      <w:r>
        <w:t xml:space="preserve"> </w:t>
      </w:r>
      <w:r>
        <w:t xml:space="preserve">constitutions, his appeal was unanimously ruled out by the Supreme Court in March</w:t>
      </w:r>
      <w:r>
        <w:t xml:space="preserve"> </w:t>
      </w:r>
      <w:r>
        <w:t xml:space="preserve">1999</w:t>
      </w:r>
      <w:r>
        <w:t xml:space="preserve"> </w:t>
      </w:r>
      <w:r>
        <w:t xml:space="preserve">(Llanos 2019)</w:t>
      </w:r>
      <w:r>
        <w:t xml:space="preserve">. A similar scenario occurred with President Álvaro Uribe of</w:t>
      </w:r>
      <w:r>
        <w:t xml:space="preserve"> </w:t>
      </w:r>
      <w:r>
        <w:t xml:space="preserve">Colombia (2002-2010)</w:t>
      </w:r>
      <w:r>
        <w:t xml:space="preserve"> </w:t>
      </w:r>
      <w:r>
        <w:t xml:space="preserve">(Baturo 2019)</w:t>
      </w:r>
      <w:r>
        <w:t xml:space="preserve">. In contrast, Daniel Ortega, the incumbent</w:t>
      </w:r>
      <w:r>
        <w:t xml:space="preserve"> </w:t>
      </w:r>
      <w:r>
        <w:t xml:space="preserve">president of Nicaragua, successfully extended his presidency. In 2009, the</w:t>
      </w:r>
      <w:r>
        <w:t xml:space="preserve"> </w:t>
      </w:r>
      <w:r>
        <w:t xml:space="preserve">Supreme Court of Justice of Nicaragua allowed his re-running in 2011. In 2014,</w:t>
      </w:r>
      <w:r>
        <w:t xml:space="preserve"> </w:t>
      </w:r>
      <w:r>
        <w:t xml:space="preserve">the National Assembly of Nicaragua approved constitutional amendments that</w:t>
      </w:r>
      <w:r>
        <w:t xml:space="preserve"> </w:t>
      </w:r>
      <w:r>
        <w:t xml:space="preserve">abolished term limits for the presidency, allowing Ortega to run for an unlimited</w:t>
      </w:r>
      <w:r>
        <w:t xml:space="preserve"> </w:t>
      </w:r>
      <w:r>
        <w:t xml:space="preserve">number of five-year terms, making him president since 2007</w:t>
      </w:r>
      <w:r>
        <w:t xml:space="preserve"> </w:t>
      </w:r>
      <w:r>
        <w:t xml:space="preserve">(Close 2019)</w:t>
      </w:r>
      <w:r>
        <w:t xml:space="preserve">.</w:t>
      </w:r>
    </w:p>
    <w:bookmarkEnd w:id="39"/>
    <w:bookmarkStart w:id="40" w:name="X04f2665d23f905bf22fbb0bc0875e04185843ca"/>
    <w:p>
      <w:pPr>
        <w:pStyle w:val="Heading3"/>
      </w:pPr>
      <w:r>
        <w:t xml:space="preserve">As common as classical coups: Cases of African countries</w:t>
      </w:r>
    </w:p>
    <w:p>
      <w:pPr>
        <w:pStyle w:val="FirstParagraph"/>
      </w:pPr>
      <w:r>
        <w:t xml:space="preserve">Classical coups have been very common in Africa, accounting for about 45% of all</w:t>
      </w:r>
      <w:r>
        <w:t xml:space="preserve"> </w:t>
      </w:r>
      <w:r>
        <w:t xml:space="preserve">coups (219 out of 491) globally since 1950, involving 45 out of 54 African</w:t>
      </w:r>
      <w:r>
        <w:t xml:space="preserve"> </w:t>
      </w:r>
      <w:r>
        <w:t xml:space="preserve">countries</w:t>
      </w:r>
      <w:r>
        <w:t xml:space="preserve"> </w:t>
      </w:r>
      <w:r>
        <w:t xml:space="preserve">(Powell and Thyne 2011)</w:t>
      </w:r>
      <w:r>
        <w:t xml:space="preserve">. Autocoups, although less common compared to coups, still</w:t>
      </w:r>
      <w:r>
        <w:t xml:space="preserve"> </w:t>
      </w:r>
      <w:r>
        <w:t xml:space="preserve">have a significant presence in Africa. Among 113 documented autocoup cases, 46%</w:t>
      </w:r>
      <w:r>
        <w:t xml:space="preserve"> </w:t>
      </w:r>
      <w:r>
        <w:t xml:space="preserve">(52 cases) occurred in Africa, involving 36 countries. The success rate of coups</w:t>
      </w:r>
      <w:r>
        <w:t xml:space="preserve"> </w:t>
      </w:r>
      <w:r>
        <w:t xml:space="preserve">in Africa is roughly 50%, while the success rate of autocoups is about 83%, which</w:t>
      </w:r>
      <w:r>
        <w:t xml:space="preserve"> </w:t>
      </w:r>
      <w:r>
        <w:t xml:space="preserve">is higher than both the success rate of coups and the average global success rate</w:t>
      </w:r>
      <w:r>
        <w:t xml:space="preserve"> </w:t>
      </w:r>
      <w:r>
        <w:t xml:space="preserve">of autocoups, approximately 78%.</w:t>
      </w:r>
    </w:p>
    <w:p>
      <w:pPr>
        <w:pStyle w:val="BodyText"/>
      </w:pPr>
      <w:r>
        <w:t xml:space="preserve">Identifying a clear pattern of autocoups in Africa is challenging, similar to the</w:t>
      </w:r>
      <w:r>
        <w:t xml:space="preserve"> </w:t>
      </w:r>
      <w:r>
        <w:t xml:space="preserve">case with coups. Various factors have been proposed:</w:t>
      </w:r>
    </w:p>
    <w:p>
      <w:pPr>
        <w:numPr>
          <w:ilvl w:val="0"/>
          <w:numId w:val="1014"/>
        </w:numPr>
      </w:pPr>
      <w:r>
        <w:rPr>
          <w:bCs/>
          <w:b/>
        </w:rPr>
        <w:t xml:space="preserve">Natural Resources</w:t>
      </w:r>
      <w:r>
        <w:t xml:space="preserve">: Countries rich in natural resources, particularly oil</w:t>
      </w:r>
      <w:r>
        <w:t xml:space="preserve"> </w:t>
      </w:r>
      <w:r>
        <w:t xml:space="preserve">or diamonds, may see leaders more likely to attempt and succeed in extending</w:t>
      </w:r>
      <w:r>
        <w:t xml:space="preserve"> </w:t>
      </w:r>
      <w:r>
        <w:t xml:space="preserve">their terms</w:t>
      </w:r>
      <w:r>
        <w:t xml:space="preserve"> </w:t>
      </w:r>
      <w:r>
        <w:t xml:space="preserve">(Posner and Young, n.d.; Cheeseman 2015; Cheeseman and Klaas 2019)</w:t>
      </w:r>
      <w:r>
        <w:t xml:space="preserve">.</w:t>
      </w:r>
    </w:p>
    <w:p>
      <w:pPr>
        <w:numPr>
          <w:ilvl w:val="0"/>
          <w:numId w:val="1014"/>
        </w:numPr>
      </w:pPr>
      <w:r>
        <w:rPr>
          <w:bCs/>
          <w:b/>
        </w:rPr>
        <w:t xml:space="preserve">Quality of Democracy</w:t>
      </w:r>
      <w:r>
        <w:t xml:space="preserve">: The quality of democracy is a critical factor</w:t>
      </w:r>
      <w:r>
        <w:t xml:space="preserve"> </w:t>
      </w:r>
      <w:r>
        <w:t xml:space="preserve">influencing respect for term limits</w:t>
      </w:r>
      <w:r>
        <w:t xml:space="preserve"> </w:t>
      </w:r>
      <w:r>
        <w:t xml:space="preserve">(Reyntjens 2016)</w:t>
      </w:r>
      <w:r>
        <w:t xml:space="preserve">.</w:t>
      </w:r>
    </w:p>
    <w:p>
      <w:pPr>
        <w:numPr>
          <w:ilvl w:val="0"/>
          <w:numId w:val="1014"/>
        </w:numPr>
      </w:pPr>
      <w:r>
        <w:rPr>
          <w:bCs/>
          <w:b/>
        </w:rPr>
        <w:t xml:space="preserve">International Influence</w:t>
      </w:r>
      <w:r>
        <w:t xml:space="preserve">: International aid or donor influence can play a</w:t>
      </w:r>
      <w:r>
        <w:t xml:space="preserve"> </w:t>
      </w:r>
      <w:r>
        <w:t xml:space="preserve">significant role in discouraging attempts at power extension</w:t>
      </w:r>
      <w:r>
        <w:t xml:space="preserve"> </w:t>
      </w:r>
      <w:r>
        <w:t xml:space="preserve">(Brown 2001; Tangri and Mwenda 2010)</w:t>
      </w:r>
      <w:r>
        <w:t xml:space="preserve">.</w:t>
      </w:r>
    </w:p>
    <w:p>
      <w:pPr>
        <w:numPr>
          <w:ilvl w:val="0"/>
          <w:numId w:val="1014"/>
        </w:numPr>
      </w:pPr>
      <w:r>
        <w:rPr>
          <w:bCs/>
          <w:b/>
        </w:rPr>
        <w:t xml:space="preserve">Organized Opposition and Party Unity</w:t>
      </w:r>
      <w:r>
        <w:t xml:space="preserve">: The extent of organized opposition</w:t>
      </w:r>
      <w:r>
        <w:t xml:space="preserve"> </w:t>
      </w:r>
      <w:r>
        <w:t xml:space="preserve">and the president’s ability to enforce unity within the ruling party are</w:t>
      </w:r>
      <w:r>
        <w:t xml:space="preserve"> </w:t>
      </w:r>
      <w:r>
        <w:t xml:space="preserve">crucial factors</w:t>
      </w:r>
      <w:r>
        <w:t xml:space="preserve"> </w:t>
      </w:r>
      <w:r>
        <w:t xml:space="preserve">(Cheeseman 2019)</w:t>
      </w:r>
      <w:r>
        <w:t xml:space="preserve">.</w:t>
      </w:r>
    </w:p>
    <w:p>
      <w:pPr>
        <w:pStyle w:val="FirstParagraph"/>
      </w:pPr>
      <w:r>
        <w:t xml:space="preserve">Using the Africa Executive Term Limits (AETL) dataset,</w:t>
      </w:r>
      <w:r>
        <w:t xml:space="preserve"> </w:t>
      </w:r>
      <w:r>
        <w:t xml:space="preserve">Cassani (2020)</w:t>
      </w:r>
      <w:r>
        <w:t xml:space="preserve"> </w:t>
      </w:r>
      <w:r>
        <w:t xml:space="preserve">highlights</w:t>
      </w:r>
      <w:r>
        <w:t xml:space="preserve"> </w:t>
      </w:r>
      <w:r>
        <w:t xml:space="preserve">human rights abuses and the desire for impunity as main drivers for incumbents to</w:t>
      </w:r>
      <w:r>
        <w:t xml:space="preserve"> </w:t>
      </w:r>
      <w:r>
        <w:t xml:space="preserve">cling to power. The more authoritarian a leader, the more likely they are to</w:t>
      </w:r>
      <w:r>
        <w:t xml:space="preserve"> </w:t>
      </w:r>
      <w:r>
        <w:t xml:space="preserve">attempt to break term limits and overstay in office. Additionally, a leader’s</w:t>
      </w:r>
      <w:r>
        <w:t xml:space="preserve"> </w:t>
      </w:r>
      <w:r>
        <w:t xml:space="preserve">ability to secure the loyalty of the armed forces through public investment</w:t>
      </w:r>
      <w:r>
        <w:t xml:space="preserve"> </w:t>
      </w:r>
      <w:r>
        <w:t xml:space="preserve">increases the chances of success in overstaying.</w:t>
      </w:r>
    </w:p>
    <w:p>
      <w:pPr>
        <w:pStyle w:val="BodyText"/>
      </w:pPr>
      <w:r>
        <w:t xml:space="preserve">Despite both coups and autocoups being prevalent, there has been a noticeable</w:t>
      </w:r>
      <w:r>
        <w:t xml:space="preserve"> </w:t>
      </w:r>
      <w:r>
        <w:t xml:space="preserve">shift since the end of the Cold War in 1991. Coups have decreased, while</w:t>
      </w:r>
      <w:r>
        <w:t xml:space="preserve"> </w:t>
      </w:r>
      <w:r>
        <w:t xml:space="preserve">autocoups have increased. This trend is partly due to the introduction of</w:t>
      </w:r>
      <w:r>
        <w:t xml:space="preserve"> </w:t>
      </w:r>
      <w:r>
        <w:t xml:space="preserve">multi-party elections in Africa in the 1990s, which also brought in term limits</w:t>
      </w:r>
      <w:r>
        <w:t xml:space="preserve"> </w:t>
      </w:r>
      <w:r>
        <w:t xml:space="preserve">for executives</w:t>
      </w:r>
      <w:r>
        <w:t xml:space="preserve"> </w:t>
      </w:r>
      <w:r>
        <w:t xml:space="preserve">(Cassani 2020; Cheeseman 2019)</w:t>
      </w:r>
      <w:r>
        <w:t xml:space="preserve">. Before 1991, personal or military</w:t>
      </w:r>
      <w:r>
        <w:t xml:space="preserve"> </w:t>
      </w:r>
      <w:r>
        <w:t xml:space="preserve">rule was more common, and term limits were less frequent. Post-1991, with more</w:t>
      </w:r>
      <w:r>
        <w:t xml:space="preserve"> </w:t>
      </w:r>
      <w:r>
        <w:t xml:space="preserve">term limits introduced, challenges to these limits have increased. However, this</w:t>
      </w:r>
      <w:r>
        <w:t xml:space="preserve"> </w:t>
      </w:r>
      <w:r>
        <w:t xml:space="preserve">does not imply that violations are more common than adherence to term limits.</w:t>
      </w:r>
    </w:p>
    <w:bookmarkEnd w:id="40"/>
    <w:bookmarkEnd w:id="41"/>
    <w:bookmarkStart w:id="48" w:name="X161a7d11c91d10e424047c545a4ff2875aa981c"/>
    <w:p>
      <w:pPr>
        <w:pStyle w:val="Heading2"/>
      </w:pPr>
      <w:r>
        <w:t xml:space="preserve">Empirical Analysis: A Simple Example of Utilizing the Autocoup Dataset</w:t>
      </w:r>
    </w:p>
    <w:p>
      <w:pPr>
        <w:pStyle w:val="FirstParagraph"/>
      </w:pPr>
      <w:r>
        <w:t xml:space="preserve">With the availability of the autocoup dataset, we can conduct quantitative</w:t>
      </w:r>
      <w:r>
        <w:t xml:space="preserve"> </w:t>
      </w:r>
      <w:r>
        <w:t xml:space="preserve">analyses beyond traditional case studies. This chapter provides a simple example</w:t>
      </w:r>
      <w:r>
        <w:t xml:space="preserve"> </w:t>
      </w:r>
      <w:r>
        <w:t xml:space="preserve">of demonstrating how to utilize the dataset. To analyse the determinants of</w:t>
      </w:r>
      <w:r>
        <w:t xml:space="preserve"> </w:t>
      </w:r>
      <w:r>
        <w:t xml:space="preserve">autocoup attempts, we employ a</w:t>
      </w:r>
      <w:r>
        <w:t xml:space="preserve"> </w:t>
      </w:r>
      <w:r>
        <w:rPr>
          <w:rStyle w:val="VerbatimChar"/>
        </w:rPr>
        <w:t xml:space="preserve">probit</w:t>
      </w:r>
      <w:r>
        <w:t xml:space="preserve"> </w:t>
      </w:r>
      <w:r>
        <w:t xml:space="preserve">regression model. This model is</w:t>
      </w:r>
      <w:r>
        <w:t xml:space="preserve"> </w:t>
      </w:r>
      <w:r>
        <w:t xml:space="preserve">appropriate for binary dependent variables, allowing us to estimate the</w:t>
      </w:r>
      <w:r>
        <w:t xml:space="preserve"> </w:t>
      </w:r>
      <w:r>
        <w:t xml:space="preserve">probability of an autocoup attempt given the independent variables.</w:t>
      </w:r>
    </w:p>
    <w:bookmarkStart w:id="46" w:name="data-and-variables"/>
    <w:p>
      <w:pPr>
        <w:pStyle w:val="Heading3"/>
      </w:pPr>
      <w:r>
        <w:t xml:space="preserve">Data and Variables</w:t>
      </w:r>
    </w:p>
    <w:bookmarkStart w:id="42" w:name="dependent-variable"/>
    <w:p>
      <w:pPr>
        <w:pStyle w:val="Heading4"/>
      </w:pPr>
      <w:r>
        <w:rPr>
          <w:bCs/>
          <w:b/>
        </w:rPr>
        <w:t xml:space="preserve">Dependent Variable</w:t>
      </w:r>
    </w:p>
    <w:p>
      <w:pPr>
        <w:numPr>
          <w:ilvl w:val="0"/>
          <w:numId w:val="1015"/>
        </w:numPr>
      </w:pPr>
      <w:r>
        <w:rPr>
          <w:bCs/>
          <w:b/>
        </w:rPr>
        <w:t xml:space="preserve">Autocoup Attempts</w:t>
      </w:r>
      <w:r>
        <w:t xml:space="preserve">: This binary variable indicates whether an autocoup was</w:t>
      </w:r>
      <w:r>
        <w:t xml:space="preserve"> </w:t>
      </w:r>
      <w:r>
        <w:t xml:space="preserve">attempted during the tenure of an incumbent leader, based on the data</w:t>
      </w:r>
      <w:r>
        <w:t xml:space="preserve"> </w:t>
      </w:r>
      <w:r>
        <w:t xml:space="preserve">introduced in this study.</w:t>
      </w:r>
    </w:p>
    <w:p>
      <w:pPr>
        <w:numPr>
          <w:ilvl w:val="0"/>
          <w:numId w:val="1015"/>
        </w:numPr>
      </w:pPr>
      <w:r>
        <w:rPr>
          <w:bCs/>
          <w:b/>
        </w:rPr>
        <w:t xml:space="preserve">Autocoup Success:</w:t>
      </w:r>
      <w:r>
        <w:t xml:space="preserve"> </w:t>
      </w:r>
      <w:r>
        <w:t xml:space="preserve">This binary variable indicates whether an attempted</w:t>
      </w:r>
      <w:r>
        <w:t xml:space="preserve"> </w:t>
      </w:r>
      <w:r>
        <w:t xml:space="preserve">autocoup of the incumbent leader succeeded, based on the data introduced in</w:t>
      </w:r>
      <w:r>
        <w:t xml:space="preserve"> </w:t>
      </w:r>
      <w:r>
        <w:t xml:space="preserve">this study.</w:t>
      </w:r>
    </w:p>
    <w:bookmarkEnd w:id="42"/>
    <w:bookmarkStart w:id="45" w:name="independent-variables"/>
    <w:p>
      <w:pPr>
        <w:pStyle w:val="Heading4"/>
      </w:pPr>
      <w:r>
        <w:rPr>
          <w:bCs/>
          <w:b/>
        </w:rPr>
        <w:t xml:space="preserve">Independent Variables</w:t>
      </w:r>
    </w:p>
    <w:p>
      <w:pPr>
        <w:numPr>
          <w:ilvl w:val="0"/>
          <w:numId w:val="1016"/>
        </w:numPr>
      </w:pPr>
      <w:r>
        <w:rPr>
          <w:bCs/>
          <w:b/>
        </w:rPr>
        <w:t xml:space="preserve">Economic Performance:</w:t>
      </w:r>
      <w:r>
        <w:t xml:space="preserve"> </w:t>
      </w:r>
      <w:r>
        <w:t xml:space="preserve">This variable is measured using two indicators:</w:t>
      </w:r>
      <w:r>
        <w:t xml:space="preserve"> </w:t>
      </w:r>
      <w:r>
        <w:t xml:space="preserve">economic level and economic growth trend.</w:t>
      </w:r>
    </w:p>
    <w:p>
      <w:pPr>
        <w:numPr>
          <w:ilvl w:val="0"/>
          <w:numId w:val="1000"/>
        </w:numPr>
      </w:pPr>
      <w:r>
        <w:rPr>
          <w:bCs/>
          <w:b/>
        </w:rPr>
        <w:t xml:space="preserve">Economic Level:</w:t>
      </w:r>
      <w:r>
        <w:t xml:space="preserve"> </w:t>
      </w:r>
      <w:r>
        <w:t xml:space="preserve">Represented by GDP per capita. This measure provides an</w:t>
      </w:r>
      <w:r>
        <w:t xml:space="preserve"> </w:t>
      </w:r>
      <w:r>
        <w:t xml:space="preserve">indication of the overall economic health and standard of living in a</w:t>
      </w:r>
      <w:r>
        <w:t xml:space="preserve"> </w:t>
      </w:r>
      <w:r>
        <w:t xml:space="preserve">country.</w:t>
      </w:r>
    </w:p>
    <w:p>
      <w:pPr>
        <w:numPr>
          <w:ilvl w:val="0"/>
          <w:numId w:val="1000"/>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 GDP</w:t>
      </w:r>
      <w:r>
        <w:t xml:space="preserve"> </w:t>
      </w:r>
      <w:r>
        <w:t xml:space="preserve">per capita to the average GDP per capita over the previous five years. A</w:t>
      </w:r>
      <w:r>
        <w:t xml:space="preserve"> </w:t>
      </w:r>
      <w:r>
        <w:t xml:space="preserve">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1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power transitions.</w:t>
      </w:r>
      <w:r>
        <w:t xml:space="preserve"> </w:t>
      </w:r>
      <w:r>
        <w:t xml:space="preserve">(Marshall 2005)</w:t>
      </w:r>
      <w:r>
        <w:t xml:space="preserve">.</w:t>
      </w:r>
    </w:p>
    <w:p>
      <w:pPr>
        <w:numPr>
          <w:ilvl w:val="0"/>
          <w:numId w:val="101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Centre for Systemic Peace (CSP)</w:t>
      </w:r>
      <w:r>
        <w:rPr>
          <w:rStyle w:val="FootnoteReference"/>
        </w:rPr>
        <w:footnoteReference w:id="43"/>
      </w:r>
      <w:r>
        <w:t xml:space="preserve"> </w:t>
      </w:r>
      <w:r>
        <w:t xml:space="preserve">and provides an essential measure of</w:t>
      </w:r>
      <w:r>
        <w:t xml:space="preserve"> </w:t>
      </w:r>
      <w:r>
        <w:t xml:space="preserve">political regime type, which might influence the political stability and</w:t>
      </w:r>
      <w:r>
        <w:t xml:space="preserve"> </w:t>
      </w:r>
      <w:r>
        <w:t xml:space="preserve">power transitions.</w:t>
      </w:r>
    </w:p>
    <w:p>
      <w:pPr>
        <w:numPr>
          <w:ilvl w:val="0"/>
          <w:numId w:val="101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power transitions.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17"/>
        </w:numPr>
      </w:pPr>
      <w:r>
        <w:rPr>
          <w:bCs/>
          <w:b/>
        </w:rPr>
        <w:t xml:space="preserve">Leader’s Age:</w:t>
      </w:r>
      <w:r>
        <w:t xml:space="preserve"> </w:t>
      </w:r>
      <w:r>
        <w:t xml:space="preserve">The age of the leader is included as an additional variable</w:t>
      </w:r>
      <w:r>
        <w:t xml:space="preserve"> </w:t>
      </w:r>
      <w:r>
        <w:t xml:space="preserve">in the analysis, offering insights into potential correlations with</w:t>
      </w:r>
      <w:r>
        <w:t xml:space="preserve"> </w:t>
      </w:r>
      <w:r>
        <w:t xml:space="preserve">leadership strength. Older leaders may have different experiences, networks,</w:t>
      </w:r>
      <w:r>
        <w:t xml:space="preserve"> </w:t>
      </w:r>
      <w:r>
        <w:t xml:space="preserve">and health considerations that could influence their ability to maintain</w:t>
      </w:r>
      <w:r>
        <w:t xml:space="preserve"> </w:t>
      </w:r>
      <w:r>
        <w:t xml:space="preserve">power. This data is sourced from the leaders dataset by</w:t>
      </w:r>
      <w:r>
        <w:t xml:space="preserve"> </w:t>
      </w:r>
      <w:r>
        <w:t xml:space="preserve">(Goemans, Gleditsch, and Chiozza 2009)</w:t>
      </w:r>
      <w:r>
        <w:t xml:space="preserve">.</w:t>
      </w:r>
    </w:p>
    <w:p>
      <w:pPr>
        <w:pStyle w:val="FirstParagraph"/>
      </w:pPr>
      <w:r>
        <w:t xml:space="preserve">Different from analysing the determinants of coups, which theoretically could</w:t>
      </w:r>
      <w:r>
        <w:t xml:space="preserve"> </w:t>
      </w:r>
      <w:r>
        <w:t xml:space="preserve">happen in each year, we assume that autocoup happens only once during the tenure</w:t>
      </w:r>
      <w:r>
        <w:t xml:space="preserve"> </w:t>
      </w:r>
      <w:r>
        <w:t xml:space="preserve">of the incumbent. Because once the incumbent succeeds an autocoup, there is no</w:t>
      </w:r>
      <w:r>
        <w:t xml:space="preserve"> </w:t>
      </w:r>
      <w:r>
        <w:t xml:space="preserve">necessary to stage another one. Of course, this is not the case in real time. A</w:t>
      </w:r>
      <w:r>
        <w:t xml:space="preserve"> </w:t>
      </w:r>
      <w:r>
        <w:t xml:space="preserve">leader who successfully overstayed one term could try to overstay additional</w:t>
      </w:r>
      <w:r>
        <w:t xml:space="preserve"> </w:t>
      </w:r>
      <w:r>
        <w:t xml:space="preserve">term, or even strive for leadership for life. A leader who failed in the first</w:t>
      </w:r>
      <w:r>
        <w:t xml:space="preserve"> </w:t>
      </w:r>
      <w:r>
        <w:t xml:space="preserve">attempt might make another try if they are not removed due the first failure. To</w:t>
      </w:r>
      <w:r>
        <w:t xml:space="preserve"> </w:t>
      </w:r>
      <w:r>
        <w:t xml:space="preserve">simplify the analysis, we overlook those possibilities.</w:t>
      </w:r>
    </w:p>
    <w:p>
      <w:pPr>
        <w:pStyle w:val="BodyText"/>
      </w:pPr>
      <w:r>
        <w:t xml:space="preserve">Therefore, in the</w:t>
      </w:r>
      <w:r>
        <w:t xml:space="preserve"> </w:t>
      </w:r>
      <w:r>
        <w:rPr>
          <w:rStyle w:val="VerbatimChar"/>
        </w:rPr>
        <w:t xml:space="preserve">probit</w:t>
      </w:r>
      <w:r>
        <w:t xml:space="preserve"> </w:t>
      </w:r>
      <w:r>
        <w:t xml:space="preserve">model, the unit of analysis in autocoups is the whole</w:t>
      </w:r>
      <w:r>
        <w:t xml:space="preserve"> </w:t>
      </w:r>
      <w:r>
        <w:t xml:space="preserve">tenure of the leader, not country-year. So, we need to settle a base-year for the</w:t>
      </w:r>
      <w:r>
        <w:t xml:space="preserve"> </w:t>
      </w:r>
      <w:r>
        <w:t xml:space="preserve">variables. For leaders who staged an autocoup, we take the year of their first</w:t>
      </w:r>
      <w:r>
        <w:t xml:space="preserve"> </w:t>
      </w:r>
      <w:r>
        <w:t xml:space="preserve">attempts as the base-year, while for leaders who did not attempt to overstay, we</w:t>
      </w:r>
      <w:r>
        <w:t xml:space="preserve"> </w:t>
      </w:r>
      <w:r>
        <w:t xml:space="preserve">take the middle year of their tenure as the base-year.</w:t>
      </w:r>
    </w:p>
    <w:p>
      <w:pPr>
        <w:pStyle w:val="BodyText"/>
      </w:pPr>
      <w:r>
        <w:t xml:space="preserve">Unlike the analysis of coup determinants, which could theoretically occur in any</w:t>
      </w:r>
      <w:r>
        <w:t xml:space="preserve"> </w:t>
      </w:r>
      <w:r>
        <w:t xml:space="preserve">given year, we assume that an autocoup happens only once during an incumbent</w:t>
      </w:r>
      <w:r>
        <w:t xml:space="preserve"> </w:t>
      </w:r>
      <w:r>
        <w:t xml:space="preserve">leader’s tenure. Once an incumbent succeeds in staging an autocoup, there is no</w:t>
      </w:r>
      <w:r>
        <w:t xml:space="preserve"> </w:t>
      </w:r>
      <w:r>
        <w:t xml:space="preserve">need for another attempt. However, this assumption does not always reflect</w:t>
      </w:r>
      <w:r>
        <w:t xml:space="preserve"> </w:t>
      </w:r>
      <w:r>
        <w:t xml:space="preserve">reality. A leader who successfully extends their term might attempt further</w:t>
      </w:r>
      <w:r>
        <w:t xml:space="preserve"> </w:t>
      </w:r>
      <w:r>
        <w:t xml:space="preserve">extensions, striving for lifelong leadership. Conversely, a leader who fails in</w:t>
      </w:r>
      <w:r>
        <w:t xml:space="preserve"> </w:t>
      </w:r>
      <w:r>
        <w:t xml:space="preserve">their first attempt may try again if they are not removed from power after the</w:t>
      </w:r>
      <w:r>
        <w:t xml:space="preserve"> </w:t>
      </w:r>
      <w:r>
        <w:t xml:space="preserve">initial failure. For simplicity, we overlook these possibilities in our analysis.</w:t>
      </w:r>
    </w:p>
    <w:p>
      <w:pPr>
        <w:pStyle w:val="BodyText"/>
      </w:pPr>
      <w:r>
        <w:t xml:space="preserve">Therefore, in our</w:t>
      </w:r>
      <w:r>
        <w:t xml:space="preserve"> </w:t>
      </w:r>
      <w:r>
        <w:rPr>
          <w:rStyle w:val="VerbatimChar"/>
        </w:rPr>
        <w:t xml:space="preserve">probit</w:t>
      </w:r>
      <w:r>
        <w:t xml:space="preserve"> </w:t>
      </w:r>
      <w:r>
        <w:t xml:space="preserve">model, the unit of analysis for autocoups is the</w:t>
      </w:r>
      <w:r>
        <w:t xml:space="preserve"> </w:t>
      </w:r>
      <w:r>
        <w:t xml:space="preserve">entire tenure of a leader, rather than a country-year. We establish a base year</w:t>
      </w:r>
      <w:r>
        <w:t xml:space="preserve"> </w:t>
      </w:r>
      <w:r>
        <w:t xml:space="preserve">for the variables: for leaders who staged an autocoup, we use the year of their</w:t>
      </w:r>
      <w:r>
        <w:t xml:space="preserve"> </w:t>
      </w:r>
      <w:r>
        <w:t xml:space="preserve">first attempt as the base year; for leaders who did not attempt to overstay, we</w:t>
      </w:r>
      <w:r>
        <w:t xml:space="preserve"> </w:t>
      </w:r>
      <w:r>
        <w:t xml:space="preserve">use the middle year of their tenure as the base year.</w:t>
      </w:r>
    </w:p>
    <w:bookmarkEnd w:id="45"/>
    <w:bookmarkEnd w:id="46"/>
    <w:bookmarkStart w:id="47" w:name="results-and-discussions"/>
    <w:p>
      <w:pPr>
        <w:pStyle w:val="Heading3"/>
      </w:pPr>
      <w:r>
        <w:t xml:space="preserve">Results and discussions</w:t>
      </w:r>
    </w:p>
    <w:p>
      <w:pPr>
        <w:pStyle w:val="FirstParagraph"/>
      </w:pPr>
      <w:r>
        <w:t xml:space="preserve">Table</w:t>
      </w:r>
      <w:r>
        <w:t xml:space="preserve"> </w:t>
      </w:r>
      <w:r>
        <w:t xml:space="preserve"> </w:t>
      </w:r>
      <w:r>
        <w:t xml:space="preserve">summarizes the findings from the</w:t>
      </w:r>
      <w:r>
        <w:t xml:space="preserve"> </w:t>
      </w:r>
      <w:r>
        <w:rPr>
          <w:rStyle w:val="VerbatimChar"/>
        </w:rPr>
        <w:t xml:space="preserve">probit</w:t>
      </w:r>
      <w:r>
        <w:t xml:space="preserve"> </w:t>
      </w:r>
      <w:r>
        <w:t xml:space="preserve">regression models</w:t>
      </w:r>
      <w:r>
        <w:t xml:space="preserve"> </w:t>
      </w:r>
      <w:r>
        <w:t xml:space="preserve">based on our analysis of the determinants of autocoup attempts and their success.</w:t>
      </w:r>
    </w:p>
    <w:p>
      <w:pPr>
        <w:pStyle w:val="BodyText"/>
      </w:pPr>
      <w:r>
        <w:t xml:space="preserve">Model 1, which examines autocoup attempts, reveals only one significant predictor</w:t>
      </w:r>
      <w:r>
        <w:t xml:space="preserve"> </w:t>
      </w:r>
      <w:r>
        <w:t xml:space="preserve">besides the constant term. Among the regime types, personalist regimes</w:t>
      </w:r>
      <w:r>
        <w:t xml:space="preserve"> </w:t>
      </w:r>
      <w:r>
        <w:t xml:space="preserve">significantly increase the likelihood of autocoup attempts, all else being equal.</w:t>
      </w:r>
      <w:r>
        <w:t xml:space="preserve"> </w:t>
      </w:r>
      <w:r>
        <w:t xml:space="preserve">This suggests that leaders in personalist regimes are more prone to attempt to</w:t>
      </w:r>
      <w:r>
        <w:t xml:space="preserve"> </w:t>
      </w:r>
      <w:r>
        <w:t xml:space="preserve">extend their power through autocoups compared to leaders in democratic regimes.</w:t>
      </w:r>
      <w:r>
        <w:t xml:space="preserve"> </w:t>
      </w:r>
      <w:r>
        <w:t xml:space="preserve">Leaders in dominant-party and military regimes, however, show no significant</w:t>
      </w:r>
      <w:r>
        <w:t xml:space="preserve"> </w:t>
      </w:r>
      <w:r>
        <w:t xml:space="preserve">difference in the likelihood of attempting an autocoup compared to democratic</w:t>
      </w:r>
      <w:r>
        <w:t xml:space="preserve"> </w:t>
      </w:r>
      <w:r>
        <w:t xml:space="preserve">leaders.</w:t>
      </w:r>
    </w:p>
    <w:p>
      <w:pPr>
        <w:pStyle w:val="BodyText"/>
      </w:pPr>
      <w:r>
        <w:t xml:space="preserve">The model for autocoup success (Model 2) shows similar dynamics. Personalist</w:t>
      </w:r>
      <w:r>
        <w:t xml:space="preserve"> </w:t>
      </w:r>
      <w:r>
        <w:t xml:space="preserve">regimes again have a strong positive and significant effect on the success of</w:t>
      </w:r>
      <w:r>
        <w:t xml:space="preserve"> </w:t>
      </w:r>
      <w:r>
        <w:t xml:space="preserve">autocoups compared to democratic leaders. Dominant-party regimes also show a</w:t>
      </w:r>
      <w:r>
        <w:t xml:space="preserve"> </w:t>
      </w:r>
      <w:r>
        <w:t xml:space="preserve">positive and marginally significant effect. However, a detailed examination</w:t>
      </w:r>
      <w:r>
        <w:t xml:space="preserve"> </w:t>
      </w:r>
      <w:r>
        <w:t xml:space="preserve">reveals that about half of the successful autocoups in dominant-party regimes (9</w:t>
      </w:r>
      <w:r>
        <w:t xml:space="preserve"> </w:t>
      </w:r>
      <w:r>
        <w:t xml:space="preserve">out of 20) exhibit a personalist style, such as</w:t>
      </w:r>
      <w:r>
        <w:t xml:space="preserve"> </w:t>
      </w:r>
      <w:r>
        <w:t xml:space="preserve">“</w:t>
      </w:r>
      <w:r>
        <w:t xml:space="preserve">party-personal-military</w:t>
      </w:r>
      <w:r>
        <w:t xml:space="preserve">”</w:t>
      </w:r>
      <w:r>
        <w:t xml:space="preserve"> </w:t>
      </w:r>
      <w:r>
        <w:t xml:space="preserve">regimes.</w:t>
      </w:r>
    </w:p>
    <w:p>
      <w:pPr>
        <w:pStyle w:val="BodyText"/>
      </w:pPr>
      <w:r>
        <w:t xml:space="preserve">This is logical since personalist leaders are typically much more powerful than</w:t>
      </w:r>
      <w:r>
        <w:t xml:space="preserve"> </w:t>
      </w:r>
      <w:r>
        <w:t xml:space="preserve">other types of leaders, making them more inclined and capable of overstaying in</w:t>
      </w:r>
      <w:r>
        <w:t xml:space="preserve"> </w:t>
      </w:r>
      <w:r>
        <w:t xml:space="preserve">power.</w:t>
      </w:r>
    </w:p>
    <w:p>
      <w:pPr>
        <w:pStyle w:val="BodyText"/>
      </w:pPr>
      <w:r>
        <w:t xml:space="preserve">Other factors play an insignificant role in determining the attempts and outcomes</w:t>
      </w:r>
      <w:r>
        <w:t xml:space="preserve"> </w:t>
      </w:r>
      <w:r>
        <w:t xml:space="preserve">of autocoups. This aligns with our conclusions on the determinants of classic</w:t>
      </w:r>
      <w:r>
        <w:t xml:space="preserve"> </w:t>
      </w:r>
      <w:r>
        <w:t xml:space="preserve">coups. Both coups and autocoups are significantly affected by power dynamics. As</w:t>
      </w:r>
      <w:r>
        <w:t xml:space="preserve"> </w:t>
      </w:r>
      <w:r>
        <w:t xml:space="preserve">power transitions involve the struggle between seizing and maintaining power, the</w:t>
      </w:r>
      <w:r>
        <w:t xml:space="preserve"> </w:t>
      </w:r>
      <w:r>
        <w:t xml:space="preserve">balance of power status quo inevitably matters in both coups and autocoups. This</w:t>
      </w:r>
      <w:r>
        <w:t xml:space="preserve"> </w:t>
      </w:r>
      <w:r>
        <w:t xml:space="preserve">also explains the high success rate of autocoups. Compared to power challengers,</w:t>
      </w:r>
      <w:r>
        <w:t xml:space="preserve"> </w:t>
      </w:r>
      <w:r>
        <w:t xml:space="preserve">incumbents are in an obviously advantageous position. Incumbent leaders can use</w:t>
      </w:r>
      <w:r>
        <w:t xml:space="preserve"> </w:t>
      </w:r>
      <w:r>
        <w:t xml:space="preserve">state power to their benefit, which is difficult to counteract. Even the abuse of</w:t>
      </w:r>
      <w:r>
        <w:t xml:space="preserve"> </w:t>
      </w:r>
      <w:r>
        <w:t xml:space="preserve">power is often unchecked under a powerful leader’s rule.</w:t>
      </w:r>
    </w:p>
    <w:p>
      <w:pPr>
        <w:pStyle w:val="BodyText"/>
      </w:pPr>
      <w:r>
        <w:t xml:space="preserve">The threshold for removing or impeaching an incumbent leader is very high.</w:t>
      </w:r>
      <w:r>
        <w:t xml:space="preserve"> </w:t>
      </w:r>
      <w:r>
        <w:t xml:space="preserve">Without more than a majority or even greater support, it is very difficult to</w:t>
      </w:r>
      <w:r>
        <w:t xml:space="preserve"> </w:t>
      </w:r>
      <w:r>
        <w:t xml:space="preserve">succeed. Using illegal means such as a coup is even more challenging, as the</w:t>
      </w:r>
      <w:r>
        <w:t xml:space="preserve"> </w:t>
      </w:r>
      <w:r>
        <w:t xml:space="preserve">costs are high, the consequences are severe, and the likelihood of success is</w:t>
      </w:r>
      <w:r>
        <w:t xml:space="preserve"> </w:t>
      </w:r>
      <w:r>
        <w:t xml:space="preserve">very low.</w:t>
      </w:r>
    </w:p>
    <w:bookmarkEnd w:id="47"/>
    <w:bookmarkEnd w:id="48"/>
    <w:bookmarkStart w:id="131" w:name="conclusion"/>
    <w:p>
      <w:pPr>
        <w:pStyle w:val="Heading2"/>
      </w:pPr>
      <w:r>
        <w:t xml:space="preserve">Conclusion</w:t>
      </w:r>
    </w:p>
    <w:p>
      <w:pPr>
        <w:pStyle w:val="FirstParagraph"/>
      </w:pPr>
      <w:r>
        <w:t xml:space="preserve">This study provides a comprehensive analysis of autocoups, specifically focusing</w:t>
      </w:r>
      <w:r>
        <w:t xml:space="preserve"> </w:t>
      </w:r>
      <w:r>
        <w:t xml:space="preserve">on political events where incumbent leaders illegitimately extend their tenure in</w:t>
      </w:r>
      <w:r>
        <w:t xml:space="preserve"> </w:t>
      </w:r>
      <w:r>
        <w:t xml:space="preserve">power. By refining the concept and distinguishing it from broader definitions,</w:t>
      </w:r>
      <w:r>
        <w:t xml:space="preserve"> </w:t>
      </w:r>
      <w:r>
        <w:t xml:space="preserve">such as</w:t>
      </w:r>
      <w:r>
        <w:t xml:space="preserve"> </w:t>
      </w:r>
      <w:r>
        <w:t xml:space="preserve">‘</w:t>
      </w:r>
      <w:r>
        <w:t xml:space="preserve">self-coups</w:t>
      </w:r>
      <w:r>
        <w:t xml:space="preserve">’</w:t>
      </w:r>
      <w:r>
        <w:t xml:space="preserve">,</w:t>
      </w:r>
      <w:r>
        <w:t xml:space="preserve"> </w:t>
      </w:r>
      <w:r>
        <w:t xml:space="preserve">‘</w:t>
      </w:r>
      <w:r>
        <w:t xml:space="preserve">autogolpes</w:t>
      </w:r>
      <w:r>
        <w:t xml:space="preserve">’</w:t>
      </w:r>
      <w:r>
        <w:t xml:space="preserve">,</w:t>
      </w:r>
      <w:r>
        <w:t xml:space="preserve"> </w:t>
      </w:r>
      <w:r>
        <w:t xml:space="preserve">‘</w:t>
      </w:r>
      <w:r>
        <w:t xml:space="preserve">executive takeover</w:t>
      </w:r>
      <w:r>
        <w:t xml:space="preserve">’</w:t>
      </w:r>
      <w:r>
        <w:t xml:space="preserve">, we introduce a novel</w:t>
      </w:r>
      <w:r>
        <w:t xml:space="preserve"> </w:t>
      </w:r>
      <w:r>
        <w:t xml:space="preserve">dataset of autocoups (1945-2022). Through this more precise definition and</w:t>
      </w:r>
      <w:r>
        <w:t xml:space="preserve"> </w:t>
      </w:r>
      <w:r>
        <w:t xml:space="preserve">dataset, we enhance the understanding and methods of analyzing the dynamics of</w:t>
      </w:r>
      <w:r>
        <w:t xml:space="preserve"> </w:t>
      </w:r>
      <w:r>
        <w:t xml:space="preserve">irregular power transitions and the survival of political leaders.</w:t>
      </w:r>
    </w:p>
    <w:p>
      <w:pPr>
        <w:pStyle w:val="BodyText"/>
      </w:pPr>
      <w:r>
        <w:t xml:space="preserve">Our findings reveal that personalist regimes are far more likely to experience</w:t>
      </w:r>
      <w:r>
        <w:t xml:space="preserve"> </w:t>
      </w:r>
      <w:r>
        <w:t xml:space="preserve">autocoup attempts and are more likely to succeed compared to democracies.</w:t>
      </w:r>
      <w:r>
        <w:t xml:space="preserve"> </w:t>
      </w:r>
      <w:r>
        <w:t xml:space="preserve">Dominant-party systems, often exhibiting personalist characteristics, also show</w:t>
      </w:r>
      <w:r>
        <w:t xml:space="preserve"> </w:t>
      </w:r>
      <w:r>
        <w:t xml:space="preserve">an association with successful autocoups. While regime type significantly</w:t>
      </w:r>
      <w:r>
        <w:t xml:space="preserve"> </w:t>
      </w:r>
      <w:r>
        <w:t xml:space="preserve">influences autocoups, other factors appear less impactful, mirroring classic</w:t>
      </w:r>
      <w:r>
        <w:t xml:space="preserve"> </w:t>
      </w:r>
      <w:r>
        <w:t xml:space="preserve">coups where the balance of power is a more essential determinant. The high</w:t>
      </w:r>
      <w:r>
        <w:t xml:space="preserve"> </w:t>
      </w:r>
      <w:r>
        <w:t xml:space="preserve">success rate of autocoups can be attributed to the inherent advantages incumbents</w:t>
      </w:r>
      <w:r>
        <w:t xml:space="preserve"> </w:t>
      </w:r>
      <w:r>
        <w:t xml:space="preserve">possess, such as control over or abuse of state power and the difficulty of</w:t>
      </w:r>
      <w:r>
        <w:t xml:space="preserve"> </w:t>
      </w:r>
      <w:r>
        <w:t xml:space="preserve">removing or impeaching them through legal or illegal means.</w:t>
      </w:r>
    </w:p>
    <w:p>
      <w:pPr>
        <w:pStyle w:val="BodyText"/>
      </w:pPr>
      <w:r>
        <w:t xml:space="preserve">However, there are several limitations that future research could address.</w:t>
      </w:r>
      <w:r>
        <w:t xml:space="preserve"> </w:t>
      </w:r>
      <w:r>
        <w:t xml:space="preserve">Firstly, the definition of an autocoup requires further commentary and discussion</w:t>
      </w:r>
      <w:r>
        <w:t xml:space="preserve"> </w:t>
      </w:r>
      <w:r>
        <w:t xml:space="preserve">to gain wider acceptance. Accordingly, the dataset of autocoups requires further</w:t>
      </w:r>
      <w:r>
        <w:t xml:space="preserve"> </w:t>
      </w:r>
      <w:r>
        <w:t xml:space="preserve">case-by-case verification to improve accuracy, although debates on some ambiguous</w:t>
      </w:r>
      <w:r>
        <w:t xml:space="preserve"> </w:t>
      </w:r>
      <w:r>
        <w:t xml:space="preserve">cases will likely persist. Secondly, due to the nature of autocoups, which are</w:t>
      </w:r>
      <w:r>
        <w:t xml:space="preserve"> </w:t>
      </w:r>
      <w:r>
        <w:t xml:space="preserve">less frequent than classic coups (491 coups versus 110 autocoups during the same</w:t>
      </w:r>
      <w:r>
        <w:t xml:space="preserve"> </w:t>
      </w:r>
      <w:r>
        <w:t xml:space="preserve">period), the quantitative analysis cannot be conducted as a country-year variable</w:t>
      </w:r>
      <w:r>
        <w:t xml:space="preserve"> </w:t>
      </w:r>
      <w:r>
        <w:t xml:space="preserve">as in coups. This raises the issue of choosing a base year. For example, when</w:t>
      </w:r>
      <w:r>
        <w:t xml:space="preserve"> </w:t>
      </w:r>
      <w:r>
        <w:t xml:space="preserve">analyzing how GDP level or growth rate, the democratic index (such as Polity 5),</w:t>
      </w:r>
      <w:r>
        <w:t xml:space="preserve"> </w:t>
      </w:r>
      <w:r>
        <w:t xml:space="preserve">or the age of the leader affect autocoup attempts, we need to decide which year’s</w:t>
      </w:r>
      <w:r>
        <w:t xml:space="preserve"> </w:t>
      </w:r>
      <w:r>
        <w:t xml:space="preserve">value should be used. In this study, we chose the middle year of a leader’s</w:t>
      </w:r>
      <w:r>
        <w:t xml:space="preserve"> </w:t>
      </w:r>
      <w:r>
        <w:t xml:space="preserve">tenure or the year they staged the autocoup, but determining the most appropriate</w:t>
      </w:r>
      <w:r>
        <w:t xml:space="preserve"> </w:t>
      </w:r>
      <w:r>
        <w:t xml:space="preserve">year requires further discussion.</w:t>
      </w:r>
    </w:p>
    <w:p>
      <w:pPr>
        <w:pStyle w:val="BodyText"/>
      </w:pPr>
      <w:r>
        <w:t xml:space="preserve">Despite these limitations, this research enhances our understanding of the</w:t>
      </w:r>
      <w:r>
        <w:t xml:space="preserve"> </w:t>
      </w:r>
      <w:r>
        <w:t xml:space="preserve">mechanisms and motivations behind autocoups, contributing to the literature on</w:t>
      </w:r>
      <w:r>
        <w:t xml:space="preserve"> </w:t>
      </w:r>
      <w:r>
        <w:t xml:space="preserve">political stability and democratic resilience. Future studies could build on this</w:t>
      </w:r>
      <w:r>
        <w:t xml:space="preserve"> </w:t>
      </w:r>
      <w:r>
        <w:t xml:space="preserve">work by employing the dataset to explore more power dynamics or examine the</w:t>
      </w:r>
      <w:r>
        <w:t xml:space="preserve"> </w:t>
      </w:r>
      <w:r>
        <w:t xml:space="preserve">long-term impacts of these events on political systems, particularly on</w:t>
      </w:r>
      <w:r>
        <w:t xml:space="preserve"> </w:t>
      </w:r>
      <w:r>
        <w:t xml:space="preserve">democratic backsliding, democratic breakdown, and personalization of power.</w:t>
      </w:r>
    </w:p>
    <w:bookmarkStart w:id="130" w:name="refs"/>
    <w:bookmarkStart w:id="50"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49">
        <w:r>
          <w:rPr>
            <w:rStyle w:val="Hyperlink"/>
          </w:rPr>
          <w:t xml:space="preserve">https://doi.org/10.1177/08969205211049499</w:t>
        </w:r>
      </w:hyperlink>
      <w:r>
        <w:t xml:space="preserve">.</w:t>
      </w:r>
    </w:p>
    <w:bookmarkEnd w:id="50"/>
    <w:bookmarkStart w:id="52" w:name="ref-baturo2014"/>
    <w:p>
      <w:pPr>
        <w:pStyle w:val="Bibliography"/>
      </w:pPr>
      <w:r>
        <w:t xml:space="preserve">Baturo, Alexander. 2014.</w:t>
      </w:r>
      <w:r>
        <w:t xml:space="preserve"> </w:t>
      </w:r>
      <w:r>
        <w:t xml:space="preserve">“Democracy, Dictatorship, and Term Limits.”</w:t>
      </w:r>
      <w:r>
        <w:t xml:space="preserve"> </w:t>
      </w:r>
      <w:hyperlink r:id="rId51">
        <w:r>
          <w:rPr>
            <w:rStyle w:val="Hyperlink"/>
          </w:rPr>
          <w:t xml:space="preserve">https://doi.org/10.3998/mpub.4772634</w:t>
        </w:r>
      </w:hyperlink>
      <w:r>
        <w:t xml:space="preserve">.</w:t>
      </w:r>
    </w:p>
    <w:bookmarkEnd w:id="52"/>
    <w:bookmarkStart w:id="54"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53">
        <w:r>
          <w:rPr>
            <w:rStyle w:val="Hyperlink"/>
          </w:rPr>
          <w:t xml:space="preserve">https://doi.org/10.1093/oso/9780198837404.003.0005</w:t>
        </w:r>
      </w:hyperlink>
      <w:r>
        <w:t xml:space="preserve">.</w:t>
      </w:r>
    </w:p>
    <w:bookmarkEnd w:id="54"/>
    <w:bookmarkStart w:id="56"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55">
        <w:r>
          <w:rPr>
            <w:rStyle w:val="Hyperlink"/>
          </w:rPr>
          <w:t xml:space="preserve">https://doi.org/10.1177/00223433221075183</w:t>
        </w:r>
      </w:hyperlink>
      <w:r>
        <w:t xml:space="preserve">.</w:t>
      </w:r>
    </w:p>
    <w:bookmarkEnd w:id="56"/>
    <w:bookmarkStart w:id="58"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57">
        <w:r>
          <w:rPr>
            <w:rStyle w:val="Hyperlink"/>
          </w:rPr>
          <w:t xml:space="preserve">https://doi.org/10.1353/jod.2016.0012</w:t>
        </w:r>
      </w:hyperlink>
      <w:r>
        <w:t xml:space="preserve">.</w:t>
      </w:r>
    </w:p>
    <w:bookmarkEnd w:id="58"/>
    <w:bookmarkStart w:id="59" w:name="ref-bomprezzi2024wedded"/>
    <w:p>
      <w:pPr>
        <w:pStyle w:val="Bibliography"/>
      </w:pPr>
      <w:r>
        <w:t xml:space="preserve">Bomprezzi, Pietro, Axel Dreher, Andreas Fuchs, Teresa Hailer, Andreas Kammerlander, Lennart Kaplan, Silvia Marchesi, Tania Masi, Charlotte Robert, and Kerstin Unfried. 2024.</w:t>
      </w:r>
      <w:r>
        <w:t xml:space="preserve"> </w:t>
      </w:r>
      <w:r>
        <w:t xml:space="preserve">“Wedded to Prosperity? Informal Influence and Regional Favoritism.”</w:t>
      </w:r>
      <w:r>
        <w:t xml:space="preserve"> </w:t>
      </w:r>
      <w:r>
        <w:t xml:space="preserve">Discussion Paper. CEPR.</w:t>
      </w:r>
    </w:p>
    <w:bookmarkEnd w:id="59"/>
    <w:bookmarkStart w:id="61" w:name="ref-brown2001"/>
    <w:p>
      <w:pPr>
        <w:pStyle w:val="Bibliography"/>
      </w:pPr>
      <w:r>
        <w:t xml:space="preserve">Brown, Stephen. 2001.</w:t>
      </w:r>
      <w:r>
        <w:t xml:space="preserve"> </w:t>
      </w:r>
      <w:r>
        <w:t xml:space="preserve">“Authoritarian Leaders and Multiparty Elections in Africa: How Foreign Donors Help to Keep Kenya’s Daniel Arap Moi in Power.”</w:t>
      </w:r>
      <w:r>
        <w:t xml:space="preserve"> </w:t>
      </w:r>
      <w:r>
        <w:rPr>
          <w:iCs/>
          <w:i/>
        </w:rPr>
        <w:t xml:space="preserve">Third World Quarterly</w:t>
      </w:r>
      <w:r>
        <w:t xml:space="preserve"> </w:t>
      </w:r>
      <w:r>
        <w:t xml:space="preserve">22 (5): 725–39.</w:t>
      </w:r>
      <w:r>
        <w:t xml:space="preserve"> </w:t>
      </w:r>
      <w:hyperlink r:id="rId60">
        <w:r>
          <w:rPr>
            <w:rStyle w:val="Hyperlink"/>
          </w:rPr>
          <w:t xml:space="preserve">https://doi.org/10.1080/01436590120084575</w:t>
        </w:r>
      </w:hyperlink>
      <w:r>
        <w:t xml:space="preserve">.</w:t>
      </w:r>
    </w:p>
    <w:bookmarkEnd w:id="61"/>
    <w:bookmarkStart w:id="63"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62">
        <w:r>
          <w:rPr>
            <w:rStyle w:val="Hyperlink"/>
          </w:rPr>
          <w:t xml:space="preserve">https://doi.org/10.1080/01436599814433</w:t>
        </w:r>
      </w:hyperlink>
      <w:r>
        <w:t xml:space="preserve">.</w:t>
      </w:r>
    </w:p>
    <w:bookmarkEnd w:id="63"/>
    <w:bookmarkStart w:id="65" w:name="ref-cameron1998"/>
    <w:p>
      <w:pPr>
        <w:pStyle w:val="Bibliography"/>
      </w:pPr>
      <w:r>
        <w:t xml:space="preserve">Cameron, Maxwell A. 1998b.</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64">
        <w:r>
          <w:rPr>
            <w:rStyle w:val="Hyperlink"/>
          </w:rPr>
          <w:t xml:space="preserve">https://doi.org/10.1353/jod.1998.0003</w:t>
        </w:r>
      </w:hyperlink>
      <w:r>
        <w:t xml:space="preserve">.</w:t>
      </w:r>
    </w:p>
    <w:bookmarkEnd w:id="65"/>
    <w:bookmarkStart w:id="67" w:name="ref-cassani2020"/>
    <w:p>
      <w:pPr>
        <w:pStyle w:val="Bibliography"/>
      </w:pPr>
      <w:r>
        <w:t xml:space="preserve">Cassani, Andrea. 2020.</w:t>
      </w:r>
      <w:r>
        <w:t xml:space="preserve"> </w:t>
      </w:r>
      <w:r>
        <w:t xml:space="preserve">“Autocratisation by Term Limits Manipulation in Sub-Saharan Africa.”</w:t>
      </w:r>
      <w:r>
        <w:t xml:space="preserve"> </w:t>
      </w:r>
      <w:r>
        <w:rPr>
          <w:iCs/>
          <w:i/>
        </w:rPr>
        <w:t xml:space="preserve">Africa Spectrum</w:t>
      </w:r>
      <w:r>
        <w:t xml:space="preserve"> </w:t>
      </w:r>
      <w:r>
        <w:t xml:space="preserve">55 (3): 228–50.</w:t>
      </w:r>
      <w:r>
        <w:t xml:space="preserve"> </w:t>
      </w:r>
      <w:hyperlink r:id="rId66">
        <w:r>
          <w:rPr>
            <w:rStyle w:val="Hyperlink"/>
          </w:rPr>
          <w:t xml:space="preserve">https://doi.org/10.1177/0002039720964218</w:t>
        </w:r>
      </w:hyperlink>
      <w:r>
        <w:t xml:space="preserve">.</w:t>
      </w:r>
    </w:p>
    <w:bookmarkEnd w:id="67"/>
    <w:bookmarkStart w:id="69"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68">
        <w:r>
          <w:rPr>
            <w:rStyle w:val="Hyperlink"/>
          </w:rPr>
          <w:t xml:space="preserve">https://doi.org/10.1093/oso/9780198837404.003.0019</w:t>
        </w:r>
      </w:hyperlink>
      <w:r>
        <w:t xml:space="preserve">.</w:t>
      </w:r>
    </w:p>
    <w:bookmarkEnd w:id="69"/>
    <w:bookmarkStart w:id="71" w:name="ref-cheeseman2015"/>
    <w:p>
      <w:pPr>
        <w:pStyle w:val="Bibliography"/>
      </w:pPr>
      <w:r>
        <w:t xml:space="preserve">Cheeseman, Nic. 2015.</w:t>
      </w:r>
      <w:r>
        <w:t xml:space="preserve"> </w:t>
      </w:r>
      <w:r>
        <w:t xml:space="preserve">“Democracy in Africa,”</w:t>
      </w:r>
      <w:r>
        <w:t xml:space="preserve"> </w:t>
      </w:r>
      <w:r>
        <w:t xml:space="preserve">March.</w:t>
      </w:r>
      <w:r>
        <w:t xml:space="preserve"> </w:t>
      </w:r>
      <w:hyperlink r:id="rId70">
        <w:r>
          <w:rPr>
            <w:rStyle w:val="Hyperlink"/>
          </w:rPr>
          <w:t xml:space="preserve">https://doi.org/10.1017/cbo9781139030892</w:t>
        </w:r>
      </w:hyperlink>
      <w:r>
        <w:t xml:space="preserve">.</w:t>
      </w:r>
    </w:p>
    <w:bookmarkEnd w:id="71"/>
    <w:bookmarkStart w:id="73" w:name="ref-cheeseman2019"/>
    <w:p>
      <w:pPr>
        <w:pStyle w:val="Bibliography"/>
      </w:pPr>
      <w:r>
        <w:t xml:space="preserve">———. 2019.</w:t>
      </w:r>
      <w:r>
        <w:t xml:space="preserve"> </w:t>
      </w:r>
      <w:r>
        <w:t xml:space="preserve">“Should I Stay or Should I Go? Term Limits, Elections, and Political Change in Kenya, Uganda, and Zambia.”</w:t>
      </w:r>
      <w:r>
        <w:t xml:space="preserve"> </w:t>
      </w:r>
      <w:r>
        <w:t xml:space="preserve">In, 311–38. Oxford University PressOxford.</w:t>
      </w:r>
      <w:r>
        <w:t xml:space="preserve"> </w:t>
      </w:r>
      <w:hyperlink r:id="rId72">
        <w:r>
          <w:rPr>
            <w:rStyle w:val="Hyperlink"/>
          </w:rPr>
          <w:t xml:space="preserve">https://doi.org/10.1093/oso/9780198837404.003.0016</w:t>
        </w:r>
      </w:hyperlink>
      <w:r>
        <w:t xml:space="preserve">.</w:t>
      </w:r>
    </w:p>
    <w:bookmarkEnd w:id="73"/>
    <w:bookmarkStart w:id="75" w:name="ref-cheeseman2019a"/>
    <w:p>
      <w:pPr>
        <w:pStyle w:val="Bibliography"/>
      </w:pPr>
      <w:r>
        <w:t xml:space="preserve">Cheeseman, Nic, and Brian Klaas. 2019.</w:t>
      </w:r>
      <w:r>
        <w:t xml:space="preserve"> </w:t>
      </w:r>
      <w:r>
        <w:rPr>
          <w:iCs/>
          <w:i/>
        </w:rPr>
        <w:t xml:space="preserve">How to Rig an Election</w:t>
      </w:r>
      <w:r>
        <w:t xml:space="preserve">. Yale University Press.</w:t>
      </w:r>
      <w:r>
        <w:t xml:space="preserve"> </w:t>
      </w:r>
      <w:hyperlink r:id="rId74">
        <w:r>
          <w:rPr>
            <w:rStyle w:val="Hyperlink"/>
          </w:rPr>
          <w:t xml:space="preserve">https://doi.org/10.12987/9780300235210</w:t>
        </w:r>
      </w:hyperlink>
      <w:r>
        <w:t xml:space="preserve">.</w:t>
      </w:r>
    </w:p>
    <w:bookmarkEnd w:id="75"/>
    <w:bookmarkStart w:id="77" w:name="ref-close2019"/>
    <w:p>
      <w:pPr>
        <w:pStyle w:val="Bibliography"/>
      </w:pPr>
      <w:r>
        <w:t xml:space="preserve">Close, David. 2019.</w:t>
      </w:r>
      <w:r>
        <w:t xml:space="preserve"> </w:t>
      </w:r>
      <w:r>
        <w:t xml:space="preserve">“Presidential Term Limits in Nicaragua.”</w:t>
      </w:r>
      <w:r>
        <w:t xml:space="preserve"> </w:t>
      </w:r>
      <w:r>
        <w:t xml:space="preserve">In, 159–78. Oxford University PressOxford.</w:t>
      </w:r>
      <w:r>
        <w:t xml:space="preserve"> </w:t>
      </w:r>
      <w:hyperlink r:id="rId76">
        <w:r>
          <w:rPr>
            <w:rStyle w:val="Hyperlink"/>
          </w:rPr>
          <w:t xml:space="preserve">https://doi.org/10.1093/oso/9780198837404.003.0009</w:t>
        </w:r>
      </w:hyperlink>
      <w:r>
        <w:t xml:space="preserve">.</w:t>
      </w:r>
    </w:p>
    <w:bookmarkEnd w:id="77"/>
    <w:bookmarkStart w:id="79"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78">
        <w:r>
          <w:rPr>
            <w:rStyle w:val="Hyperlink"/>
          </w:rPr>
          <w:t xml:space="preserve">https://doi.org/10.1093/oso/9780198837404.003.0014</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4">
        <w:r>
          <w:rPr>
            <w:rStyle w:val="Hyperlink"/>
          </w:rPr>
          <w:t xml:space="preserve">https://doi.org/10.1093/oso/9780198837404.003.0003</w:t>
        </w:r>
      </w:hyperlink>
      <w:r>
        <w:t xml:space="preserve">.</w:t>
      </w:r>
    </w:p>
    <w:bookmarkEnd w:id="85"/>
    <w:bookmarkStart w:id="86" w:name="ref-ginsburg2010evasion"/>
    <w:p>
      <w:pPr>
        <w:pStyle w:val="Bibliography"/>
      </w:pPr>
      <w:r>
        <w:t xml:space="preserve">Ginsburg, Tom, James Melton, and Zachary Elkins. 2010.</w:t>
      </w:r>
      <w:r>
        <w:t xml:space="preserve"> </w:t>
      </w:r>
      <w:r>
        <w:t xml:space="preserve">“On the Evasion of Executive Term Limits.”</w:t>
      </w:r>
      <w:r>
        <w:t xml:space="preserve"> </w:t>
      </w:r>
      <w:r>
        <w:rPr>
          <w:iCs/>
          <w:i/>
        </w:rPr>
        <w:t xml:space="preserve">Wm. &amp; Mary L. Rev.</w:t>
      </w:r>
      <w:r>
        <w:t xml:space="preserve"> </w:t>
      </w:r>
      <w:r>
        <w:t xml:space="preserve">52: 1807.</w:t>
      </w:r>
    </w:p>
    <w:bookmarkEnd w:id="86"/>
    <w:bookmarkStart w:id="87" w:name="ref-ginsburg2011evasion"/>
    <w:p>
      <w:pPr>
        <w:pStyle w:val="Bibliography"/>
      </w:pPr>
      <w:r>
        <w:t xml:space="preserve">———. 2011.</w:t>
      </w:r>
      <w:r>
        <w:t xml:space="preserve"> </w:t>
      </w:r>
      <w:r>
        <w:t xml:space="preserve">“On the Evasion of Executive Term Limits.”</w:t>
      </w:r>
      <w:r>
        <w:t xml:space="preserve"> </w:t>
      </w:r>
      <w:r>
        <w:rPr>
          <w:iCs/>
          <w:i/>
        </w:rPr>
        <w:t xml:space="preserve">William and Mary Law Review</w:t>
      </w:r>
      <w:r>
        <w:t xml:space="preserve"> </w:t>
      </w:r>
      <w:r>
        <w:t xml:space="preserve">52: 1807.</w:t>
      </w:r>
    </w:p>
    <w:bookmarkEnd w:id="87"/>
    <w:bookmarkStart w:id="89"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88">
        <w:r>
          <w:rPr>
            <w:rStyle w:val="Hyperlink"/>
          </w:rPr>
          <w:t xml:space="preserve">https://doi.org/10.1177/0022343308100719</w:t>
        </w:r>
      </w:hyperlink>
      <w:r>
        <w:t xml:space="preserve">.</w:t>
      </w:r>
    </w:p>
    <w:bookmarkEnd w:id="89"/>
    <w:bookmarkStart w:id="91"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90">
        <w:r>
          <w:rPr>
            <w:rStyle w:val="Hyperlink"/>
          </w:rPr>
          <w:t xml:space="preserve">https://doi.org/10.1017/9781139031738</w:t>
        </w:r>
      </w:hyperlink>
      <w:r>
        <w:t xml:space="preserve">.</w:t>
      </w:r>
    </w:p>
    <w:bookmarkEnd w:id="91"/>
    <w:bookmarkStart w:id="93"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92">
        <w:r>
          <w:rPr>
            <w:rStyle w:val="Hyperlink"/>
          </w:rPr>
          <w:t xml:space="preserve">https://doi.org/10.1093/oso/9780198837404.003.0008</w:t>
        </w:r>
      </w:hyperlink>
      <w:r>
        <w:t xml:space="preserve">.</w:t>
      </w:r>
    </w:p>
    <w:bookmarkEnd w:id="93"/>
    <w:bookmarkStart w:id="95"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4">
        <w:r>
          <w:rPr>
            <w:rStyle w:val="Hyperlink"/>
          </w:rPr>
          <w:t xml:space="preserve">https://doi.org/10.1093/isq/sqz006</w:t>
        </w:r>
      </w:hyperlink>
      <w:r>
        <w:t xml:space="preserve">.</w:t>
      </w:r>
    </w:p>
    <w:bookmarkEnd w:id="95"/>
    <w:bookmarkStart w:id="97" w:name="ref-landau2019"/>
    <w:p>
      <w:pPr>
        <w:pStyle w:val="Bibliography"/>
      </w:pPr>
      <w:r>
        <w:t xml:space="preserve">Landau, David, Yaniv Roznai, and Rosalind Dixon. 2019.</w:t>
      </w:r>
      <w:r>
        <w:t xml:space="preserve"> </w:t>
      </w:r>
      <w:r>
        <w:t xml:space="preserve">“Term Limits and the Unconstitutional Constitutional Amendment Doctrine.”</w:t>
      </w:r>
      <w:r>
        <w:t xml:space="preserve"> </w:t>
      </w:r>
      <w:r>
        <w:t xml:space="preserve">In, 53–74. Oxford University PressOxford.</w:t>
      </w:r>
      <w:r>
        <w:t xml:space="preserve"> </w:t>
      </w:r>
      <w:hyperlink r:id="rId96">
        <w:r>
          <w:rPr>
            <w:rStyle w:val="Hyperlink"/>
          </w:rPr>
          <w:t xml:space="preserve">https://doi.org/10.1093/oso/9780198837404.003.0004</w:t>
        </w:r>
      </w:hyperlink>
      <w:r>
        <w:t xml:space="preserve">.</w:t>
      </w:r>
    </w:p>
    <w:bookmarkEnd w:id="97"/>
    <w:bookmarkStart w:id="99"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8">
        <w:r>
          <w:rPr>
            <w:rStyle w:val="Hyperlink"/>
          </w:rPr>
          <w:t xml:space="preserve">https://doi.org/10.1093/oso/9780198837404.003.0023</w:t>
        </w:r>
      </w:hyperlink>
      <w:r>
        <w:t xml:space="preserve">.</w:t>
      </w:r>
    </w:p>
    <w:bookmarkEnd w:id="99"/>
    <w:bookmarkStart w:id="100"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100"/>
    <w:bookmarkStart w:id="102" w:name="ref-marsteintredet2019a"/>
    <w:p>
      <w:pPr>
        <w:pStyle w:val="Bibliography"/>
      </w:pPr>
      <w:r>
        <w:t xml:space="preserve">Marsteintredet, Leiv. 2019.</w:t>
      </w:r>
      <w:r>
        <w:t xml:space="preserve"> </w:t>
      </w:r>
      <w:r>
        <w:t xml:space="preserve">“Presidential Term Limits in Latin America:</w:t>
      </w:r>
      <w:r>
        <w:t xml:space="preserve"> </w:t>
      </w:r>
      <w:r>
        <w:rPr>
          <w:iCs/>
          <w:i/>
        </w:rPr>
        <w:t xml:space="preserve">C</w:t>
      </w:r>
      <w:r>
        <w:t xml:space="preserve">.1820</w:t>
      </w:r>
      <w:r>
        <w:t xml:space="preserve">1985.”</w:t>
      </w:r>
      <w:r>
        <w:t xml:space="preserve"> </w:t>
      </w:r>
      <w:r>
        <w:t xml:space="preserve">In, 103–22. Oxford University PressOxford.</w:t>
      </w:r>
      <w:r>
        <w:t xml:space="preserve"> </w:t>
      </w:r>
      <w:hyperlink r:id="rId101">
        <w:r>
          <w:rPr>
            <w:rStyle w:val="Hyperlink"/>
          </w:rPr>
          <w:t xml:space="preserve">https://doi.org/10.1093/oso/9780198837404.003.0006</w:t>
        </w:r>
      </w:hyperlink>
      <w:r>
        <w:t xml:space="preserve">.</w:t>
      </w:r>
    </w:p>
    <w:bookmarkEnd w:id="102"/>
    <w:bookmarkStart w:id="104"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103">
        <w:r>
          <w:rPr>
            <w:rStyle w:val="Hyperlink"/>
          </w:rPr>
          <w:t xml:space="preserve">https://doi.org/10.1177/0032321719888857</w:t>
        </w:r>
      </w:hyperlink>
      <w:r>
        <w:t xml:space="preserve">.</w:t>
      </w:r>
    </w:p>
    <w:bookmarkEnd w:id="104"/>
    <w:bookmarkStart w:id="106" w:name="ref-mauceri1995"/>
    <w:p>
      <w:pPr>
        <w:pStyle w:val="Bibliography"/>
      </w:pPr>
      <w:r>
        <w:t xml:space="preserve">Mauceri, Philip. 1995.</w:t>
      </w:r>
      <w:r>
        <w:t xml:space="preserve"> </w:t>
      </w:r>
      <w:r>
        <w:t xml:space="preserve">“State Reform, Coalitions, and The Neoliberal</w:t>
      </w:r>
      <w:r>
        <w:t xml:space="preserve"> </w:t>
      </w:r>
      <w:r>
        <w:rPr>
          <w:iCs/>
          <w:i/>
        </w:rPr>
        <w:t xml:space="preserve">Autogolpe</w:t>
      </w:r>
      <w:r>
        <w:t xml:space="preserve"> </w:t>
      </w:r>
      <w:r>
        <w:t xml:space="preserve">in Peru.”</w:t>
      </w:r>
      <w:r>
        <w:t xml:space="preserve"> </w:t>
      </w:r>
      <w:r>
        <w:rPr>
          <w:iCs/>
          <w:i/>
        </w:rPr>
        <w:t xml:space="preserve">Latin American Research Review</w:t>
      </w:r>
      <w:r>
        <w:t xml:space="preserve"> </w:t>
      </w:r>
      <w:r>
        <w:t xml:space="preserve">30 (1): 7–37.</w:t>
      </w:r>
      <w:r>
        <w:t xml:space="preserve"> </w:t>
      </w:r>
      <w:hyperlink r:id="rId105">
        <w:r>
          <w:rPr>
            <w:rStyle w:val="Hyperlink"/>
          </w:rPr>
          <w:t xml:space="preserve">https://doi.org/10.1017/s0023879100017155</w:t>
        </w:r>
      </w:hyperlink>
      <w:r>
        <w:t xml:space="preserve">.</w:t>
      </w:r>
    </w:p>
    <w:bookmarkEnd w:id="106"/>
    <w:bookmarkStart w:id="108" w:name="ref-neto2019"/>
    <w:p>
      <w:pPr>
        <w:pStyle w:val="Bibliography"/>
      </w:pPr>
      <w:r>
        <w:t xml:space="preserve">Neto, Octavio Amorim, and Igor P. Acácio. 2019.</w:t>
      </w:r>
      <w:r>
        <w:t xml:space="preserve"> </w:t>
      </w:r>
      <w:r>
        <w:t xml:space="preserve">“Presidential Term Limits as a Credible-Commitment Mechanism.”</w:t>
      </w:r>
      <w:r>
        <w:t xml:space="preserve"> </w:t>
      </w:r>
      <w:r>
        <w:t xml:space="preserve">In, 123–40. Oxford University PressOxford.</w:t>
      </w:r>
      <w:r>
        <w:t xml:space="preserve"> </w:t>
      </w:r>
      <w:hyperlink r:id="rId107">
        <w:r>
          <w:rPr>
            <w:rStyle w:val="Hyperlink"/>
          </w:rPr>
          <w:t xml:space="preserve">https://doi.org/10.1093/oso/9780198837404.003.0007</w:t>
        </w:r>
      </w:hyperlink>
      <w:r>
        <w:t xml:space="preserve">.</w:t>
      </w:r>
    </w:p>
    <w:bookmarkEnd w:id="108"/>
    <w:bookmarkStart w:id="110" w:name="ref-nurumov2019"/>
    <w:p>
      <w:pPr>
        <w:pStyle w:val="Bibliography"/>
      </w:pPr>
      <w:r>
        <w:t xml:space="preserve">Nurumov, Dmitry, and Vasil Vashchanka. 2019.</w:t>
      </w:r>
      <w:r>
        <w:t xml:space="preserve"> </w:t>
      </w:r>
      <w:r>
        <w:t xml:space="preserve">“Presidential Terms in Kazakhstan.”</w:t>
      </w:r>
      <w:r>
        <w:t xml:space="preserve"> </w:t>
      </w:r>
      <w:r>
        <w:t xml:space="preserve">In, 221–46. Oxford University PressOxford.</w:t>
      </w:r>
      <w:r>
        <w:t xml:space="preserve"> </w:t>
      </w:r>
      <w:hyperlink r:id="rId109">
        <w:r>
          <w:rPr>
            <w:rStyle w:val="Hyperlink"/>
          </w:rPr>
          <w:t xml:space="preserve">https://doi.org/10.1093/oso/9780198837404.003.0012</w:t>
        </w:r>
      </w:hyperlink>
      <w:r>
        <w:t xml:space="preserve">.</w:t>
      </w:r>
    </w:p>
    <w:bookmarkEnd w:id="110"/>
    <w:bookmarkStart w:id="112"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111">
        <w:r>
          <w:rPr>
            <w:rStyle w:val="Hyperlink"/>
          </w:rPr>
          <w:t xml:space="preserve">https://doi.org/10.1017/gov.2022.13</w:t>
        </w:r>
      </w:hyperlink>
      <w:r>
        <w:t xml:space="preserve">.</w:t>
      </w:r>
    </w:p>
    <w:bookmarkEnd w:id="112"/>
    <w:bookmarkStart w:id="114" w:name="ref-posner"/>
    <w:p>
      <w:pPr>
        <w:pStyle w:val="Bibliography"/>
      </w:pPr>
      <w:r>
        <w:t xml:space="preserve">Posner, Daniel N., and Daniel J. Young. n.d.</w:t>
      </w:r>
      <w:r>
        <w:t xml:space="preserve"> </w:t>
      </w:r>
      <w:r>
        <w:t xml:space="preserve">“Term Limits: Leadership, Political Competition and the Transfer of Power.”</w:t>
      </w:r>
      <w:r>
        <w:t xml:space="preserve"> </w:t>
      </w:r>
      <w:r>
        <w:t xml:space="preserve">In, 260–78. Cambridge University Press.</w:t>
      </w:r>
      <w:r>
        <w:t xml:space="preserve"> </w:t>
      </w:r>
      <w:hyperlink r:id="rId113">
        <w:r>
          <w:rPr>
            <w:rStyle w:val="Hyperlink"/>
          </w:rPr>
          <w:t xml:space="preserve">https://doi.org/10.1017/9781316562888.011</w:t>
        </w:r>
      </w:hyperlink>
      <w:r>
        <w:t xml:space="preserve">.</w:t>
      </w:r>
    </w:p>
    <w:bookmarkEnd w:id="114"/>
    <w:bookmarkStart w:id="11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15">
        <w:r>
          <w:rPr>
            <w:rStyle w:val="Hyperlink"/>
          </w:rPr>
          <w:t xml:space="preserve">https://doi.org/10.1177/0022343310397436</w:t>
        </w:r>
      </w:hyperlink>
      <w:r>
        <w:t xml:space="preserve">.</w:t>
      </w:r>
    </w:p>
    <w:bookmarkEnd w:id="116"/>
    <w:bookmarkStart w:id="118"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117">
        <w:r>
          <w:rPr>
            <w:rStyle w:val="Hyperlink"/>
          </w:rPr>
          <w:t xml:space="preserve">https://doi.org/10.1017/cbo9780511804946</w:t>
        </w:r>
      </w:hyperlink>
      <w:r>
        <w:t xml:space="preserve">.</w:t>
      </w:r>
    </w:p>
    <w:bookmarkEnd w:id="118"/>
    <w:bookmarkStart w:id="120" w:name="ref-reyntjens2016"/>
    <w:p>
      <w:pPr>
        <w:pStyle w:val="Bibliography"/>
      </w:pPr>
      <w:r>
        <w:t xml:space="preserve">Reyntjens, Filip. 2016.</w:t>
      </w:r>
      <w:r>
        <w:t xml:space="preserve"> </w:t>
      </w:r>
      <w:r>
        <w:t xml:space="preserve">“A New Look at the Evidence.”</w:t>
      </w:r>
      <w:r>
        <w:t xml:space="preserve"> </w:t>
      </w:r>
      <w:r>
        <w:rPr>
          <w:iCs/>
          <w:i/>
        </w:rPr>
        <w:t xml:space="preserve">Journal of Democracy</w:t>
      </w:r>
      <w:r>
        <w:t xml:space="preserve"> </w:t>
      </w:r>
      <w:r>
        <w:t xml:space="preserve">27 (3): 61–68.</w:t>
      </w:r>
      <w:r>
        <w:t xml:space="preserve"> </w:t>
      </w:r>
      <w:hyperlink r:id="rId119">
        <w:r>
          <w:rPr>
            <w:rStyle w:val="Hyperlink"/>
          </w:rPr>
          <w:t xml:space="preserve">https://doi.org/10.1353/jod.2016.0044</w:t>
        </w:r>
      </w:hyperlink>
      <w:r>
        <w:t xml:space="preserve">.</w:t>
      </w:r>
    </w:p>
    <w:bookmarkEnd w:id="120"/>
    <w:bookmarkStart w:id="122"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Cs/>
          <w:i/>
        </w:rPr>
        <w:t xml:space="preserve">Conflict Management and Peace Science</w:t>
      </w:r>
      <w:r>
        <w:t xml:space="preserve"> </w:t>
      </w:r>
      <w:r>
        <w:t xml:space="preserve">19 (2): 59–67.</w:t>
      </w:r>
      <w:r>
        <w:t xml:space="preserve"> </w:t>
      </w:r>
      <w:hyperlink r:id="rId121">
        <w:r>
          <w:rPr>
            <w:rStyle w:val="Hyperlink"/>
          </w:rPr>
          <w:t xml:space="preserve">https://doi.org/10.1177/073889420201900203</w:t>
        </w:r>
      </w:hyperlink>
      <w:r>
        <w:t xml:space="preserve">.</w:t>
      </w:r>
    </w:p>
    <w:bookmarkEnd w:id="122"/>
    <w:bookmarkStart w:id="124"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23">
        <w:r>
          <w:rPr>
            <w:rStyle w:val="Hyperlink"/>
          </w:rPr>
          <w:t xml:space="preserve">https://doi.org/10.1017/s0007123413000550</w:t>
        </w:r>
      </w:hyperlink>
      <w:r>
        <w:t xml:space="preserve">.</w:t>
      </w:r>
    </w:p>
    <w:bookmarkEnd w:id="124"/>
    <w:bookmarkStart w:id="126" w:name="ref-tangri2010"/>
    <w:p>
      <w:pPr>
        <w:pStyle w:val="Bibliography"/>
      </w:pPr>
      <w:r>
        <w:t xml:space="preserve">Tangri, Roger, and Andrew M. Mwenda. 2010.</w:t>
      </w:r>
      <w:r>
        <w:t xml:space="preserve"> </w:t>
      </w:r>
      <w:r>
        <w:t xml:space="preserve">“President Museveni and the Politics of Presidential Tenure in Uganda.”</w:t>
      </w:r>
      <w:r>
        <w:t xml:space="preserve"> </w:t>
      </w:r>
      <w:r>
        <w:rPr>
          <w:iCs/>
          <w:i/>
        </w:rPr>
        <w:t xml:space="preserve">Journal of Contemporary African Studies</w:t>
      </w:r>
      <w:r>
        <w:t xml:space="preserve"> </w:t>
      </w:r>
      <w:r>
        <w:t xml:space="preserve">28 (1): 31–49.</w:t>
      </w:r>
      <w:r>
        <w:t xml:space="preserve"> </w:t>
      </w:r>
      <w:hyperlink r:id="rId125">
        <w:r>
          <w:rPr>
            <w:rStyle w:val="Hyperlink"/>
          </w:rPr>
          <w:t xml:space="preserve">https://doi.org/10.1080/02589000903542574</w:t>
        </w:r>
      </w:hyperlink>
      <w:r>
        <w:t xml:space="preserve">.</w:t>
      </w:r>
    </w:p>
    <w:bookmarkEnd w:id="126"/>
    <w:bookmarkStart w:id="128"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127">
        <w:r>
          <w:rPr>
            <w:rStyle w:val="Hyperlink"/>
          </w:rPr>
          <w:t xml:space="preserve">https://doi.org/10.1093/acrefore/9780190846626.013.369</w:t>
        </w:r>
      </w:hyperlink>
      <w:r>
        <w:t xml:space="preserve">.</w:t>
      </w:r>
    </w:p>
    <w:bookmarkEnd w:id="128"/>
    <w:bookmarkStart w:id="129"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Cs/>
          <w:i/>
        </w:rPr>
        <w:t xml:space="preserve">Colum. L. Rev.</w:t>
      </w:r>
      <w:r>
        <w:t xml:space="preserve"> </w:t>
      </w:r>
      <w:r>
        <w:t xml:space="preserve">120: 173.</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Center for Systemic Peace:</w:t>
      </w:r>
      <w:r>
        <w:t xml:space="preserve"> </w:t>
      </w:r>
      <w:hyperlink r:id="rId44">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2024-07-20T22:41:56Z</dcterms:created>
  <dcterms:modified xsi:type="dcterms:W3CDTF">2024-07-20T22:41:56Z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autocoups, specifically focusing on power extensions by incumbent leaders. By distinguishing autocoups from the broader and more ambiguous concepts of self-coups or executive takeover, which encompass both executive power aggrandizement and power extension, this research redefines the concept of autocoups. Based on this refined definition, we introduce a novel dataset of autocoup events from 1945 to 2022.Using the newly compiled dataset, the research includes three types of case studies that provide qualitative insights into the dynamics of autocoups. Additionally, an empirical analysis on the determinants of autocoup attempts and success is offered to demonstrate how the autocoup dataset can be employed for more quantitative research.This study contributes to the existing literature by providing a clearer conceptual framework and a novel dataset of autocoups. It enhances our understanding of the mechanisms and motivations behind power extensions by incumbent leaders and examines the implications for democratic backsliding, democratic breakdown, personalization, and autocratic deterioration. The insights gained from this study could draw more attention to the effects of autocoups on power transitions, political stability, and democratic resilience.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