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A62ECF" w:rsidRDefault="00000000">
      <w:pPr>
        <w:spacing w:after="273" w:line="259" w:lineRule="auto"/>
        <w:ind w:left="0" w:firstLine="0"/>
        <w:jc w:val="center"/>
      </w:pPr>
      <w:proofErr w:type="spellStart"/>
      <w:r>
        <w:rPr>
          <w:b/>
          <w:sz w:val="36"/>
        </w:rPr>
        <w:t>ISyE</w:t>
      </w:r>
      <w:proofErr w:type="spellEnd"/>
      <w:r>
        <w:rPr>
          <w:b/>
          <w:sz w:val="36"/>
        </w:rPr>
        <w:t xml:space="preserve"> 552 — Lab 2: Force, EMG, and Fatigue</w:t>
      </w:r>
      <w:r w:rsidR="00B43F87">
        <w:rPr>
          <w:b/>
          <w:sz w:val="36"/>
        </w:rPr>
        <w:br/>
      </w:r>
      <w:r w:rsidR="00B43F87">
        <w:rPr>
          <w:b/>
          <w:sz w:val="36"/>
        </w:rPr>
        <w:br/>
      </w:r>
      <w:proofErr w:type="spellStart"/>
      <w:r w:rsidR="00B43F87" w:rsidRPr="00B43F87">
        <w:rPr>
          <w:b/>
          <w:sz w:val="24"/>
          <w:szCs w:val="24"/>
        </w:rPr>
        <w:t>Vishwak</w:t>
      </w:r>
      <w:proofErr w:type="spellEnd"/>
      <w:r w:rsidR="00B43F87" w:rsidRPr="00B43F87">
        <w:rPr>
          <w:b/>
          <w:sz w:val="24"/>
          <w:szCs w:val="24"/>
        </w:rPr>
        <w:t xml:space="preserve"> </w:t>
      </w:r>
      <w:proofErr w:type="spellStart"/>
      <w:r w:rsidR="00B43F87" w:rsidRPr="00B43F87">
        <w:rPr>
          <w:b/>
          <w:sz w:val="24"/>
          <w:szCs w:val="24"/>
        </w:rPr>
        <w:t>Parth</w:t>
      </w:r>
      <w:proofErr w:type="spellEnd"/>
      <w:r w:rsidR="00B43F87" w:rsidRPr="00B43F87">
        <w:rPr>
          <w:b/>
          <w:sz w:val="24"/>
          <w:szCs w:val="24"/>
        </w:rPr>
        <w:t xml:space="preserve"> Reddy</w:t>
      </w:r>
    </w:p>
    <w:p w:rsidR="00A62ECF" w:rsidRDefault="00000000">
      <w:pPr>
        <w:pStyle w:val="Heading1"/>
        <w:ind w:left="-5"/>
      </w:pPr>
      <w:r>
        <w:t xml:space="preserve">Introduction </w:t>
      </w:r>
    </w:p>
    <w:p w:rsidR="00A62ECF" w:rsidRDefault="00000000">
      <w:pPr>
        <w:spacing w:after="280"/>
        <w:ind w:left="-5"/>
      </w:pPr>
      <w:r>
        <w:t>Handgrip tasks are a clean way to study localized muscle fatigue because the force level can be set as a percentage of each person’s maximum. In this lab we measured endurance time (ET) at five intensities (20–100% of MVC), collected Borg 6–20 ratings of perceived exertion (RPE) every 30 seconds, and quantified objective fatigue using the drop from pre- to post-trial MVC. For one participant we also recorded EMG from the wrist flexor and extensor to see how signal amplitude (RMS) and frequency content (median power frequency, MPF) changed across the hold. We expected ET to fall as %MVC increased, RPE to climb during sustained effort, RMS to rise, and MPF to shift downward as fatigue developed. These trends connect directly to jobs that require sustained gripping, where higher force demands can rapidly reduce endurance and increase injury risk.</w:t>
      </w:r>
    </w:p>
    <w:p w:rsidR="00A62ECF" w:rsidRDefault="00000000">
      <w:pPr>
        <w:pStyle w:val="Heading1"/>
        <w:ind w:left="-5"/>
      </w:pPr>
      <w:r>
        <w:t xml:space="preserve">Methods </w:t>
      </w:r>
    </w:p>
    <w:p w:rsidR="00A62ECF" w:rsidRDefault="00000000">
      <w:pPr>
        <w:ind w:left="-5"/>
      </w:pPr>
      <w:r>
        <w:t xml:space="preserve">Six volunteers (three male, three female) completed handgrip endurance trials using a dynamometer and stopwatch. After a brief warm-up, each participant performed three MVC trials with two minutes rest; the maximum value was used as the pre-MVC. Target forces were set to 20%, 40%, 60%, 80%, and 100% of pre-MVC. Trial order was randomized per participant, and participants rested ten minutes between endurance trials. For each trial, participants matched the target force until volitional exhaustion and ET was recorded. Immediately after exhaustion, participants performed one post-MVC. Percent strength loss was calculated as (pre-MVC </w:t>
      </w:r>
      <w:r>
        <w:rPr>
          <w:rFonts w:ascii="Segoe UI Symbol" w:eastAsia="Segoe UI Symbol" w:hAnsi="Segoe UI Symbol" w:cs="Segoe UI Symbol"/>
        </w:rPr>
        <w:t>−</w:t>
      </w:r>
      <w:r>
        <w:t xml:space="preserve"> post-MVC) ×100 / pre-MVC. RPE (Borg 6–20) was collected every 30 seconds during the hold. EMG was collected for one participant from the flexor and extensor carpi radialis using </w:t>
      </w:r>
      <w:proofErr w:type="spellStart"/>
      <w:r>
        <w:t>Noraxon</w:t>
      </w:r>
      <w:proofErr w:type="spellEnd"/>
      <w:r>
        <w:t xml:space="preserve"> </w:t>
      </w:r>
      <w:proofErr w:type="spellStart"/>
      <w:r>
        <w:t>Ultium</w:t>
      </w:r>
      <w:proofErr w:type="spellEnd"/>
      <w:r>
        <w:t xml:space="preserve"> EMG, including a 10-second resting baseline. EMG was processed in 10-second windows to compute RMS and MPF; for RPE–EMG comparisons, EMG values were resampled to 30-second bins.</w:t>
      </w:r>
    </w:p>
    <w:p w:rsidR="00A62ECF" w:rsidRDefault="00000000">
      <w:pPr>
        <w:pStyle w:val="Heading1"/>
        <w:ind w:left="-5"/>
      </w:pPr>
      <w:r>
        <w:t>Results</w:t>
      </w:r>
    </w:p>
    <w:p w:rsidR="00A62ECF" w:rsidRDefault="00000000">
      <w:pPr>
        <w:spacing w:after="15" w:line="265" w:lineRule="auto"/>
        <w:ind w:left="-5"/>
      </w:pPr>
      <w:r>
        <w:rPr>
          <w:color w:val="808080"/>
          <w:sz w:val="18"/>
        </w:rPr>
        <w:t xml:space="preserve">Table 1. Mean ET by %MVC (separated by sex) plus </w:t>
      </w:r>
      <w:proofErr w:type="spellStart"/>
      <w:r>
        <w:rPr>
          <w:color w:val="808080"/>
          <w:sz w:val="18"/>
        </w:rPr>
        <w:t>Rohmert</w:t>
      </w:r>
      <w:proofErr w:type="spellEnd"/>
      <w:r>
        <w:rPr>
          <w:color w:val="808080"/>
          <w:sz w:val="18"/>
        </w:rPr>
        <w:t xml:space="preserve"> curve values.</w:t>
      </w:r>
    </w:p>
    <w:tbl>
      <w:tblPr>
        <w:tblStyle w:val="TableGrid"/>
        <w:tblW w:w="5971" w:type="dxa"/>
        <w:tblInd w:w="0" w:type="dxa"/>
        <w:tblCellMar>
          <w:top w:w="111" w:type="dxa"/>
          <w:left w:w="120" w:type="dxa"/>
          <w:bottom w:w="0" w:type="dxa"/>
          <w:right w:w="120" w:type="dxa"/>
        </w:tblCellMar>
        <w:tblLook w:val="04A0" w:firstRow="1" w:lastRow="0" w:firstColumn="1" w:lastColumn="0" w:noHBand="0" w:noVBand="1"/>
      </w:tblPr>
      <w:tblGrid>
        <w:gridCol w:w="801"/>
        <w:gridCol w:w="1709"/>
        <w:gridCol w:w="1931"/>
        <w:gridCol w:w="1530"/>
      </w:tblGrid>
      <w:tr w:rsidR="00A62ECF">
        <w:trPr>
          <w:trHeight w:val="360"/>
        </w:trPr>
        <w:tc>
          <w:tcPr>
            <w:tcW w:w="800" w:type="dxa"/>
            <w:tcBorders>
              <w:top w:val="single" w:sz="4" w:space="0" w:color="808080"/>
              <w:left w:val="single" w:sz="4" w:space="0" w:color="808080"/>
              <w:bottom w:val="single" w:sz="4" w:space="0" w:color="808080"/>
              <w:right w:val="single" w:sz="4" w:space="0" w:color="808080"/>
            </w:tcBorders>
            <w:shd w:val="clear" w:color="auto" w:fill="D3D3D3"/>
          </w:tcPr>
          <w:p w:rsidR="00A62ECF" w:rsidRDefault="00000000">
            <w:pPr>
              <w:spacing w:after="0" w:line="259" w:lineRule="auto"/>
              <w:ind w:left="0" w:firstLine="0"/>
              <w:jc w:val="both"/>
            </w:pPr>
            <w:r>
              <w:rPr>
                <w:b/>
                <w:sz w:val="18"/>
              </w:rPr>
              <w:t>%MVC</w:t>
            </w:r>
          </w:p>
        </w:tc>
        <w:tc>
          <w:tcPr>
            <w:tcW w:w="1710" w:type="dxa"/>
            <w:tcBorders>
              <w:top w:val="single" w:sz="4" w:space="0" w:color="808080"/>
              <w:left w:val="single" w:sz="4" w:space="0" w:color="808080"/>
              <w:bottom w:val="single" w:sz="4" w:space="0" w:color="808080"/>
              <w:right w:val="single" w:sz="4" w:space="0" w:color="808080"/>
            </w:tcBorders>
            <w:shd w:val="clear" w:color="auto" w:fill="D3D3D3"/>
          </w:tcPr>
          <w:p w:rsidR="00A62ECF" w:rsidRDefault="00000000">
            <w:pPr>
              <w:spacing w:after="0" w:line="259" w:lineRule="auto"/>
              <w:ind w:left="0" w:firstLine="0"/>
            </w:pPr>
            <w:r>
              <w:rPr>
                <w:b/>
                <w:sz w:val="18"/>
              </w:rPr>
              <w:t>Male mean ET (s)</w:t>
            </w:r>
          </w:p>
        </w:tc>
        <w:tc>
          <w:tcPr>
            <w:tcW w:w="1931" w:type="dxa"/>
            <w:tcBorders>
              <w:top w:val="single" w:sz="4" w:space="0" w:color="808080"/>
              <w:left w:val="single" w:sz="4" w:space="0" w:color="808080"/>
              <w:bottom w:val="single" w:sz="4" w:space="0" w:color="808080"/>
              <w:right w:val="single" w:sz="4" w:space="0" w:color="808080"/>
            </w:tcBorders>
            <w:shd w:val="clear" w:color="auto" w:fill="D3D3D3"/>
          </w:tcPr>
          <w:p w:rsidR="00A62ECF" w:rsidRDefault="00000000">
            <w:pPr>
              <w:spacing w:after="0" w:line="259" w:lineRule="auto"/>
              <w:ind w:left="0" w:firstLine="0"/>
            </w:pPr>
            <w:r>
              <w:rPr>
                <w:b/>
                <w:sz w:val="18"/>
              </w:rPr>
              <w:t>Female mean ET (s)</w:t>
            </w:r>
          </w:p>
        </w:tc>
        <w:tc>
          <w:tcPr>
            <w:tcW w:w="1530" w:type="dxa"/>
            <w:tcBorders>
              <w:top w:val="single" w:sz="4" w:space="0" w:color="808080"/>
              <w:left w:val="single" w:sz="4" w:space="0" w:color="808080"/>
              <w:bottom w:val="single" w:sz="4" w:space="0" w:color="808080"/>
              <w:right w:val="single" w:sz="4" w:space="0" w:color="808080"/>
            </w:tcBorders>
            <w:shd w:val="clear" w:color="auto" w:fill="D3D3D3"/>
          </w:tcPr>
          <w:p w:rsidR="00A62ECF" w:rsidRDefault="00000000">
            <w:pPr>
              <w:spacing w:after="0" w:line="259" w:lineRule="auto"/>
              <w:ind w:left="0" w:firstLine="0"/>
            </w:pPr>
            <w:proofErr w:type="spellStart"/>
            <w:r>
              <w:rPr>
                <w:b/>
                <w:sz w:val="18"/>
              </w:rPr>
              <w:t>Rohmert</w:t>
            </w:r>
            <w:proofErr w:type="spellEnd"/>
            <w:r>
              <w:rPr>
                <w:b/>
                <w:sz w:val="18"/>
              </w:rPr>
              <w:t xml:space="preserve"> ET (s)</w:t>
            </w:r>
          </w:p>
        </w:tc>
      </w:tr>
      <w:tr w:rsidR="00A62ECF">
        <w:trPr>
          <w:trHeight w:val="360"/>
        </w:trPr>
        <w:tc>
          <w:tcPr>
            <w:tcW w:w="800" w:type="dxa"/>
            <w:tcBorders>
              <w:top w:val="single" w:sz="4" w:space="0" w:color="808080"/>
              <w:left w:val="single" w:sz="4" w:space="0" w:color="808080"/>
              <w:bottom w:val="single" w:sz="4" w:space="0" w:color="808080"/>
              <w:right w:val="single" w:sz="4" w:space="0" w:color="808080"/>
            </w:tcBorders>
          </w:tcPr>
          <w:p w:rsidR="00A62ECF" w:rsidRDefault="00000000">
            <w:pPr>
              <w:spacing w:after="0" w:line="259" w:lineRule="auto"/>
              <w:ind w:left="0" w:firstLine="0"/>
            </w:pPr>
            <w:r>
              <w:rPr>
                <w:sz w:val="18"/>
              </w:rPr>
              <w:t>20</w:t>
            </w:r>
          </w:p>
        </w:tc>
        <w:tc>
          <w:tcPr>
            <w:tcW w:w="1710" w:type="dxa"/>
            <w:tcBorders>
              <w:top w:val="single" w:sz="4" w:space="0" w:color="808080"/>
              <w:left w:val="single" w:sz="4" w:space="0" w:color="808080"/>
              <w:bottom w:val="single" w:sz="4" w:space="0" w:color="808080"/>
              <w:right w:val="single" w:sz="4" w:space="0" w:color="808080"/>
            </w:tcBorders>
          </w:tcPr>
          <w:p w:rsidR="00A62ECF" w:rsidRDefault="00000000">
            <w:pPr>
              <w:spacing w:after="0" w:line="259" w:lineRule="auto"/>
              <w:ind w:left="0" w:firstLine="0"/>
              <w:jc w:val="center"/>
            </w:pPr>
            <w:r>
              <w:rPr>
                <w:sz w:val="18"/>
              </w:rPr>
              <w:t>112.67</w:t>
            </w:r>
          </w:p>
        </w:tc>
        <w:tc>
          <w:tcPr>
            <w:tcW w:w="1931" w:type="dxa"/>
            <w:tcBorders>
              <w:top w:val="single" w:sz="4" w:space="0" w:color="808080"/>
              <w:left w:val="single" w:sz="4" w:space="0" w:color="808080"/>
              <w:bottom w:val="single" w:sz="4" w:space="0" w:color="808080"/>
              <w:right w:val="single" w:sz="4" w:space="0" w:color="808080"/>
            </w:tcBorders>
          </w:tcPr>
          <w:p w:rsidR="00A62ECF" w:rsidRDefault="00000000">
            <w:pPr>
              <w:spacing w:after="0" w:line="259" w:lineRule="auto"/>
              <w:ind w:left="0" w:firstLine="0"/>
              <w:jc w:val="center"/>
            </w:pPr>
            <w:r>
              <w:rPr>
                <w:sz w:val="18"/>
              </w:rPr>
              <w:t>175.33</w:t>
            </w:r>
          </w:p>
        </w:tc>
        <w:tc>
          <w:tcPr>
            <w:tcW w:w="1530" w:type="dxa"/>
            <w:tcBorders>
              <w:top w:val="single" w:sz="4" w:space="0" w:color="808080"/>
              <w:left w:val="single" w:sz="4" w:space="0" w:color="808080"/>
              <w:bottom w:val="single" w:sz="4" w:space="0" w:color="808080"/>
              <w:right w:val="single" w:sz="4" w:space="0" w:color="808080"/>
            </w:tcBorders>
          </w:tcPr>
          <w:p w:rsidR="00A62ECF" w:rsidRDefault="00000000">
            <w:pPr>
              <w:spacing w:after="0" w:line="259" w:lineRule="auto"/>
              <w:ind w:left="0" w:firstLine="0"/>
              <w:jc w:val="center"/>
            </w:pPr>
            <w:r>
              <w:rPr>
                <w:sz w:val="18"/>
              </w:rPr>
              <w:t>385.93</w:t>
            </w:r>
          </w:p>
        </w:tc>
      </w:tr>
      <w:tr w:rsidR="00A62ECF">
        <w:trPr>
          <w:trHeight w:val="360"/>
        </w:trPr>
        <w:tc>
          <w:tcPr>
            <w:tcW w:w="800" w:type="dxa"/>
            <w:tcBorders>
              <w:top w:val="single" w:sz="4" w:space="0" w:color="808080"/>
              <w:left w:val="single" w:sz="4" w:space="0" w:color="808080"/>
              <w:bottom w:val="single" w:sz="4" w:space="0" w:color="808080"/>
              <w:right w:val="single" w:sz="4" w:space="0" w:color="808080"/>
            </w:tcBorders>
          </w:tcPr>
          <w:p w:rsidR="00A62ECF" w:rsidRDefault="00000000">
            <w:pPr>
              <w:spacing w:after="0" w:line="259" w:lineRule="auto"/>
              <w:ind w:left="0" w:firstLine="0"/>
            </w:pPr>
            <w:r>
              <w:rPr>
                <w:sz w:val="18"/>
              </w:rPr>
              <w:t>40</w:t>
            </w:r>
          </w:p>
        </w:tc>
        <w:tc>
          <w:tcPr>
            <w:tcW w:w="1710" w:type="dxa"/>
            <w:tcBorders>
              <w:top w:val="single" w:sz="4" w:space="0" w:color="808080"/>
              <w:left w:val="single" w:sz="4" w:space="0" w:color="808080"/>
              <w:bottom w:val="single" w:sz="4" w:space="0" w:color="808080"/>
              <w:right w:val="single" w:sz="4" w:space="0" w:color="808080"/>
            </w:tcBorders>
          </w:tcPr>
          <w:p w:rsidR="00A62ECF" w:rsidRDefault="00000000">
            <w:pPr>
              <w:spacing w:after="0" w:line="259" w:lineRule="auto"/>
              <w:ind w:left="0" w:firstLine="0"/>
              <w:jc w:val="center"/>
            </w:pPr>
            <w:r>
              <w:rPr>
                <w:sz w:val="18"/>
              </w:rPr>
              <w:t>47.67</w:t>
            </w:r>
          </w:p>
        </w:tc>
        <w:tc>
          <w:tcPr>
            <w:tcW w:w="1931" w:type="dxa"/>
            <w:tcBorders>
              <w:top w:val="single" w:sz="4" w:space="0" w:color="808080"/>
              <w:left w:val="single" w:sz="4" w:space="0" w:color="808080"/>
              <w:bottom w:val="single" w:sz="4" w:space="0" w:color="808080"/>
              <w:right w:val="single" w:sz="4" w:space="0" w:color="808080"/>
            </w:tcBorders>
          </w:tcPr>
          <w:p w:rsidR="00A62ECF" w:rsidRDefault="00000000">
            <w:pPr>
              <w:spacing w:after="0" w:line="259" w:lineRule="auto"/>
              <w:ind w:left="0" w:firstLine="0"/>
              <w:jc w:val="center"/>
            </w:pPr>
            <w:r>
              <w:rPr>
                <w:sz w:val="18"/>
              </w:rPr>
              <w:t>56.44</w:t>
            </w:r>
          </w:p>
        </w:tc>
        <w:tc>
          <w:tcPr>
            <w:tcW w:w="1530" w:type="dxa"/>
            <w:tcBorders>
              <w:top w:val="single" w:sz="4" w:space="0" w:color="808080"/>
              <w:left w:val="single" w:sz="4" w:space="0" w:color="808080"/>
              <w:bottom w:val="single" w:sz="4" w:space="0" w:color="808080"/>
              <w:right w:val="single" w:sz="4" w:space="0" w:color="808080"/>
            </w:tcBorders>
          </w:tcPr>
          <w:p w:rsidR="00A62ECF" w:rsidRDefault="00000000">
            <w:pPr>
              <w:spacing w:after="0" w:line="259" w:lineRule="auto"/>
              <w:ind w:left="0" w:firstLine="0"/>
              <w:jc w:val="center"/>
            </w:pPr>
            <w:r>
              <w:rPr>
                <w:sz w:val="18"/>
              </w:rPr>
              <w:t>96.99</w:t>
            </w:r>
          </w:p>
        </w:tc>
      </w:tr>
      <w:tr w:rsidR="00A62ECF">
        <w:trPr>
          <w:trHeight w:val="360"/>
        </w:trPr>
        <w:tc>
          <w:tcPr>
            <w:tcW w:w="800" w:type="dxa"/>
            <w:tcBorders>
              <w:top w:val="single" w:sz="4" w:space="0" w:color="808080"/>
              <w:left w:val="single" w:sz="4" w:space="0" w:color="808080"/>
              <w:bottom w:val="single" w:sz="4" w:space="0" w:color="808080"/>
              <w:right w:val="single" w:sz="4" w:space="0" w:color="808080"/>
            </w:tcBorders>
          </w:tcPr>
          <w:p w:rsidR="00A62ECF" w:rsidRDefault="00000000">
            <w:pPr>
              <w:spacing w:after="0" w:line="259" w:lineRule="auto"/>
              <w:ind w:left="0" w:firstLine="0"/>
            </w:pPr>
            <w:r>
              <w:rPr>
                <w:sz w:val="18"/>
              </w:rPr>
              <w:t>60</w:t>
            </w:r>
          </w:p>
        </w:tc>
        <w:tc>
          <w:tcPr>
            <w:tcW w:w="1710" w:type="dxa"/>
            <w:tcBorders>
              <w:top w:val="single" w:sz="4" w:space="0" w:color="808080"/>
              <w:left w:val="single" w:sz="4" w:space="0" w:color="808080"/>
              <w:bottom w:val="single" w:sz="4" w:space="0" w:color="808080"/>
              <w:right w:val="single" w:sz="4" w:space="0" w:color="808080"/>
            </w:tcBorders>
          </w:tcPr>
          <w:p w:rsidR="00A62ECF" w:rsidRDefault="00000000">
            <w:pPr>
              <w:spacing w:after="0" w:line="259" w:lineRule="auto"/>
              <w:ind w:left="0" w:firstLine="0"/>
              <w:jc w:val="center"/>
            </w:pPr>
            <w:r>
              <w:rPr>
                <w:sz w:val="18"/>
              </w:rPr>
              <w:t>21.67</w:t>
            </w:r>
          </w:p>
        </w:tc>
        <w:tc>
          <w:tcPr>
            <w:tcW w:w="1931" w:type="dxa"/>
            <w:tcBorders>
              <w:top w:val="single" w:sz="4" w:space="0" w:color="808080"/>
              <w:left w:val="single" w:sz="4" w:space="0" w:color="808080"/>
              <w:bottom w:val="single" w:sz="4" w:space="0" w:color="808080"/>
              <w:right w:val="single" w:sz="4" w:space="0" w:color="808080"/>
            </w:tcBorders>
          </w:tcPr>
          <w:p w:rsidR="00A62ECF" w:rsidRDefault="00000000">
            <w:pPr>
              <w:spacing w:after="0" w:line="259" w:lineRule="auto"/>
              <w:ind w:left="0" w:firstLine="0"/>
              <w:jc w:val="center"/>
            </w:pPr>
            <w:r>
              <w:rPr>
                <w:sz w:val="18"/>
              </w:rPr>
              <w:t>18.99</w:t>
            </w:r>
          </w:p>
        </w:tc>
        <w:tc>
          <w:tcPr>
            <w:tcW w:w="1530" w:type="dxa"/>
            <w:tcBorders>
              <w:top w:val="single" w:sz="4" w:space="0" w:color="808080"/>
              <w:left w:val="single" w:sz="4" w:space="0" w:color="808080"/>
              <w:bottom w:val="single" w:sz="4" w:space="0" w:color="808080"/>
              <w:right w:val="single" w:sz="4" w:space="0" w:color="808080"/>
            </w:tcBorders>
          </w:tcPr>
          <w:p w:rsidR="00A62ECF" w:rsidRDefault="00000000">
            <w:pPr>
              <w:spacing w:after="0" w:line="259" w:lineRule="auto"/>
              <w:ind w:left="0" w:firstLine="0"/>
              <w:jc w:val="center"/>
            </w:pPr>
            <w:r>
              <w:rPr>
                <w:sz w:val="18"/>
              </w:rPr>
              <w:t>45.34</w:t>
            </w:r>
          </w:p>
        </w:tc>
      </w:tr>
      <w:tr w:rsidR="00A62ECF">
        <w:trPr>
          <w:trHeight w:val="360"/>
        </w:trPr>
        <w:tc>
          <w:tcPr>
            <w:tcW w:w="800" w:type="dxa"/>
            <w:tcBorders>
              <w:top w:val="single" w:sz="4" w:space="0" w:color="808080"/>
              <w:left w:val="single" w:sz="4" w:space="0" w:color="808080"/>
              <w:bottom w:val="single" w:sz="4" w:space="0" w:color="808080"/>
              <w:right w:val="single" w:sz="4" w:space="0" w:color="808080"/>
            </w:tcBorders>
          </w:tcPr>
          <w:p w:rsidR="00A62ECF" w:rsidRDefault="00000000">
            <w:pPr>
              <w:spacing w:after="0" w:line="259" w:lineRule="auto"/>
              <w:ind w:left="0" w:firstLine="0"/>
            </w:pPr>
            <w:r>
              <w:rPr>
                <w:sz w:val="18"/>
              </w:rPr>
              <w:t>80</w:t>
            </w:r>
          </w:p>
        </w:tc>
        <w:tc>
          <w:tcPr>
            <w:tcW w:w="1710" w:type="dxa"/>
            <w:tcBorders>
              <w:top w:val="single" w:sz="4" w:space="0" w:color="808080"/>
              <w:left w:val="single" w:sz="4" w:space="0" w:color="808080"/>
              <w:bottom w:val="single" w:sz="4" w:space="0" w:color="808080"/>
              <w:right w:val="single" w:sz="4" w:space="0" w:color="808080"/>
            </w:tcBorders>
          </w:tcPr>
          <w:p w:rsidR="00A62ECF" w:rsidRDefault="00000000">
            <w:pPr>
              <w:spacing w:after="0" w:line="259" w:lineRule="auto"/>
              <w:ind w:left="0" w:firstLine="0"/>
              <w:jc w:val="center"/>
            </w:pPr>
            <w:r>
              <w:rPr>
                <w:sz w:val="18"/>
              </w:rPr>
              <w:t>5.00</w:t>
            </w:r>
          </w:p>
        </w:tc>
        <w:tc>
          <w:tcPr>
            <w:tcW w:w="1931" w:type="dxa"/>
            <w:tcBorders>
              <w:top w:val="single" w:sz="4" w:space="0" w:color="808080"/>
              <w:left w:val="single" w:sz="4" w:space="0" w:color="808080"/>
              <w:bottom w:val="single" w:sz="4" w:space="0" w:color="808080"/>
              <w:right w:val="single" w:sz="4" w:space="0" w:color="808080"/>
            </w:tcBorders>
          </w:tcPr>
          <w:p w:rsidR="00A62ECF" w:rsidRDefault="00000000">
            <w:pPr>
              <w:spacing w:after="0" w:line="259" w:lineRule="auto"/>
              <w:ind w:left="0" w:firstLine="0"/>
              <w:jc w:val="center"/>
            </w:pPr>
            <w:r>
              <w:rPr>
                <w:sz w:val="18"/>
              </w:rPr>
              <w:t>13.32</w:t>
            </w:r>
          </w:p>
        </w:tc>
        <w:tc>
          <w:tcPr>
            <w:tcW w:w="1530" w:type="dxa"/>
            <w:tcBorders>
              <w:top w:val="single" w:sz="4" w:space="0" w:color="808080"/>
              <w:left w:val="single" w:sz="4" w:space="0" w:color="808080"/>
              <w:bottom w:val="single" w:sz="4" w:space="0" w:color="808080"/>
              <w:right w:val="single" w:sz="4" w:space="0" w:color="808080"/>
            </w:tcBorders>
          </w:tcPr>
          <w:p w:rsidR="00A62ECF" w:rsidRDefault="00000000">
            <w:pPr>
              <w:spacing w:after="0" w:line="259" w:lineRule="auto"/>
              <w:ind w:left="0" w:firstLine="0"/>
              <w:jc w:val="center"/>
            </w:pPr>
            <w:r>
              <w:rPr>
                <w:sz w:val="18"/>
              </w:rPr>
              <w:t>21.36</w:t>
            </w:r>
          </w:p>
        </w:tc>
      </w:tr>
      <w:tr w:rsidR="00A62ECF">
        <w:trPr>
          <w:trHeight w:val="360"/>
        </w:trPr>
        <w:tc>
          <w:tcPr>
            <w:tcW w:w="800" w:type="dxa"/>
            <w:tcBorders>
              <w:top w:val="single" w:sz="4" w:space="0" w:color="808080"/>
              <w:left w:val="single" w:sz="4" w:space="0" w:color="808080"/>
              <w:bottom w:val="single" w:sz="4" w:space="0" w:color="808080"/>
              <w:right w:val="single" w:sz="4" w:space="0" w:color="808080"/>
            </w:tcBorders>
          </w:tcPr>
          <w:p w:rsidR="00A62ECF" w:rsidRDefault="00000000">
            <w:pPr>
              <w:spacing w:after="0" w:line="259" w:lineRule="auto"/>
              <w:ind w:left="0" w:firstLine="0"/>
            </w:pPr>
            <w:r>
              <w:rPr>
                <w:sz w:val="18"/>
              </w:rPr>
              <w:t>100</w:t>
            </w:r>
          </w:p>
        </w:tc>
        <w:tc>
          <w:tcPr>
            <w:tcW w:w="1710" w:type="dxa"/>
            <w:tcBorders>
              <w:top w:val="single" w:sz="4" w:space="0" w:color="808080"/>
              <w:left w:val="single" w:sz="4" w:space="0" w:color="808080"/>
              <w:bottom w:val="single" w:sz="4" w:space="0" w:color="808080"/>
              <w:right w:val="single" w:sz="4" w:space="0" w:color="808080"/>
            </w:tcBorders>
          </w:tcPr>
          <w:p w:rsidR="00A62ECF" w:rsidRDefault="00000000">
            <w:pPr>
              <w:spacing w:after="0" w:line="259" w:lineRule="auto"/>
              <w:ind w:left="0" w:firstLine="0"/>
              <w:jc w:val="center"/>
            </w:pPr>
            <w:r>
              <w:rPr>
                <w:sz w:val="18"/>
              </w:rPr>
              <w:t>0.00</w:t>
            </w:r>
          </w:p>
        </w:tc>
        <w:tc>
          <w:tcPr>
            <w:tcW w:w="1931" w:type="dxa"/>
            <w:tcBorders>
              <w:top w:val="single" w:sz="4" w:space="0" w:color="808080"/>
              <w:left w:val="single" w:sz="4" w:space="0" w:color="808080"/>
              <w:bottom w:val="single" w:sz="4" w:space="0" w:color="808080"/>
              <w:right w:val="single" w:sz="4" w:space="0" w:color="808080"/>
            </w:tcBorders>
          </w:tcPr>
          <w:p w:rsidR="00A62ECF" w:rsidRDefault="00000000">
            <w:pPr>
              <w:spacing w:after="0" w:line="259" w:lineRule="auto"/>
              <w:ind w:left="0" w:firstLine="0"/>
              <w:jc w:val="center"/>
            </w:pPr>
            <w:r>
              <w:rPr>
                <w:sz w:val="18"/>
              </w:rPr>
              <w:t>3.33</w:t>
            </w:r>
          </w:p>
        </w:tc>
        <w:tc>
          <w:tcPr>
            <w:tcW w:w="1530" w:type="dxa"/>
            <w:tcBorders>
              <w:top w:val="single" w:sz="4" w:space="0" w:color="808080"/>
              <w:left w:val="single" w:sz="4" w:space="0" w:color="808080"/>
              <w:bottom w:val="single" w:sz="4" w:space="0" w:color="808080"/>
              <w:right w:val="single" w:sz="4" w:space="0" w:color="808080"/>
            </w:tcBorders>
          </w:tcPr>
          <w:p w:rsidR="00A62ECF" w:rsidRDefault="00000000">
            <w:pPr>
              <w:spacing w:after="0" w:line="259" w:lineRule="auto"/>
              <w:ind w:left="0" w:firstLine="0"/>
              <w:jc w:val="center"/>
            </w:pPr>
            <w:r>
              <w:rPr>
                <w:sz w:val="18"/>
              </w:rPr>
              <w:t>7.01</w:t>
            </w:r>
          </w:p>
        </w:tc>
      </w:tr>
    </w:tbl>
    <w:p w:rsidR="00A62ECF" w:rsidRDefault="00000000">
      <w:pPr>
        <w:spacing w:after="15" w:line="265" w:lineRule="auto"/>
        <w:ind w:left="-5"/>
      </w:pPr>
      <w:r>
        <w:rPr>
          <w:color w:val="808080"/>
          <w:sz w:val="18"/>
        </w:rPr>
        <w:t>Table 2. Mean percent strength loss by %MVC.</w:t>
      </w:r>
    </w:p>
    <w:tbl>
      <w:tblPr>
        <w:tblStyle w:val="TableGrid"/>
        <w:tblW w:w="5701" w:type="dxa"/>
        <w:tblInd w:w="0" w:type="dxa"/>
        <w:tblCellMar>
          <w:top w:w="111" w:type="dxa"/>
          <w:left w:w="120" w:type="dxa"/>
          <w:bottom w:w="0" w:type="dxa"/>
          <w:right w:w="120" w:type="dxa"/>
        </w:tblCellMar>
        <w:tblLook w:val="04A0" w:firstRow="1" w:lastRow="0" w:firstColumn="1" w:lastColumn="0" w:noHBand="0" w:noVBand="1"/>
      </w:tblPr>
      <w:tblGrid>
        <w:gridCol w:w="801"/>
        <w:gridCol w:w="2340"/>
        <w:gridCol w:w="2560"/>
      </w:tblGrid>
      <w:tr w:rsidR="00A62ECF">
        <w:trPr>
          <w:trHeight w:val="360"/>
        </w:trPr>
        <w:tc>
          <w:tcPr>
            <w:tcW w:w="800" w:type="dxa"/>
            <w:tcBorders>
              <w:top w:val="single" w:sz="4" w:space="0" w:color="808080"/>
              <w:left w:val="single" w:sz="4" w:space="0" w:color="808080"/>
              <w:bottom w:val="single" w:sz="4" w:space="0" w:color="808080"/>
              <w:right w:val="single" w:sz="4" w:space="0" w:color="808080"/>
            </w:tcBorders>
            <w:shd w:val="clear" w:color="auto" w:fill="D3D3D3"/>
          </w:tcPr>
          <w:p w:rsidR="00A62ECF" w:rsidRDefault="00000000">
            <w:pPr>
              <w:spacing w:after="0" w:line="259" w:lineRule="auto"/>
              <w:ind w:left="0" w:firstLine="0"/>
              <w:jc w:val="both"/>
            </w:pPr>
            <w:r>
              <w:rPr>
                <w:b/>
                <w:sz w:val="18"/>
              </w:rPr>
              <w:t>%MVC</w:t>
            </w:r>
          </w:p>
        </w:tc>
        <w:tc>
          <w:tcPr>
            <w:tcW w:w="2341" w:type="dxa"/>
            <w:tcBorders>
              <w:top w:val="single" w:sz="4" w:space="0" w:color="808080"/>
              <w:left w:val="single" w:sz="4" w:space="0" w:color="808080"/>
              <w:bottom w:val="single" w:sz="4" w:space="0" w:color="808080"/>
              <w:right w:val="single" w:sz="4" w:space="0" w:color="808080"/>
            </w:tcBorders>
            <w:shd w:val="clear" w:color="auto" w:fill="D3D3D3"/>
          </w:tcPr>
          <w:p w:rsidR="00A62ECF" w:rsidRDefault="00000000">
            <w:pPr>
              <w:spacing w:after="0" w:line="259" w:lineRule="auto"/>
              <w:ind w:left="0" w:firstLine="0"/>
            </w:pPr>
            <w:r>
              <w:rPr>
                <w:b/>
                <w:sz w:val="18"/>
              </w:rPr>
              <w:t>Male mean strength loss</w:t>
            </w:r>
          </w:p>
        </w:tc>
        <w:tc>
          <w:tcPr>
            <w:tcW w:w="2561" w:type="dxa"/>
            <w:tcBorders>
              <w:top w:val="single" w:sz="4" w:space="0" w:color="808080"/>
              <w:left w:val="single" w:sz="4" w:space="0" w:color="808080"/>
              <w:bottom w:val="single" w:sz="4" w:space="0" w:color="808080"/>
              <w:right w:val="single" w:sz="4" w:space="0" w:color="808080"/>
            </w:tcBorders>
            <w:shd w:val="clear" w:color="auto" w:fill="D3D3D3"/>
          </w:tcPr>
          <w:p w:rsidR="00A62ECF" w:rsidRDefault="00000000">
            <w:pPr>
              <w:spacing w:after="0" w:line="259" w:lineRule="auto"/>
              <w:ind w:left="0" w:firstLine="0"/>
            </w:pPr>
            <w:r>
              <w:rPr>
                <w:b/>
                <w:sz w:val="18"/>
              </w:rPr>
              <w:t>Female mean strength loss</w:t>
            </w:r>
          </w:p>
        </w:tc>
      </w:tr>
      <w:tr w:rsidR="00A62ECF">
        <w:trPr>
          <w:trHeight w:val="360"/>
        </w:trPr>
        <w:tc>
          <w:tcPr>
            <w:tcW w:w="800" w:type="dxa"/>
            <w:tcBorders>
              <w:top w:val="single" w:sz="4" w:space="0" w:color="808080"/>
              <w:left w:val="single" w:sz="4" w:space="0" w:color="808080"/>
              <w:bottom w:val="single" w:sz="4" w:space="0" w:color="808080"/>
              <w:right w:val="single" w:sz="4" w:space="0" w:color="808080"/>
            </w:tcBorders>
          </w:tcPr>
          <w:p w:rsidR="00A62ECF" w:rsidRDefault="00000000">
            <w:pPr>
              <w:spacing w:after="0" w:line="259" w:lineRule="auto"/>
              <w:ind w:left="0" w:firstLine="0"/>
            </w:pPr>
            <w:r>
              <w:rPr>
                <w:sz w:val="18"/>
              </w:rPr>
              <w:t>20</w:t>
            </w:r>
          </w:p>
        </w:tc>
        <w:tc>
          <w:tcPr>
            <w:tcW w:w="2341" w:type="dxa"/>
            <w:tcBorders>
              <w:top w:val="single" w:sz="4" w:space="0" w:color="808080"/>
              <w:left w:val="single" w:sz="4" w:space="0" w:color="808080"/>
              <w:bottom w:val="single" w:sz="4" w:space="0" w:color="808080"/>
              <w:right w:val="single" w:sz="4" w:space="0" w:color="808080"/>
            </w:tcBorders>
          </w:tcPr>
          <w:p w:rsidR="00A62ECF" w:rsidRDefault="00000000">
            <w:pPr>
              <w:spacing w:after="0" w:line="259" w:lineRule="auto"/>
              <w:ind w:left="0" w:firstLine="0"/>
              <w:jc w:val="center"/>
            </w:pPr>
            <w:r>
              <w:rPr>
                <w:sz w:val="18"/>
              </w:rPr>
              <w:t>33.1%</w:t>
            </w:r>
          </w:p>
        </w:tc>
        <w:tc>
          <w:tcPr>
            <w:tcW w:w="2561" w:type="dxa"/>
            <w:tcBorders>
              <w:top w:val="single" w:sz="4" w:space="0" w:color="808080"/>
              <w:left w:val="single" w:sz="4" w:space="0" w:color="808080"/>
              <w:bottom w:val="single" w:sz="4" w:space="0" w:color="808080"/>
              <w:right w:val="single" w:sz="4" w:space="0" w:color="808080"/>
            </w:tcBorders>
          </w:tcPr>
          <w:p w:rsidR="00A62ECF" w:rsidRDefault="00000000">
            <w:pPr>
              <w:spacing w:after="0" w:line="259" w:lineRule="auto"/>
              <w:ind w:left="0" w:firstLine="0"/>
              <w:jc w:val="center"/>
            </w:pPr>
            <w:r>
              <w:rPr>
                <w:sz w:val="18"/>
              </w:rPr>
              <w:t>35.1%</w:t>
            </w:r>
          </w:p>
        </w:tc>
      </w:tr>
      <w:tr w:rsidR="00A62ECF">
        <w:trPr>
          <w:trHeight w:val="360"/>
        </w:trPr>
        <w:tc>
          <w:tcPr>
            <w:tcW w:w="800" w:type="dxa"/>
            <w:tcBorders>
              <w:top w:val="single" w:sz="4" w:space="0" w:color="808080"/>
              <w:left w:val="single" w:sz="4" w:space="0" w:color="808080"/>
              <w:bottom w:val="single" w:sz="4" w:space="0" w:color="808080"/>
              <w:right w:val="single" w:sz="4" w:space="0" w:color="808080"/>
            </w:tcBorders>
          </w:tcPr>
          <w:p w:rsidR="00A62ECF" w:rsidRDefault="00000000">
            <w:pPr>
              <w:spacing w:after="0" w:line="259" w:lineRule="auto"/>
              <w:ind w:left="0" w:firstLine="0"/>
            </w:pPr>
            <w:r>
              <w:rPr>
                <w:sz w:val="18"/>
              </w:rPr>
              <w:t>40</w:t>
            </w:r>
          </w:p>
        </w:tc>
        <w:tc>
          <w:tcPr>
            <w:tcW w:w="2341" w:type="dxa"/>
            <w:tcBorders>
              <w:top w:val="single" w:sz="4" w:space="0" w:color="808080"/>
              <w:left w:val="single" w:sz="4" w:space="0" w:color="808080"/>
              <w:bottom w:val="single" w:sz="4" w:space="0" w:color="808080"/>
              <w:right w:val="single" w:sz="4" w:space="0" w:color="808080"/>
            </w:tcBorders>
          </w:tcPr>
          <w:p w:rsidR="00A62ECF" w:rsidRDefault="00000000">
            <w:pPr>
              <w:spacing w:after="0" w:line="259" w:lineRule="auto"/>
              <w:ind w:left="0" w:firstLine="0"/>
              <w:jc w:val="center"/>
            </w:pPr>
            <w:r>
              <w:rPr>
                <w:sz w:val="18"/>
              </w:rPr>
              <w:t>47.9%</w:t>
            </w:r>
          </w:p>
        </w:tc>
        <w:tc>
          <w:tcPr>
            <w:tcW w:w="2561" w:type="dxa"/>
            <w:tcBorders>
              <w:top w:val="single" w:sz="4" w:space="0" w:color="808080"/>
              <w:left w:val="single" w:sz="4" w:space="0" w:color="808080"/>
              <w:bottom w:val="single" w:sz="4" w:space="0" w:color="808080"/>
              <w:right w:val="single" w:sz="4" w:space="0" w:color="808080"/>
            </w:tcBorders>
          </w:tcPr>
          <w:p w:rsidR="00A62ECF" w:rsidRDefault="00000000">
            <w:pPr>
              <w:spacing w:after="0" w:line="259" w:lineRule="auto"/>
              <w:ind w:left="0" w:firstLine="0"/>
              <w:jc w:val="center"/>
            </w:pPr>
            <w:r>
              <w:rPr>
                <w:sz w:val="18"/>
              </w:rPr>
              <w:t>40.7%</w:t>
            </w:r>
          </w:p>
        </w:tc>
      </w:tr>
      <w:tr w:rsidR="00A62ECF">
        <w:trPr>
          <w:trHeight w:val="360"/>
        </w:trPr>
        <w:tc>
          <w:tcPr>
            <w:tcW w:w="800" w:type="dxa"/>
            <w:tcBorders>
              <w:top w:val="single" w:sz="4" w:space="0" w:color="808080"/>
              <w:left w:val="single" w:sz="4" w:space="0" w:color="808080"/>
              <w:bottom w:val="single" w:sz="4" w:space="0" w:color="808080"/>
              <w:right w:val="single" w:sz="4" w:space="0" w:color="808080"/>
            </w:tcBorders>
          </w:tcPr>
          <w:p w:rsidR="00A62ECF" w:rsidRDefault="00000000">
            <w:pPr>
              <w:spacing w:after="0" w:line="259" w:lineRule="auto"/>
              <w:ind w:left="0" w:firstLine="0"/>
            </w:pPr>
            <w:r>
              <w:rPr>
                <w:sz w:val="18"/>
              </w:rPr>
              <w:lastRenderedPageBreak/>
              <w:t>60</w:t>
            </w:r>
          </w:p>
        </w:tc>
        <w:tc>
          <w:tcPr>
            <w:tcW w:w="2341" w:type="dxa"/>
            <w:tcBorders>
              <w:top w:val="single" w:sz="4" w:space="0" w:color="808080"/>
              <w:left w:val="single" w:sz="4" w:space="0" w:color="808080"/>
              <w:bottom w:val="single" w:sz="4" w:space="0" w:color="808080"/>
              <w:right w:val="single" w:sz="4" w:space="0" w:color="808080"/>
            </w:tcBorders>
          </w:tcPr>
          <w:p w:rsidR="00A62ECF" w:rsidRDefault="00000000">
            <w:pPr>
              <w:spacing w:after="0" w:line="259" w:lineRule="auto"/>
              <w:ind w:left="0" w:firstLine="0"/>
              <w:jc w:val="center"/>
            </w:pPr>
            <w:r>
              <w:rPr>
                <w:sz w:val="18"/>
              </w:rPr>
              <w:t>36.4%</w:t>
            </w:r>
          </w:p>
        </w:tc>
        <w:tc>
          <w:tcPr>
            <w:tcW w:w="2561" w:type="dxa"/>
            <w:tcBorders>
              <w:top w:val="single" w:sz="4" w:space="0" w:color="808080"/>
              <w:left w:val="single" w:sz="4" w:space="0" w:color="808080"/>
              <w:bottom w:val="single" w:sz="4" w:space="0" w:color="808080"/>
              <w:right w:val="single" w:sz="4" w:space="0" w:color="808080"/>
            </w:tcBorders>
          </w:tcPr>
          <w:p w:rsidR="00A62ECF" w:rsidRDefault="00000000">
            <w:pPr>
              <w:spacing w:after="0" w:line="259" w:lineRule="auto"/>
              <w:ind w:left="0" w:firstLine="0"/>
              <w:jc w:val="center"/>
            </w:pPr>
            <w:r>
              <w:rPr>
                <w:sz w:val="18"/>
              </w:rPr>
              <w:t>34.4%</w:t>
            </w:r>
          </w:p>
        </w:tc>
      </w:tr>
      <w:tr w:rsidR="00A62ECF">
        <w:trPr>
          <w:trHeight w:val="360"/>
        </w:trPr>
        <w:tc>
          <w:tcPr>
            <w:tcW w:w="800" w:type="dxa"/>
            <w:tcBorders>
              <w:top w:val="single" w:sz="4" w:space="0" w:color="808080"/>
              <w:left w:val="single" w:sz="4" w:space="0" w:color="808080"/>
              <w:bottom w:val="single" w:sz="4" w:space="0" w:color="808080"/>
              <w:right w:val="single" w:sz="4" w:space="0" w:color="808080"/>
            </w:tcBorders>
          </w:tcPr>
          <w:p w:rsidR="00A62ECF" w:rsidRDefault="00000000">
            <w:pPr>
              <w:spacing w:after="0" w:line="259" w:lineRule="auto"/>
              <w:ind w:left="0" w:firstLine="0"/>
            </w:pPr>
            <w:r>
              <w:rPr>
                <w:sz w:val="18"/>
              </w:rPr>
              <w:t>80</w:t>
            </w:r>
          </w:p>
        </w:tc>
        <w:tc>
          <w:tcPr>
            <w:tcW w:w="2341" w:type="dxa"/>
            <w:tcBorders>
              <w:top w:val="single" w:sz="4" w:space="0" w:color="808080"/>
              <w:left w:val="single" w:sz="4" w:space="0" w:color="808080"/>
              <w:bottom w:val="single" w:sz="4" w:space="0" w:color="808080"/>
              <w:right w:val="single" w:sz="4" w:space="0" w:color="808080"/>
            </w:tcBorders>
          </w:tcPr>
          <w:p w:rsidR="00A62ECF" w:rsidRDefault="00000000">
            <w:pPr>
              <w:spacing w:after="0" w:line="259" w:lineRule="auto"/>
              <w:ind w:left="0" w:firstLine="0"/>
              <w:jc w:val="center"/>
            </w:pPr>
            <w:r>
              <w:rPr>
                <w:sz w:val="18"/>
              </w:rPr>
              <w:t>33.9%</w:t>
            </w:r>
          </w:p>
        </w:tc>
        <w:tc>
          <w:tcPr>
            <w:tcW w:w="2561" w:type="dxa"/>
            <w:tcBorders>
              <w:top w:val="single" w:sz="4" w:space="0" w:color="808080"/>
              <w:left w:val="single" w:sz="4" w:space="0" w:color="808080"/>
              <w:bottom w:val="single" w:sz="4" w:space="0" w:color="808080"/>
              <w:right w:val="single" w:sz="4" w:space="0" w:color="808080"/>
            </w:tcBorders>
          </w:tcPr>
          <w:p w:rsidR="00A62ECF" w:rsidRDefault="00000000">
            <w:pPr>
              <w:spacing w:after="0" w:line="259" w:lineRule="auto"/>
              <w:ind w:left="0" w:firstLine="0"/>
              <w:jc w:val="center"/>
            </w:pPr>
            <w:r>
              <w:rPr>
                <w:sz w:val="18"/>
              </w:rPr>
              <w:t>30.9%</w:t>
            </w:r>
          </w:p>
        </w:tc>
      </w:tr>
      <w:tr w:rsidR="00A62ECF">
        <w:trPr>
          <w:trHeight w:val="360"/>
        </w:trPr>
        <w:tc>
          <w:tcPr>
            <w:tcW w:w="800" w:type="dxa"/>
            <w:tcBorders>
              <w:top w:val="single" w:sz="4" w:space="0" w:color="808080"/>
              <w:left w:val="single" w:sz="4" w:space="0" w:color="808080"/>
              <w:bottom w:val="single" w:sz="4" w:space="0" w:color="808080"/>
              <w:right w:val="single" w:sz="4" w:space="0" w:color="808080"/>
            </w:tcBorders>
          </w:tcPr>
          <w:p w:rsidR="00A62ECF" w:rsidRDefault="00000000">
            <w:pPr>
              <w:spacing w:after="0" w:line="259" w:lineRule="auto"/>
              <w:ind w:left="0" w:firstLine="0"/>
            </w:pPr>
            <w:r>
              <w:rPr>
                <w:sz w:val="18"/>
              </w:rPr>
              <w:t>100</w:t>
            </w:r>
          </w:p>
        </w:tc>
        <w:tc>
          <w:tcPr>
            <w:tcW w:w="2341" w:type="dxa"/>
            <w:tcBorders>
              <w:top w:val="single" w:sz="4" w:space="0" w:color="808080"/>
              <w:left w:val="single" w:sz="4" w:space="0" w:color="808080"/>
              <w:bottom w:val="single" w:sz="4" w:space="0" w:color="808080"/>
              <w:right w:val="single" w:sz="4" w:space="0" w:color="808080"/>
            </w:tcBorders>
          </w:tcPr>
          <w:p w:rsidR="00A62ECF" w:rsidRDefault="00000000">
            <w:pPr>
              <w:spacing w:after="0" w:line="259" w:lineRule="auto"/>
              <w:ind w:left="0" w:firstLine="0"/>
              <w:jc w:val="center"/>
            </w:pPr>
            <w:r>
              <w:rPr>
                <w:sz w:val="18"/>
              </w:rPr>
              <w:t>43.4%</w:t>
            </w:r>
          </w:p>
        </w:tc>
        <w:tc>
          <w:tcPr>
            <w:tcW w:w="2561" w:type="dxa"/>
            <w:tcBorders>
              <w:top w:val="single" w:sz="4" w:space="0" w:color="808080"/>
              <w:left w:val="single" w:sz="4" w:space="0" w:color="808080"/>
              <w:bottom w:val="single" w:sz="4" w:space="0" w:color="808080"/>
              <w:right w:val="single" w:sz="4" w:space="0" w:color="808080"/>
            </w:tcBorders>
          </w:tcPr>
          <w:p w:rsidR="00A62ECF" w:rsidRDefault="00000000">
            <w:pPr>
              <w:spacing w:after="0" w:line="259" w:lineRule="auto"/>
              <w:ind w:left="0" w:firstLine="0"/>
              <w:jc w:val="center"/>
            </w:pPr>
            <w:r>
              <w:rPr>
                <w:sz w:val="18"/>
              </w:rPr>
              <w:t>24.2%</w:t>
            </w:r>
          </w:p>
        </w:tc>
      </w:tr>
    </w:tbl>
    <w:p w:rsidR="00A62ECF" w:rsidRDefault="00000000">
      <w:r>
        <w:br w:type="page"/>
      </w:r>
    </w:p>
    <w:p w:rsidR="00A62ECF" w:rsidRDefault="00000000">
      <w:pPr>
        <w:spacing w:after="171" w:line="259" w:lineRule="auto"/>
        <w:ind w:left="240" w:firstLine="0"/>
      </w:pPr>
      <w:r>
        <w:rPr>
          <w:noProof/>
        </w:rPr>
        <w:lastRenderedPageBreak/>
        <w:drawing>
          <wp:inline distT="0" distB="0" distL="0" distR="0">
            <wp:extent cx="5943600" cy="4114800"/>
            <wp:effectExtent l="0" t="0" r="0" b="0"/>
            <wp:docPr id="129" name="Picture 129"/>
            <wp:cNvGraphicFramePr/>
            <a:graphic xmlns:a="http://schemas.openxmlformats.org/drawingml/2006/main">
              <a:graphicData uri="http://schemas.openxmlformats.org/drawingml/2006/picture">
                <pic:pic xmlns:pic="http://schemas.openxmlformats.org/drawingml/2006/picture">
                  <pic:nvPicPr>
                    <pic:cNvPr id="129" name="Picture 129"/>
                    <pic:cNvPicPr/>
                  </pic:nvPicPr>
                  <pic:blipFill>
                    <a:blip r:embed="rId6"/>
                    <a:stretch>
                      <a:fillRect/>
                    </a:stretch>
                  </pic:blipFill>
                  <pic:spPr>
                    <a:xfrm>
                      <a:off x="0" y="0"/>
                      <a:ext cx="5943600" cy="4114800"/>
                    </a:xfrm>
                    <a:prstGeom prst="rect">
                      <a:avLst/>
                    </a:prstGeom>
                  </pic:spPr>
                </pic:pic>
              </a:graphicData>
            </a:graphic>
          </wp:inline>
        </w:drawing>
      </w:r>
    </w:p>
    <w:p w:rsidR="00A62ECF" w:rsidRDefault="00000000">
      <w:pPr>
        <w:spacing w:after="15" w:line="265" w:lineRule="auto"/>
        <w:ind w:left="-5"/>
      </w:pPr>
      <w:r>
        <w:rPr>
          <w:color w:val="808080"/>
          <w:sz w:val="18"/>
        </w:rPr>
        <w:t xml:space="preserve">Figure 1. Mean endurance time (ET) curves for males and females with individual points and </w:t>
      </w:r>
      <w:proofErr w:type="spellStart"/>
      <w:r>
        <w:rPr>
          <w:color w:val="808080"/>
          <w:sz w:val="18"/>
        </w:rPr>
        <w:t>Rohmert</w:t>
      </w:r>
      <w:proofErr w:type="spellEnd"/>
      <w:r>
        <w:rPr>
          <w:color w:val="808080"/>
          <w:sz w:val="18"/>
        </w:rPr>
        <w:t xml:space="preserve"> curve.</w:t>
      </w:r>
    </w:p>
    <w:p w:rsidR="00A62ECF" w:rsidRDefault="00000000">
      <w:pPr>
        <w:spacing w:after="171" w:line="259" w:lineRule="auto"/>
        <w:ind w:left="240" w:firstLine="0"/>
      </w:pPr>
      <w:r>
        <w:rPr>
          <w:noProof/>
        </w:rPr>
        <w:lastRenderedPageBreak/>
        <w:drawing>
          <wp:inline distT="0" distB="0" distL="0" distR="0">
            <wp:extent cx="5943600" cy="4114800"/>
            <wp:effectExtent l="0" t="0" r="0" b="0"/>
            <wp:docPr id="134" name="Picture 134"/>
            <wp:cNvGraphicFramePr/>
            <a:graphic xmlns:a="http://schemas.openxmlformats.org/drawingml/2006/main">
              <a:graphicData uri="http://schemas.openxmlformats.org/drawingml/2006/picture">
                <pic:pic xmlns:pic="http://schemas.openxmlformats.org/drawingml/2006/picture">
                  <pic:nvPicPr>
                    <pic:cNvPr id="134" name="Picture 134"/>
                    <pic:cNvPicPr/>
                  </pic:nvPicPr>
                  <pic:blipFill>
                    <a:blip r:embed="rId7"/>
                    <a:stretch>
                      <a:fillRect/>
                    </a:stretch>
                  </pic:blipFill>
                  <pic:spPr>
                    <a:xfrm>
                      <a:off x="0" y="0"/>
                      <a:ext cx="5943600" cy="4114800"/>
                    </a:xfrm>
                    <a:prstGeom prst="rect">
                      <a:avLst/>
                    </a:prstGeom>
                  </pic:spPr>
                </pic:pic>
              </a:graphicData>
            </a:graphic>
          </wp:inline>
        </w:drawing>
      </w:r>
    </w:p>
    <w:p w:rsidR="00A62ECF" w:rsidRDefault="00000000">
      <w:pPr>
        <w:spacing w:after="15" w:line="265" w:lineRule="auto"/>
        <w:ind w:left="-5"/>
      </w:pPr>
      <w:r>
        <w:rPr>
          <w:color w:val="808080"/>
          <w:sz w:val="18"/>
        </w:rPr>
        <w:t>Figure 2. Percent strength loss by %MVC (clustered by sex) with individual points.</w:t>
      </w:r>
    </w:p>
    <w:p w:rsidR="00A62ECF" w:rsidRDefault="00000000">
      <w:pPr>
        <w:spacing w:after="171" w:line="259" w:lineRule="auto"/>
        <w:ind w:left="240" w:firstLine="0"/>
      </w:pPr>
      <w:r>
        <w:rPr>
          <w:noProof/>
        </w:rPr>
        <w:lastRenderedPageBreak/>
        <w:drawing>
          <wp:inline distT="0" distB="0" distL="0" distR="0">
            <wp:extent cx="5943600" cy="4114800"/>
            <wp:effectExtent l="0" t="0" r="0" b="0"/>
            <wp:docPr id="139" name="Picture 139"/>
            <wp:cNvGraphicFramePr/>
            <a:graphic xmlns:a="http://schemas.openxmlformats.org/drawingml/2006/main">
              <a:graphicData uri="http://schemas.openxmlformats.org/drawingml/2006/picture">
                <pic:pic xmlns:pic="http://schemas.openxmlformats.org/drawingml/2006/picture">
                  <pic:nvPicPr>
                    <pic:cNvPr id="139" name="Picture 139"/>
                    <pic:cNvPicPr/>
                  </pic:nvPicPr>
                  <pic:blipFill>
                    <a:blip r:embed="rId8"/>
                    <a:stretch>
                      <a:fillRect/>
                    </a:stretch>
                  </pic:blipFill>
                  <pic:spPr>
                    <a:xfrm>
                      <a:off x="0" y="0"/>
                      <a:ext cx="5943600" cy="4114800"/>
                    </a:xfrm>
                    <a:prstGeom prst="rect">
                      <a:avLst/>
                    </a:prstGeom>
                  </pic:spPr>
                </pic:pic>
              </a:graphicData>
            </a:graphic>
          </wp:inline>
        </w:drawing>
      </w:r>
    </w:p>
    <w:p w:rsidR="00A62ECF" w:rsidRDefault="00000000">
      <w:pPr>
        <w:spacing w:after="15" w:line="265" w:lineRule="auto"/>
        <w:ind w:left="-5"/>
      </w:pPr>
      <w:r>
        <w:rPr>
          <w:color w:val="808080"/>
          <w:sz w:val="18"/>
        </w:rPr>
        <w:t>Figure 3. RPE vs time at 20% MVC with linear trends for each participant.</w:t>
      </w:r>
    </w:p>
    <w:p w:rsidR="00A62ECF" w:rsidRDefault="00000000">
      <w:pPr>
        <w:spacing w:after="171" w:line="259" w:lineRule="auto"/>
        <w:ind w:left="240" w:firstLine="0"/>
      </w:pPr>
      <w:r>
        <w:rPr>
          <w:noProof/>
        </w:rPr>
        <w:lastRenderedPageBreak/>
        <w:drawing>
          <wp:inline distT="0" distB="0" distL="0" distR="0">
            <wp:extent cx="5943600" cy="4114800"/>
            <wp:effectExtent l="0" t="0" r="0" b="0"/>
            <wp:docPr id="144" name="Picture 144"/>
            <wp:cNvGraphicFramePr/>
            <a:graphic xmlns:a="http://schemas.openxmlformats.org/drawingml/2006/main">
              <a:graphicData uri="http://schemas.openxmlformats.org/drawingml/2006/picture">
                <pic:pic xmlns:pic="http://schemas.openxmlformats.org/drawingml/2006/picture">
                  <pic:nvPicPr>
                    <pic:cNvPr id="144" name="Picture 144"/>
                    <pic:cNvPicPr/>
                  </pic:nvPicPr>
                  <pic:blipFill>
                    <a:blip r:embed="rId9"/>
                    <a:stretch>
                      <a:fillRect/>
                    </a:stretch>
                  </pic:blipFill>
                  <pic:spPr>
                    <a:xfrm>
                      <a:off x="0" y="0"/>
                      <a:ext cx="5943600" cy="4114800"/>
                    </a:xfrm>
                    <a:prstGeom prst="rect">
                      <a:avLst/>
                    </a:prstGeom>
                  </pic:spPr>
                </pic:pic>
              </a:graphicData>
            </a:graphic>
          </wp:inline>
        </w:drawing>
      </w:r>
    </w:p>
    <w:p w:rsidR="00A62ECF" w:rsidRDefault="00000000">
      <w:pPr>
        <w:spacing w:after="15" w:line="265" w:lineRule="auto"/>
        <w:ind w:left="-5"/>
      </w:pPr>
      <w:r>
        <w:rPr>
          <w:color w:val="808080"/>
          <w:sz w:val="18"/>
        </w:rPr>
        <w:t>Figure 4a. EMG RMS over time (P1; extensor; 10 s windows).</w:t>
      </w:r>
    </w:p>
    <w:p w:rsidR="00A62ECF" w:rsidRDefault="00000000">
      <w:pPr>
        <w:spacing w:after="171" w:line="259" w:lineRule="auto"/>
        <w:ind w:left="240" w:firstLine="0"/>
      </w:pPr>
      <w:r>
        <w:rPr>
          <w:noProof/>
        </w:rPr>
        <w:lastRenderedPageBreak/>
        <w:drawing>
          <wp:inline distT="0" distB="0" distL="0" distR="0">
            <wp:extent cx="5943600" cy="4114800"/>
            <wp:effectExtent l="0" t="0" r="0" b="0"/>
            <wp:docPr id="149" name="Picture 149"/>
            <wp:cNvGraphicFramePr/>
            <a:graphic xmlns:a="http://schemas.openxmlformats.org/drawingml/2006/main">
              <a:graphicData uri="http://schemas.openxmlformats.org/drawingml/2006/picture">
                <pic:pic xmlns:pic="http://schemas.openxmlformats.org/drawingml/2006/picture">
                  <pic:nvPicPr>
                    <pic:cNvPr id="149" name="Picture 149"/>
                    <pic:cNvPicPr/>
                  </pic:nvPicPr>
                  <pic:blipFill>
                    <a:blip r:embed="rId10"/>
                    <a:stretch>
                      <a:fillRect/>
                    </a:stretch>
                  </pic:blipFill>
                  <pic:spPr>
                    <a:xfrm>
                      <a:off x="0" y="0"/>
                      <a:ext cx="5943600" cy="4114800"/>
                    </a:xfrm>
                    <a:prstGeom prst="rect">
                      <a:avLst/>
                    </a:prstGeom>
                  </pic:spPr>
                </pic:pic>
              </a:graphicData>
            </a:graphic>
          </wp:inline>
        </w:drawing>
      </w:r>
    </w:p>
    <w:p w:rsidR="00A62ECF" w:rsidRDefault="00000000">
      <w:pPr>
        <w:spacing w:after="15" w:line="265" w:lineRule="auto"/>
        <w:ind w:left="-5"/>
      </w:pPr>
      <w:r>
        <w:rPr>
          <w:color w:val="808080"/>
          <w:sz w:val="18"/>
        </w:rPr>
        <w:t>Figure 4c. EMG median power frequency over time (P1; extensor; 10 s windows).</w:t>
      </w:r>
    </w:p>
    <w:p w:rsidR="00A62ECF" w:rsidRDefault="00000000">
      <w:pPr>
        <w:spacing w:after="171" w:line="259" w:lineRule="auto"/>
        <w:ind w:left="240" w:firstLine="0"/>
      </w:pPr>
      <w:r>
        <w:rPr>
          <w:noProof/>
        </w:rPr>
        <w:lastRenderedPageBreak/>
        <w:drawing>
          <wp:inline distT="0" distB="0" distL="0" distR="0">
            <wp:extent cx="5943600" cy="4114800"/>
            <wp:effectExtent l="0" t="0" r="0" b="0"/>
            <wp:docPr id="154" name="Picture 154"/>
            <wp:cNvGraphicFramePr/>
            <a:graphic xmlns:a="http://schemas.openxmlformats.org/drawingml/2006/main">
              <a:graphicData uri="http://schemas.openxmlformats.org/drawingml/2006/picture">
                <pic:pic xmlns:pic="http://schemas.openxmlformats.org/drawingml/2006/picture">
                  <pic:nvPicPr>
                    <pic:cNvPr id="154" name="Picture 154"/>
                    <pic:cNvPicPr/>
                  </pic:nvPicPr>
                  <pic:blipFill>
                    <a:blip r:embed="rId11"/>
                    <a:stretch>
                      <a:fillRect/>
                    </a:stretch>
                  </pic:blipFill>
                  <pic:spPr>
                    <a:xfrm>
                      <a:off x="0" y="0"/>
                      <a:ext cx="5943600" cy="4114800"/>
                    </a:xfrm>
                    <a:prstGeom prst="rect">
                      <a:avLst/>
                    </a:prstGeom>
                  </pic:spPr>
                </pic:pic>
              </a:graphicData>
            </a:graphic>
          </wp:inline>
        </w:drawing>
      </w:r>
    </w:p>
    <w:p w:rsidR="00A62ECF" w:rsidRDefault="00000000">
      <w:pPr>
        <w:spacing w:after="15" w:line="265" w:lineRule="auto"/>
        <w:ind w:left="-5"/>
      </w:pPr>
      <w:r>
        <w:rPr>
          <w:color w:val="808080"/>
          <w:sz w:val="18"/>
        </w:rPr>
        <w:t>Figure 5a. RPE vs EMG RMS (P1; 20% MVC; EMG resampled to 30 s).</w:t>
      </w:r>
    </w:p>
    <w:p w:rsidR="00A62ECF" w:rsidRDefault="00000000">
      <w:pPr>
        <w:spacing w:after="171" w:line="259" w:lineRule="auto"/>
        <w:ind w:left="240" w:firstLine="0"/>
      </w:pPr>
      <w:r>
        <w:rPr>
          <w:noProof/>
        </w:rPr>
        <w:lastRenderedPageBreak/>
        <w:drawing>
          <wp:inline distT="0" distB="0" distL="0" distR="0">
            <wp:extent cx="5943600" cy="4114800"/>
            <wp:effectExtent l="0" t="0" r="0" b="0"/>
            <wp:docPr id="159" name="Picture 159"/>
            <wp:cNvGraphicFramePr/>
            <a:graphic xmlns:a="http://schemas.openxmlformats.org/drawingml/2006/main">
              <a:graphicData uri="http://schemas.openxmlformats.org/drawingml/2006/picture">
                <pic:pic xmlns:pic="http://schemas.openxmlformats.org/drawingml/2006/picture">
                  <pic:nvPicPr>
                    <pic:cNvPr id="159" name="Picture 159"/>
                    <pic:cNvPicPr/>
                  </pic:nvPicPr>
                  <pic:blipFill>
                    <a:blip r:embed="rId12"/>
                    <a:stretch>
                      <a:fillRect/>
                    </a:stretch>
                  </pic:blipFill>
                  <pic:spPr>
                    <a:xfrm>
                      <a:off x="0" y="0"/>
                      <a:ext cx="5943600" cy="4114800"/>
                    </a:xfrm>
                    <a:prstGeom prst="rect">
                      <a:avLst/>
                    </a:prstGeom>
                  </pic:spPr>
                </pic:pic>
              </a:graphicData>
            </a:graphic>
          </wp:inline>
        </w:drawing>
      </w:r>
    </w:p>
    <w:p w:rsidR="00A62ECF" w:rsidRDefault="00000000">
      <w:pPr>
        <w:spacing w:after="652" w:line="265" w:lineRule="auto"/>
        <w:ind w:left="-5"/>
      </w:pPr>
      <w:r>
        <w:rPr>
          <w:color w:val="808080"/>
          <w:sz w:val="18"/>
        </w:rPr>
        <w:t>Figure 5b. RPE vs EMG MPF (P1; 20% MVC; EMG resampled to 30 s).</w:t>
      </w:r>
    </w:p>
    <w:p w:rsidR="00A62ECF" w:rsidRDefault="00000000">
      <w:pPr>
        <w:pStyle w:val="Heading1"/>
        <w:ind w:left="-5"/>
      </w:pPr>
      <w:r>
        <w:t>Discussion</w:t>
      </w:r>
    </w:p>
    <w:p w:rsidR="00A62ECF" w:rsidRDefault="00B43F87">
      <w:pPr>
        <w:ind w:left="-5"/>
      </w:pPr>
      <w:r>
        <w:br/>
      </w:r>
      <w:r w:rsidR="00000000">
        <w:t>Across the five intensity levels, the fatigue measures changed in the expected direction. Endurance time dropped as %MVC increased (Figure 1), and the steep decline between 20% and 60% MVC matched what we saw during data collection: even small increases in required force made the hold feel much less steady and much more time-limited. At 100% MVC, several trials were recorded as 0 s, so the 100% point is best treated as an immediate failure/transition point rather than a smooth continuation of the endurance curve.</w:t>
      </w:r>
    </w:p>
    <w:p w:rsidR="00A62ECF" w:rsidRDefault="00000000">
      <w:pPr>
        <w:ind w:left="-5"/>
      </w:pPr>
      <w:r>
        <w:t xml:space="preserve">Compared with </w:t>
      </w:r>
      <w:proofErr w:type="spellStart"/>
      <w:r>
        <w:t>Rohmert’s</w:t>
      </w:r>
      <w:proofErr w:type="spellEnd"/>
      <w:r>
        <w:t xml:space="preserve"> curve, our class endurance times were generally lower, especially at 20–40% MVC (Figure 1). </w:t>
      </w:r>
      <w:proofErr w:type="spellStart"/>
      <w:r>
        <w:t>Rohmert’s</w:t>
      </w:r>
      <w:proofErr w:type="spellEnd"/>
      <w:r>
        <w:t xml:space="preserve"> curve is an idealized reference built from controlled conditions, while our lab trials included normal variation in force matching, grip technique, dynamometer fit, and how strictly each person treated the “can’t maintain it anymore” endpoint. Even the effort of staying exactly on the target can shorten the hold.</w:t>
      </w:r>
    </w:p>
    <w:p w:rsidR="00A62ECF" w:rsidRDefault="00000000">
      <w:pPr>
        <w:ind w:left="-5"/>
      </w:pPr>
      <w:r>
        <w:t>Variability was visible in the individual data points. Differences in hand size, forearm posture, and whether someone unintentionally recruited the shoulder/upper arm can shift the load between muscle groups. Motivation and pain tolerance also matter because the endpoint is voluntary. Finally, the randomized trial order helps, but a participant’s pacing strategy and how they recovered during the 10-minute rest window can still influence later trials.</w:t>
      </w:r>
    </w:p>
    <w:p w:rsidR="00A62ECF" w:rsidRDefault="00000000">
      <w:pPr>
        <w:ind w:left="-5"/>
      </w:pPr>
      <w:r>
        <w:lastRenderedPageBreak/>
        <w:t>Strength loss showed moderate-to-large drops across trials (Figure 2). Because the post-MVC is taken right after exhaustion, timing and coaching make a big difference: a small delay, inconsistent encouragement, or difficulty ramping back up quickly can change the measured loss even if the underlying fatigue is similar.</w:t>
      </w:r>
    </w:p>
    <w:p w:rsidR="00A62ECF" w:rsidRDefault="00000000">
      <w:pPr>
        <w:ind w:left="-5"/>
      </w:pPr>
      <w:r>
        <w:t>RPE increased over time during sustained effort (Figure 3). Using a linear fit at 20% MVC, the average slope was about 3.67 RPE units per minute for males and 2.97 units per minute for females in this dataset. RPE is useful because it is fast to collect and it captured clear within-trial changes even when endurance times differed across participants.</w:t>
      </w:r>
    </w:p>
    <w:p w:rsidR="00A62ECF" w:rsidRDefault="00000000">
      <w:pPr>
        <w:ind w:left="-5"/>
      </w:pPr>
      <w:r>
        <w:t>For the EMG participant (P1), RMS rose over time and MPF declined (Figure 4), consistent with increased recruitment and a fatigue-related shift of the power spectrum to lower frequencies. The extensor RMS slope at 20% MVC was about 0.118 per second (10 s windows) and MPF decreased at about -0.386 Hz per second; at 40% MVC the changes were steeper (RMS 0.989 per second; MPF -1.652 Hz per second).</w:t>
      </w:r>
    </w:p>
    <w:p w:rsidR="00A62ECF" w:rsidRDefault="00000000">
      <w:pPr>
        <w:ind w:left="-5"/>
      </w:pPr>
      <w:r>
        <w:t>When EMG was resampled to 30-second bins, RPE tracked EMG changes closely for P1 at 20% MVC: RPE and extensor RMS were strongly positively correlated (r = 0.994), while RPE and extensor MPF were strongly negatively correlated (r = -0.982) (Figure 5).</w:t>
      </w:r>
    </w:p>
    <w:p w:rsidR="00A62ECF" w:rsidRDefault="00000000">
      <w:pPr>
        <w:ind w:left="-5"/>
      </w:pPr>
      <w:r>
        <w:t>Each measure has advantages and limitations. ET is simple and intuitive, but it depends heavily on motivation and how tightly the target force is enforced. Strength loss is more objective, but it still depends on effort during the post-MVC and the timing right after exhaustion. RPE is low-cost and surprisingly informative, but it is subjective and scale interpretation differs across people. EMG provides physiological detail (amplitude and spectral shifts), but it requires careful electrode placement, low-noise recording, and thoughtful processing; short trials can also limit slope estimates.</w:t>
      </w:r>
    </w:p>
    <w:p w:rsidR="00A62ECF" w:rsidRDefault="00000000">
      <w:pPr>
        <w:ind w:left="-5"/>
      </w:pPr>
      <w:r>
        <w:t>From an occupational perspective, these results highlight why sustained high-force gripping is risky: endurance drops quickly as force demand rises, so workers reach fatigue sooner and may compensate with awkward postures or higher co-contraction. For routine workplace monitoring, RPE and simple task-based endurance checks are the most feasible. Strength testing can be added for higher-risk jobs or for pre/post shift screening. EMG is best used for targeted evaluations or redesign studies. Practical improvements include reducing required grip force (better handle design, power-assisted tools), adding micro-breaks, rotating tasks to vary muscle use, and training workers to avoid sustained pinch and excessive wrist deviation.</w:t>
      </w:r>
    </w:p>
    <w:sectPr w:rsidR="00A62ECF">
      <w:headerReference w:type="even" r:id="rId13"/>
      <w:headerReference w:type="default" r:id="rId14"/>
      <w:pgSz w:w="12240" w:h="15840"/>
      <w:pgMar w:top="1200" w:right="1200" w:bottom="1359" w:left="12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B86C99" w:rsidRDefault="00B86C99" w:rsidP="00B43F87">
      <w:pPr>
        <w:spacing w:after="0" w:line="240" w:lineRule="auto"/>
      </w:pPr>
      <w:r>
        <w:separator/>
      </w:r>
    </w:p>
  </w:endnote>
  <w:endnote w:type="continuationSeparator" w:id="0">
    <w:p w:rsidR="00B86C99" w:rsidRDefault="00B86C99" w:rsidP="00B43F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rinda">
    <w:panose1 w:val="020B0502040204020203"/>
    <w:charset w:val="00"/>
    <w:family w:val="swiss"/>
    <w:pitch w:val="variable"/>
    <w:sig w:usb0="0001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B86C99" w:rsidRDefault="00B86C99" w:rsidP="00B43F87">
      <w:pPr>
        <w:spacing w:after="0" w:line="240" w:lineRule="auto"/>
      </w:pPr>
      <w:r>
        <w:separator/>
      </w:r>
    </w:p>
  </w:footnote>
  <w:footnote w:type="continuationSeparator" w:id="0">
    <w:p w:rsidR="00B86C99" w:rsidRDefault="00B86C99" w:rsidP="00B43F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490096110"/>
      <w:docPartObj>
        <w:docPartGallery w:val="Page Numbers (Top of Page)"/>
        <w:docPartUnique/>
      </w:docPartObj>
    </w:sdtPr>
    <w:sdtContent>
      <w:p w:rsidR="00B43F87" w:rsidRDefault="00B43F87" w:rsidP="00F33DC7">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rsidR="00B43F87" w:rsidRDefault="00B43F87" w:rsidP="00B43F87">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529906799"/>
      <w:docPartObj>
        <w:docPartGallery w:val="Page Numbers (Top of Page)"/>
        <w:docPartUnique/>
      </w:docPartObj>
    </w:sdtPr>
    <w:sdtContent>
      <w:p w:rsidR="00B43F87" w:rsidRDefault="00B43F87" w:rsidP="00F33DC7">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rsidR="00B43F87" w:rsidRDefault="00B43F87" w:rsidP="00B43F87">
    <w:pPr>
      <w:pStyle w:val="Header"/>
      <w:ind w:right="3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1"/>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2ECF"/>
    <w:rsid w:val="00A62ECF"/>
    <w:rsid w:val="00B43F87"/>
    <w:rsid w:val="00B86C99"/>
  </w:rsids>
  <m:mathPr>
    <m:mathFont m:val="Cambria Math"/>
    <m:brkBin m:val="before"/>
    <m:brkBinSub m:val="--"/>
    <m:smallFrac m:val="0"/>
    <m:dispDef/>
    <m:lMargin m:val="0"/>
    <m:rMargin m:val="0"/>
    <m:defJc m:val="centerGroup"/>
    <m:wrapIndent m:val="1440"/>
    <m:intLim m:val="subSup"/>
    <m:naryLim m:val="undOvr"/>
  </m:mathPr>
  <w:themeFontLang w:val="en-IN"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E7C530"/>
  <w15:docId w15:val="{61C2EF95-57C4-D549-B517-9479564FBC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30"/>
        <w:lang w:val="en-IN" w:eastAsia="en-GB" w:bidi="bn-IN"/>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38" w:line="292" w:lineRule="auto"/>
      <w:ind w:left="10" w:hanging="10"/>
    </w:pPr>
    <w:rPr>
      <w:rFonts w:ascii="Arial" w:eastAsia="Arial" w:hAnsi="Arial" w:cs="Arial"/>
      <w:color w:val="000000"/>
      <w:sz w:val="20"/>
    </w:rPr>
  </w:style>
  <w:style w:type="paragraph" w:styleId="Heading1">
    <w:name w:val="heading 1"/>
    <w:next w:val="Normal"/>
    <w:link w:val="Heading1Char"/>
    <w:uiPriority w:val="9"/>
    <w:qFormat/>
    <w:pPr>
      <w:keepNext/>
      <w:keepLines/>
      <w:spacing w:after="52" w:line="259" w:lineRule="auto"/>
      <w:ind w:left="10" w:hanging="10"/>
      <w:outlineLvl w:val="0"/>
    </w:pPr>
    <w:rPr>
      <w:rFonts w:ascii="Arial" w:eastAsia="Arial" w:hAnsi="Arial" w:cs="Arial"/>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8"/>
    </w:rPr>
  </w:style>
  <w:style w:type="table" w:customStyle="1" w:styleId="TableGrid">
    <w:name w:val="TableGrid"/>
    <w:tblPr>
      <w:tblCellMar>
        <w:top w:w="0" w:type="dxa"/>
        <w:left w:w="0" w:type="dxa"/>
        <w:bottom w:w="0" w:type="dxa"/>
        <w:right w:w="0" w:type="dxa"/>
      </w:tblCellMar>
    </w:tblPr>
  </w:style>
  <w:style w:type="paragraph" w:styleId="Header">
    <w:name w:val="header"/>
    <w:basedOn w:val="Normal"/>
    <w:link w:val="HeaderChar"/>
    <w:uiPriority w:val="99"/>
    <w:unhideWhenUsed/>
    <w:rsid w:val="00B43F87"/>
    <w:pPr>
      <w:tabs>
        <w:tab w:val="center" w:pos="4513"/>
        <w:tab w:val="right" w:pos="9026"/>
      </w:tabs>
      <w:spacing w:after="0" w:line="240" w:lineRule="auto"/>
    </w:pPr>
  </w:style>
  <w:style w:type="character" w:customStyle="1" w:styleId="HeaderChar">
    <w:name w:val="Header Char"/>
    <w:basedOn w:val="DefaultParagraphFont"/>
    <w:link w:val="Header"/>
    <w:uiPriority w:val="99"/>
    <w:rsid w:val="00B43F87"/>
    <w:rPr>
      <w:rFonts w:ascii="Arial" w:eastAsia="Arial" w:hAnsi="Arial" w:cs="Arial"/>
      <w:color w:val="000000"/>
      <w:sz w:val="20"/>
    </w:rPr>
  </w:style>
  <w:style w:type="character" w:styleId="PageNumber">
    <w:name w:val="page number"/>
    <w:basedOn w:val="DefaultParagraphFont"/>
    <w:uiPriority w:val="99"/>
    <w:semiHidden/>
    <w:unhideWhenUsed/>
    <w:rsid w:val="00B43F8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image" Target="media/image2.jpg"/><Relationship Id="rId12" Type="http://schemas.openxmlformats.org/officeDocument/2006/relationships/image" Target="media/image7.jp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jpg"/><Relationship Id="rId11" Type="http://schemas.openxmlformats.org/officeDocument/2006/relationships/image" Target="media/image6.jpg"/><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image" Target="media/image5.jpg"/><Relationship Id="rId4" Type="http://schemas.openxmlformats.org/officeDocument/2006/relationships/footnotes" Target="footnotes.xml"/><Relationship Id="rId9" Type="http://schemas.openxmlformats.org/officeDocument/2006/relationships/image" Target="media/image4.jp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1046</Words>
  <Characters>5963</Characters>
  <Application>Microsoft Office Word</Application>
  <DocSecurity>0</DocSecurity>
  <Lines>49</Lines>
  <Paragraphs>13</Paragraphs>
  <ScaleCrop>false</ScaleCrop>
  <Company/>
  <LinksUpToDate>false</LinksUpToDate>
  <CharactersWithSpaces>6996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cp:lastModifiedBy>vishwak reddy</cp:lastModifiedBy>
  <cp:revision>2</cp:revision>
  <dcterms:created xsi:type="dcterms:W3CDTF">2026-03-03T06:18:00Z</dcterms:created>
  <dcterms:modified xsi:type="dcterms:W3CDTF">2026-03-03T06:18:00Z</dcterms:modified>
</cp:coreProperties>
</file>