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E30B4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B6140D">
        <w:rPr>
          <w:rFonts w:ascii="Arial" w:eastAsia="Times New Roman" w:hAnsi="Arial" w:cs="Arial"/>
          <w:b/>
          <w:bCs/>
          <w:lang w:eastAsia="pt-BR"/>
        </w:rPr>
        <w:t>8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B6140D">
        <w:rPr>
          <w:rFonts w:ascii="Arial" w:eastAsia="Times New Roman" w:hAnsi="Arial" w:cs="Arial"/>
          <w:lang w:eastAsia="pt-BR"/>
        </w:rPr>
        <w:t>o acesso remoto a ativos/serviços de informação e recursos computacionais da SOLUS METAL DO BRASIL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8F3214" w:rsidRPr="009E5079" w:rsidRDefault="007B6939" w:rsidP="00E32A68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Estabele</w:t>
      </w:r>
      <w:r w:rsidR="00E32A68">
        <w:rPr>
          <w:rFonts w:ascii="Arial" w:eastAsia="Times New Roman" w:hAnsi="Arial" w:cs="Arial"/>
          <w:lang w:eastAsia="pt-BR"/>
        </w:rPr>
        <w:t xml:space="preserve">cer diretrizes </w:t>
      </w:r>
      <w:r w:rsidR="002C1481">
        <w:rPr>
          <w:rFonts w:ascii="Arial" w:eastAsia="Times New Roman" w:hAnsi="Arial" w:cs="Arial"/>
          <w:lang w:eastAsia="pt-BR"/>
        </w:rPr>
        <w:t xml:space="preserve">para </w:t>
      </w:r>
      <w:r w:rsidR="00B6140D">
        <w:rPr>
          <w:rFonts w:ascii="Arial" w:eastAsia="Times New Roman" w:hAnsi="Arial" w:cs="Arial"/>
          <w:lang w:eastAsia="pt-BR"/>
        </w:rPr>
        <w:t>o acesso remoto a ativos/serviços de informação e recursos computacionais da SOLUS METAL DO BRASIL, garantindo níveis adequados de proteção aos mesmos</w:t>
      </w:r>
      <w:r w:rsidR="008F3214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910846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B6140D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Concessão</w:t>
      </w:r>
      <w:r w:rsidR="00451AC5">
        <w:rPr>
          <w:rFonts w:ascii="Arial" w:eastAsia="Times New Roman" w:hAnsi="Arial" w:cs="Arial"/>
          <w:b/>
          <w:lang w:eastAsia="pt-BR"/>
        </w:rPr>
        <w:t xml:space="preserve"> e uso</w:t>
      </w:r>
      <w:r>
        <w:rPr>
          <w:rFonts w:ascii="Arial" w:eastAsia="Times New Roman" w:hAnsi="Arial" w:cs="Arial"/>
          <w:b/>
          <w:lang w:eastAsia="pt-BR"/>
        </w:rPr>
        <w:t xml:space="preserve"> do acesso remoto</w:t>
      </w:r>
    </w:p>
    <w:p w:rsidR="00E62BED" w:rsidRPr="009E5079" w:rsidRDefault="00E62BED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D2594" w:rsidRPr="00B6140D" w:rsidRDefault="00B6140D" w:rsidP="00B6140D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O a</w:t>
      </w:r>
      <w:r w:rsidRPr="00B6140D">
        <w:rPr>
          <w:rFonts w:ascii="Arial" w:hAnsi="Arial" w:cs="Arial"/>
        </w:rPr>
        <w:t xml:space="preserve">cesso </w:t>
      </w:r>
      <w:r>
        <w:rPr>
          <w:rFonts w:ascii="Arial" w:hAnsi="Arial" w:cs="Arial"/>
        </w:rPr>
        <w:t>r</w:t>
      </w:r>
      <w:r w:rsidRPr="00B6140D">
        <w:rPr>
          <w:rFonts w:ascii="Arial" w:hAnsi="Arial" w:cs="Arial"/>
        </w:rPr>
        <w:t xml:space="preserve">emoto </w:t>
      </w:r>
      <w:r>
        <w:rPr>
          <w:rFonts w:ascii="Arial" w:eastAsia="Times New Roman" w:hAnsi="Arial" w:cs="Arial"/>
          <w:lang w:eastAsia="pt-BR"/>
        </w:rPr>
        <w:t>a ativos/serviços de informação e recursos computacionais da SOLUS METAL DO BRASIL</w:t>
      </w:r>
      <w:r w:rsidRPr="00B614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restrito a </w:t>
      </w:r>
      <w:r w:rsidRPr="00B6140D">
        <w:rPr>
          <w:rFonts w:ascii="Arial" w:hAnsi="Arial" w:cs="Arial"/>
        </w:rPr>
        <w:t>usuário</w:t>
      </w:r>
      <w:r>
        <w:rPr>
          <w:rFonts w:ascii="Arial" w:hAnsi="Arial" w:cs="Arial"/>
        </w:rPr>
        <w:t>s</w:t>
      </w:r>
      <w:r w:rsidRPr="00B6140D">
        <w:rPr>
          <w:rFonts w:ascii="Arial" w:hAnsi="Arial" w:cs="Arial"/>
        </w:rPr>
        <w:t xml:space="preserve"> que necessite</w:t>
      </w:r>
      <w:r>
        <w:rPr>
          <w:rFonts w:ascii="Arial" w:hAnsi="Arial" w:cs="Arial"/>
        </w:rPr>
        <w:t xml:space="preserve">m deste recurso </w:t>
      </w:r>
      <w:r w:rsidRPr="00B6140D">
        <w:rPr>
          <w:rFonts w:ascii="Arial" w:hAnsi="Arial" w:cs="Arial"/>
        </w:rPr>
        <w:t>para execução das atividades profissionais</w:t>
      </w:r>
      <w:r w:rsidR="00DD2594">
        <w:rPr>
          <w:rFonts w:ascii="Arial" w:hAnsi="Arial" w:cs="Arial"/>
        </w:rPr>
        <w:t>;</w:t>
      </w:r>
    </w:p>
    <w:p w:rsidR="00B6140D" w:rsidRPr="00B6140D" w:rsidRDefault="00B6140D" w:rsidP="00B6140D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B6140D" w:rsidRPr="00807BF3" w:rsidRDefault="00B6140D" w:rsidP="00B6140D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realização do acesso remoto, fora do expediente normal de trabalho, não implicará no pagamento de horas extras ao usuário, excetuando-se casos aonde for comprovada a solicitação do trabalho pelo gestor do usuário ou parte autorizada;</w:t>
      </w:r>
    </w:p>
    <w:p w:rsidR="00807BF3" w:rsidRP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EA655F" w:rsidRPr="00EA655F" w:rsidRDefault="00451AC5" w:rsidP="00451AC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451AC5">
        <w:rPr>
          <w:rFonts w:ascii="Arial" w:hAnsi="Arial" w:cs="Arial"/>
        </w:rPr>
        <w:t xml:space="preserve">O usuário será o único responsável </w:t>
      </w:r>
      <w:r w:rsidR="00A10A5C">
        <w:rPr>
          <w:rFonts w:ascii="Arial" w:hAnsi="Arial" w:cs="Arial"/>
        </w:rPr>
        <w:t xml:space="preserve">por </w:t>
      </w:r>
      <w:r w:rsidRPr="00451AC5">
        <w:rPr>
          <w:rFonts w:ascii="Arial" w:hAnsi="Arial" w:cs="Arial"/>
        </w:rPr>
        <w:t>toda ação executada com sua</w:t>
      </w:r>
      <w:r>
        <w:rPr>
          <w:rFonts w:ascii="Arial" w:hAnsi="Arial" w:cs="Arial"/>
        </w:rPr>
        <w:t>s credenciais de acesso remoto,</w:t>
      </w:r>
      <w:r w:rsidRPr="00451AC5">
        <w:rPr>
          <w:rFonts w:ascii="Arial" w:hAnsi="Arial" w:cs="Arial"/>
        </w:rPr>
        <w:t xml:space="preserve"> incluindo qualquer atividade </w:t>
      </w:r>
      <w:r>
        <w:rPr>
          <w:rFonts w:ascii="Arial" w:hAnsi="Arial" w:cs="Arial"/>
        </w:rPr>
        <w:t>não autorizada</w:t>
      </w:r>
      <w:r w:rsidRPr="00451AC5">
        <w:rPr>
          <w:rFonts w:ascii="Arial" w:hAnsi="Arial" w:cs="Arial"/>
        </w:rPr>
        <w:t xml:space="preserve"> exercida por </w:t>
      </w:r>
      <w:r>
        <w:rPr>
          <w:rFonts w:ascii="Arial" w:hAnsi="Arial" w:cs="Arial"/>
        </w:rPr>
        <w:t xml:space="preserve">terceiros de posse de suas credencias de </w:t>
      </w:r>
      <w:r w:rsidRPr="00451AC5">
        <w:rPr>
          <w:rFonts w:ascii="Arial" w:hAnsi="Arial" w:cs="Arial"/>
        </w:rPr>
        <w:t>acesso remoto</w:t>
      </w:r>
      <w:r w:rsidR="00EA655F">
        <w:rPr>
          <w:rFonts w:ascii="Arial" w:hAnsi="Arial" w:cs="Arial"/>
        </w:rPr>
        <w:t>;</w:t>
      </w:r>
    </w:p>
    <w:p w:rsidR="00EA655F" w:rsidRPr="00EA655F" w:rsidRDefault="00EA655F" w:rsidP="00EA655F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EA655F" w:rsidRDefault="00451AC5" w:rsidP="00451AC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451AC5">
        <w:rPr>
          <w:rFonts w:ascii="Arial" w:hAnsi="Arial" w:cs="Arial"/>
        </w:rPr>
        <w:t xml:space="preserve">O acesso remoto </w:t>
      </w:r>
      <w:r>
        <w:rPr>
          <w:rFonts w:ascii="Arial" w:eastAsia="Times New Roman" w:hAnsi="Arial" w:cs="Arial"/>
          <w:lang w:eastAsia="pt-BR"/>
        </w:rPr>
        <w:t>a ativos/serviços de informação e recursos computacionais da SOLUS METAL DO BRASIL</w:t>
      </w:r>
      <w:r w:rsidRPr="00451AC5">
        <w:rPr>
          <w:rFonts w:ascii="Arial" w:hAnsi="Arial" w:cs="Arial"/>
        </w:rPr>
        <w:t xml:space="preserve"> será concedido </w:t>
      </w:r>
      <w:r>
        <w:rPr>
          <w:rFonts w:ascii="Arial" w:hAnsi="Arial" w:cs="Arial"/>
        </w:rPr>
        <w:t xml:space="preserve">com os </w:t>
      </w:r>
      <w:r w:rsidRPr="00451AC5">
        <w:rPr>
          <w:rFonts w:ascii="Arial" w:hAnsi="Arial" w:cs="Arial"/>
        </w:rPr>
        <w:t>privilégio</w:t>
      </w:r>
      <w:r>
        <w:rPr>
          <w:rFonts w:ascii="Arial" w:hAnsi="Arial" w:cs="Arial"/>
        </w:rPr>
        <w:t>s</w:t>
      </w:r>
      <w:r w:rsidRPr="00451AC5">
        <w:rPr>
          <w:rFonts w:ascii="Arial" w:hAnsi="Arial" w:cs="Arial"/>
        </w:rPr>
        <w:t xml:space="preserve"> mínimo</w:t>
      </w:r>
      <w:r>
        <w:rPr>
          <w:rFonts w:ascii="Arial" w:hAnsi="Arial" w:cs="Arial"/>
        </w:rPr>
        <w:t>s</w:t>
      </w:r>
      <w:r w:rsidRPr="00451AC5">
        <w:rPr>
          <w:rFonts w:ascii="Arial" w:hAnsi="Arial" w:cs="Arial"/>
        </w:rPr>
        <w:t xml:space="preserve"> necessário</w:t>
      </w:r>
      <w:r>
        <w:rPr>
          <w:rFonts w:ascii="Arial" w:hAnsi="Arial" w:cs="Arial"/>
        </w:rPr>
        <w:t>s</w:t>
      </w:r>
      <w:r w:rsidRPr="00451AC5">
        <w:rPr>
          <w:rFonts w:ascii="Arial" w:hAnsi="Arial" w:cs="Arial"/>
        </w:rPr>
        <w:t xml:space="preserve"> para execução de suas atividades laborais</w:t>
      </w:r>
      <w:r w:rsidR="00EA655F">
        <w:rPr>
          <w:rFonts w:ascii="Arial" w:hAnsi="Arial" w:cs="Arial"/>
        </w:rPr>
        <w:t>;</w:t>
      </w:r>
    </w:p>
    <w:p w:rsidR="00451AC5" w:rsidRPr="00451AC5" w:rsidRDefault="00451AC5" w:rsidP="00451AC5">
      <w:pPr>
        <w:pStyle w:val="PargrafodaLista"/>
        <w:rPr>
          <w:rFonts w:ascii="Arial" w:hAnsi="Arial" w:cs="Arial"/>
        </w:rPr>
      </w:pPr>
    </w:p>
    <w:p w:rsidR="00EA655F" w:rsidRDefault="00451AC5" w:rsidP="00451AC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Equipamentos computacionais utilizados para acesso remoto devem possuir ferramentas para proteção contra códigos maliciosos aderentes </w:t>
      </w:r>
      <w:r w:rsidR="00A10A5C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diretrizes da SOLUS e firewall local ativo;</w:t>
      </w:r>
    </w:p>
    <w:p w:rsidR="00451AC5" w:rsidRDefault="00451AC5" w:rsidP="00451AC5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451AC5" w:rsidRDefault="00451AC5" w:rsidP="00451AC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451AC5">
        <w:rPr>
          <w:rFonts w:ascii="Arial" w:hAnsi="Arial" w:cs="Arial"/>
        </w:rPr>
        <w:t>Em caso</w:t>
      </w:r>
      <w:r w:rsidR="00A10A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</w:t>
      </w:r>
      <w:r w:rsidR="00A10A5C">
        <w:rPr>
          <w:rFonts w:ascii="Arial" w:hAnsi="Arial" w:cs="Arial"/>
        </w:rPr>
        <w:t xml:space="preserve">acesso não autorizado, </w:t>
      </w:r>
      <w:r>
        <w:rPr>
          <w:rFonts w:ascii="Arial" w:hAnsi="Arial" w:cs="Arial"/>
        </w:rPr>
        <w:t>extravio, furto ou roubo de dispositivos computacionais</w:t>
      </w:r>
      <w:r w:rsidRPr="00451AC5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possam o acesso remoto ao ambiente da SOLUS habilitado</w:t>
      </w:r>
      <w:r w:rsidRPr="00451AC5">
        <w:rPr>
          <w:rFonts w:ascii="Arial" w:hAnsi="Arial" w:cs="Arial"/>
        </w:rPr>
        <w:t xml:space="preserve">, o usuário </w:t>
      </w:r>
      <w:r>
        <w:rPr>
          <w:rFonts w:ascii="Arial" w:hAnsi="Arial" w:cs="Arial"/>
        </w:rPr>
        <w:t xml:space="preserve">responsável </w:t>
      </w:r>
      <w:r w:rsidRPr="00451AC5">
        <w:rPr>
          <w:rFonts w:ascii="Arial" w:hAnsi="Arial" w:cs="Arial"/>
        </w:rPr>
        <w:t xml:space="preserve">deverá informar imediatamente o ocorrido </w:t>
      </w:r>
      <w:r>
        <w:rPr>
          <w:rFonts w:ascii="Arial" w:hAnsi="Arial" w:cs="Arial"/>
        </w:rPr>
        <w:t>a equipe de segurança da informação.</w:t>
      </w:r>
    </w:p>
    <w:p w:rsidR="00451AC5" w:rsidRPr="009E5079" w:rsidRDefault="00451AC5" w:rsidP="00451AC5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451AC5" w:rsidRDefault="00451AC5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451AC5" w:rsidRPr="009E5079" w:rsidRDefault="00451AC5" w:rsidP="00451AC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>Concessão e uso do acesso remoto para terceiros</w:t>
      </w:r>
    </w:p>
    <w:p w:rsidR="00451AC5" w:rsidRPr="009E5079" w:rsidRDefault="00451AC5" w:rsidP="00451AC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451AC5" w:rsidRPr="00451AC5" w:rsidRDefault="00451AC5" w:rsidP="00451AC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O a</w:t>
      </w:r>
      <w:r w:rsidRPr="00B6140D">
        <w:rPr>
          <w:rFonts w:ascii="Arial" w:hAnsi="Arial" w:cs="Arial"/>
        </w:rPr>
        <w:t xml:space="preserve">cesso </w:t>
      </w:r>
      <w:r>
        <w:rPr>
          <w:rFonts w:ascii="Arial" w:hAnsi="Arial" w:cs="Arial"/>
        </w:rPr>
        <w:t>r</w:t>
      </w:r>
      <w:r w:rsidRPr="00B6140D">
        <w:rPr>
          <w:rFonts w:ascii="Arial" w:hAnsi="Arial" w:cs="Arial"/>
        </w:rPr>
        <w:t xml:space="preserve">emoto </w:t>
      </w:r>
      <w:r>
        <w:rPr>
          <w:rFonts w:ascii="Arial" w:eastAsia="Times New Roman" w:hAnsi="Arial" w:cs="Arial"/>
          <w:lang w:eastAsia="pt-BR"/>
        </w:rPr>
        <w:t>a ativos/serviços de informação e recursos computacionais da SOLUS METAL DO BRASIL</w:t>
      </w:r>
      <w:r w:rsidRPr="00B614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poderá ser concedido a terceiros ou prestadores de serviço, caso seja necessário para suas atividades laborais;</w:t>
      </w:r>
    </w:p>
    <w:p w:rsidR="00451AC5" w:rsidRPr="00451AC5" w:rsidRDefault="00451AC5" w:rsidP="00451AC5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451AC5" w:rsidRPr="00451AC5" w:rsidRDefault="00451AC5" w:rsidP="00451AC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Para concessão e uso do acesso remoto para terceiros, devem ser observadas as seguintes regras:</w:t>
      </w:r>
    </w:p>
    <w:p w:rsidR="00451AC5" w:rsidRPr="00451AC5" w:rsidRDefault="00451AC5" w:rsidP="00451AC5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A10A5C" w:rsidRPr="00A10A5C" w:rsidRDefault="00451AC5" w:rsidP="00451AC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O acesso remoto de terceiros e prestadores de serviço a ativos/serviços de informação ou recursos computacionais da SOLUS somente poderá ser concedido após </w:t>
      </w:r>
      <w:r w:rsidR="00A10A5C">
        <w:rPr>
          <w:rFonts w:ascii="Arial" w:hAnsi="Arial" w:cs="Arial"/>
        </w:rPr>
        <w:t xml:space="preserve">a efetivação do </w:t>
      </w:r>
      <w:r>
        <w:rPr>
          <w:rFonts w:ascii="Arial" w:hAnsi="Arial" w:cs="Arial"/>
        </w:rPr>
        <w:t>acordo</w:t>
      </w:r>
      <w:r w:rsidRPr="00AA1463">
        <w:rPr>
          <w:rFonts w:ascii="Arial" w:hAnsi="Arial" w:cs="Arial"/>
        </w:rPr>
        <w:t xml:space="preserve"> de confidencialidade entre as partes</w:t>
      </w:r>
      <w:r w:rsidR="00A10A5C">
        <w:rPr>
          <w:rFonts w:ascii="Arial" w:hAnsi="Arial" w:cs="Arial"/>
        </w:rPr>
        <w:t>;</w:t>
      </w:r>
    </w:p>
    <w:p w:rsidR="00A10A5C" w:rsidRPr="00A10A5C" w:rsidRDefault="00A10A5C" w:rsidP="00A10A5C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451AC5" w:rsidRPr="00A10A5C" w:rsidRDefault="00A10A5C" w:rsidP="00A10A5C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A10A5C">
        <w:rPr>
          <w:rFonts w:ascii="Arial" w:hAnsi="Arial" w:cs="Arial"/>
        </w:rPr>
        <w:t>A concessão do acesso deverá ser limitada automaticamente ao tempo necessário estimado a atividade do terceiro</w:t>
      </w:r>
      <w:r>
        <w:rPr>
          <w:rFonts w:ascii="Arial" w:hAnsi="Arial" w:cs="Arial"/>
        </w:rPr>
        <w:t xml:space="preserve"> ou prestador de serviço</w:t>
      </w:r>
      <w:r w:rsidRPr="00A10A5C">
        <w:rPr>
          <w:rFonts w:ascii="Arial" w:hAnsi="Arial" w:cs="Arial"/>
        </w:rPr>
        <w:t>, não excedendo a</w:t>
      </w:r>
      <w:r>
        <w:rPr>
          <w:rFonts w:ascii="Arial" w:hAnsi="Arial" w:cs="Arial"/>
        </w:rPr>
        <w:t>o</w:t>
      </w:r>
      <w:r w:rsidRPr="00A10A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 de 30 (trinta)</w:t>
      </w:r>
      <w:r w:rsidRPr="00A10A5C">
        <w:rPr>
          <w:rFonts w:ascii="Arial" w:hAnsi="Arial" w:cs="Arial"/>
        </w:rPr>
        <w:t xml:space="preserve"> dias </w:t>
      </w:r>
      <w:r>
        <w:rPr>
          <w:rFonts w:ascii="Arial" w:hAnsi="Arial" w:cs="Arial"/>
        </w:rPr>
        <w:t>corridos por concessão</w:t>
      </w:r>
      <w:r w:rsidR="00451AC5">
        <w:rPr>
          <w:rFonts w:ascii="Arial" w:hAnsi="Arial" w:cs="Arial"/>
        </w:rPr>
        <w:t>;</w:t>
      </w:r>
    </w:p>
    <w:p w:rsidR="00A10A5C" w:rsidRPr="00A10A5C" w:rsidRDefault="00A10A5C" w:rsidP="00A10A5C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A10A5C" w:rsidRPr="00A10A5C" w:rsidRDefault="00A10A5C" w:rsidP="00A10A5C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451AC5"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 xml:space="preserve">terceiro, bem como a empresa onde o mesmo trabalha, serão </w:t>
      </w:r>
      <w:r w:rsidRPr="00451AC5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451AC5">
        <w:rPr>
          <w:rFonts w:ascii="Arial" w:hAnsi="Arial" w:cs="Arial"/>
        </w:rPr>
        <w:t xml:space="preserve"> único</w:t>
      </w:r>
      <w:r>
        <w:rPr>
          <w:rFonts w:ascii="Arial" w:hAnsi="Arial" w:cs="Arial"/>
        </w:rPr>
        <w:t>s</w:t>
      </w:r>
      <w:r w:rsidRPr="00451AC5">
        <w:rPr>
          <w:rFonts w:ascii="Arial" w:hAnsi="Arial" w:cs="Arial"/>
        </w:rPr>
        <w:t xml:space="preserve"> responsáve</w:t>
      </w:r>
      <w:r>
        <w:rPr>
          <w:rFonts w:ascii="Arial" w:hAnsi="Arial" w:cs="Arial"/>
        </w:rPr>
        <w:t xml:space="preserve">is por </w:t>
      </w:r>
      <w:r w:rsidRPr="00451AC5">
        <w:rPr>
          <w:rFonts w:ascii="Arial" w:hAnsi="Arial" w:cs="Arial"/>
        </w:rPr>
        <w:t>toda ação executada com sua</w:t>
      </w:r>
      <w:r>
        <w:rPr>
          <w:rFonts w:ascii="Arial" w:hAnsi="Arial" w:cs="Arial"/>
        </w:rPr>
        <w:t>s credenciais de acesso remoto,</w:t>
      </w:r>
      <w:r w:rsidRPr="00451AC5">
        <w:rPr>
          <w:rFonts w:ascii="Arial" w:hAnsi="Arial" w:cs="Arial"/>
        </w:rPr>
        <w:t xml:space="preserve"> incluindo qualquer atividade </w:t>
      </w:r>
      <w:r>
        <w:rPr>
          <w:rFonts w:ascii="Arial" w:hAnsi="Arial" w:cs="Arial"/>
        </w:rPr>
        <w:t>não autorizada</w:t>
      </w:r>
      <w:r w:rsidRPr="00451AC5">
        <w:rPr>
          <w:rFonts w:ascii="Arial" w:hAnsi="Arial" w:cs="Arial"/>
        </w:rPr>
        <w:t xml:space="preserve"> exercida por </w:t>
      </w:r>
      <w:r>
        <w:rPr>
          <w:rFonts w:ascii="Arial" w:hAnsi="Arial" w:cs="Arial"/>
        </w:rPr>
        <w:t xml:space="preserve">outras partes de posse de suas credencias de </w:t>
      </w:r>
      <w:r w:rsidRPr="00451AC5">
        <w:rPr>
          <w:rFonts w:ascii="Arial" w:hAnsi="Arial" w:cs="Arial"/>
        </w:rPr>
        <w:t>acesso remoto</w:t>
      </w:r>
      <w:r>
        <w:rPr>
          <w:rFonts w:ascii="Arial" w:hAnsi="Arial" w:cs="Arial"/>
        </w:rPr>
        <w:t>;</w:t>
      </w:r>
    </w:p>
    <w:p w:rsidR="00A10A5C" w:rsidRDefault="00A10A5C" w:rsidP="00A10A5C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A10A5C" w:rsidRPr="00A10A5C" w:rsidRDefault="00A10A5C" w:rsidP="00A10A5C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A10A5C">
        <w:rPr>
          <w:rFonts w:ascii="Arial" w:eastAsia="Times New Roman" w:hAnsi="Arial" w:cs="Arial"/>
          <w:lang w:eastAsia="pt-BR"/>
        </w:rPr>
        <w:t xml:space="preserve">O acesso remoto </w:t>
      </w:r>
      <w:r>
        <w:rPr>
          <w:rFonts w:ascii="Arial" w:eastAsia="Times New Roman" w:hAnsi="Arial" w:cs="Arial"/>
          <w:lang w:eastAsia="pt-BR"/>
        </w:rPr>
        <w:t xml:space="preserve">de terceiros </w:t>
      </w:r>
      <w:r w:rsidRPr="00A10A5C">
        <w:rPr>
          <w:rFonts w:ascii="Arial" w:eastAsia="Times New Roman" w:hAnsi="Arial" w:cs="Arial"/>
          <w:lang w:eastAsia="pt-BR"/>
        </w:rPr>
        <w:t>a ativos/serviços de informação e recursos computacionais da SOLUS METAL DO BRASIL será concedido com os privilégios mínimos necessários para execução de suas atividades laborais;</w:t>
      </w:r>
    </w:p>
    <w:p w:rsidR="00A10A5C" w:rsidRDefault="00A10A5C" w:rsidP="00A10A5C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A10A5C" w:rsidRPr="00A10A5C" w:rsidRDefault="00A10A5C" w:rsidP="00A10A5C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A10A5C">
        <w:rPr>
          <w:rFonts w:ascii="Arial" w:eastAsia="Times New Roman" w:hAnsi="Arial" w:cs="Arial"/>
          <w:lang w:eastAsia="pt-BR"/>
        </w:rPr>
        <w:t xml:space="preserve">Equipamentos computacionais utilizados </w:t>
      </w:r>
      <w:r>
        <w:rPr>
          <w:rFonts w:ascii="Arial" w:eastAsia="Times New Roman" w:hAnsi="Arial" w:cs="Arial"/>
          <w:lang w:eastAsia="pt-BR"/>
        </w:rPr>
        <w:t xml:space="preserve">por terceiros </w:t>
      </w:r>
      <w:r w:rsidRPr="00A10A5C">
        <w:rPr>
          <w:rFonts w:ascii="Arial" w:eastAsia="Times New Roman" w:hAnsi="Arial" w:cs="Arial"/>
          <w:lang w:eastAsia="pt-BR"/>
        </w:rPr>
        <w:t>para acesso remoto devem possuir ferramentas para proteção contra códigos maliciosos aderentes às diretrizes da SOLUS e firewall local ativo;</w:t>
      </w:r>
    </w:p>
    <w:p w:rsidR="00A10A5C" w:rsidRPr="00A10A5C" w:rsidRDefault="00A10A5C" w:rsidP="00A10A5C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451AC5" w:rsidRPr="00A10A5C" w:rsidRDefault="00A10A5C" w:rsidP="00A10A5C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10A5C">
        <w:rPr>
          <w:rFonts w:ascii="Arial" w:eastAsia="Times New Roman" w:hAnsi="Arial" w:cs="Arial"/>
          <w:lang w:eastAsia="pt-BR"/>
        </w:rPr>
        <w:t>Em caso</w:t>
      </w:r>
      <w:r>
        <w:rPr>
          <w:rFonts w:ascii="Arial" w:eastAsia="Times New Roman" w:hAnsi="Arial" w:cs="Arial"/>
          <w:lang w:eastAsia="pt-BR"/>
        </w:rPr>
        <w:t>s</w:t>
      </w:r>
      <w:r w:rsidRPr="00A10A5C">
        <w:rPr>
          <w:rFonts w:ascii="Arial" w:eastAsia="Times New Roman" w:hAnsi="Arial" w:cs="Arial"/>
          <w:lang w:eastAsia="pt-BR"/>
        </w:rPr>
        <w:t xml:space="preserve"> de </w:t>
      </w:r>
      <w:r>
        <w:rPr>
          <w:rFonts w:ascii="Arial" w:eastAsia="Times New Roman" w:hAnsi="Arial" w:cs="Arial"/>
          <w:lang w:eastAsia="pt-BR"/>
        </w:rPr>
        <w:t xml:space="preserve">acesso não autorizado, </w:t>
      </w:r>
      <w:r w:rsidRPr="00A10A5C">
        <w:rPr>
          <w:rFonts w:ascii="Arial" w:eastAsia="Times New Roman" w:hAnsi="Arial" w:cs="Arial"/>
          <w:lang w:eastAsia="pt-BR"/>
        </w:rPr>
        <w:t xml:space="preserve">extravio, furto ou roubo de dispositivos computacionais </w:t>
      </w:r>
      <w:r>
        <w:rPr>
          <w:rFonts w:ascii="Arial" w:eastAsia="Times New Roman" w:hAnsi="Arial" w:cs="Arial"/>
          <w:lang w:eastAsia="pt-BR"/>
        </w:rPr>
        <w:t xml:space="preserve">de terceiros </w:t>
      </w:r>
      <w:r w:rsidRPr="00A10A5C">
        <w:rPr>
          <w:rFonts w:ascii="Arial" w:eastAsia="Times New Roman" w:hAnsi="Arial" w:cs="Arial"/>
          <w:lang w:eastAsia="pt-BR"/>
        </w:rPr>
        <w:t>que possam o acesso remoto ao ambiente da SOLUS habilitado, o usuário responsável deverá informar imediatamente o ocorrido a equipe de segurança da informação</w:t>
      </w:r>
      <w:r>
        <w:rPr>
          <w:rFonts w:ascii="Arial" w:hAnsi="Arial" w:cs="Arial"/>
        </w:rPr>
        <w:t>.</w:t>
      </w:r>
    </w:p>
    <w:p w:rsidR="005B50C8" w:rsidRDefault="005B50C8" w:rsidP="005B50C8">
      <w:p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</w:p>
    <w:p w:rsidR="00A10A5C" w:rsidRPr="009E5079" w:rsidRDefault="00A10A5C" w:rsidP="00A10A5C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 xml:space="preserve">Monitoramento do acesso remoto </w:t>
      </w:r>
    </w:p>
    <w:p w:rsidR="00A10A5C" w:rsidRPr="009E5079" w:rsidRDefault="00A10A5C" w:rsidP="00A10A5C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A10A5C" w:rsidRDefault="00A10A5C" w:rsidP="00A10A5C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D2594">
        <w:rPr>
          <w:rFonts w:ascii="Arial" w:eastAsia="Times New Roman" w:hAnsi="Arial" w:cs="Arial"/>
          <w:lang w:eastAsia="pt-BR"/>
        </w:rPr>
        <w:t xml:space="preserve">Toda </w:t>
      </w:r>
      <w:r>
        <w:rPr>
          <w:rFonts w:ascii="Arial" w:eastAsia="Times New Roman" w:hAnsi="Arial" w:cs="Arial"/>
          <w:lang w:eastAsia="pt-BR"/>
        </w:rPr>
        <w:t>i</w:t>
      </w:r>
      <w:r w:rsidRPr="00DD2594">
        <w:rPr>
          <w:rFonts w:ascii="Arial" w:eastAsia="Times New Roman" w:hAnsi="Arial" w:cs="Arial"/>
          <w:lang w:eastAsia="pt-BR"/>
        </w:rPr>
        <w:t xml:space="preserve">nformação </w:t>
      </w:r>
      <w:r>
        <w:rPr>
          <w:rFonts w:ascii="Arial" w:eastAsia="Times New Roman" w:hAnsi="Arial" w:cs="Arial"/>
          <w:lang w:eastAsia="pt-BR"/>
        </w:rPr>
        <w:t xml:space="preserve">que </w:t>
      </w:r>
      <w:r w:rsidRPr="00DD2594">
        <w:rPr>
          <w:rFonts w:ascii="Arial" w:eastAsia="Times New Roman" w:hAnsi="Arial" w:cs="Arial"/>
          <w:lang w:eastAsia="pt-BR"/>
        </w:rPr>
        <w:t>é acessada, transmitida, recebida ou produzida</w:t>
      </w:r>
      <w:r>
        <w:rPr>
          <w:rFonts w:ascii="Arial" w:eastAsia="Times New Roman" w:hAnsi="Arial" w:cs="Arial"/>
          <w:lang w:eastAsia="pt-BR"/>
        </w:rPr>
        <w:t xml:space="preserve"> através do acesso remoto a ativos/serviços de informação ou recursos computacionais da SOLUS </w:t>
      </w:r>
      <w:r w:rsidRPr="00DD2594">
        <w:rPr>
          <w:rFonts w:ascii="Arial" w:eastAsia="Times New Roman" w:hAnsi="Arial" w:cs="Arial"/>
          <w:lang w:eastAsia="pt-BR"/>
        </w:rPr>
        <w:t xml:space="preserve">está sujeita </w:t>
      </w:r>
      <w:r>
        <w:rPr>
          <w:rFonts w:ascii="Arial" w:eastAsia="Times New Roman" w:hAnsi="Arial" w:cs="Arial"/>
          <w:lang w:eastAsia="pt-BR"/>
        </w:rPr>
        <w:t>monitoramento, não havendo por parte do usuário qualquer expectativa de privacidade;</w:t>
      </w:r>
    </w:p>
    <w:p w:rsidR="00A10A5C" w:rsidRPr="00DD2594" w:rsidRDefault="00A10A5C" w:rsidP="00A10A5C">
      <w:pPr>
        <w:pStyle w:val="PargrafodaLista"/>
        <w:rPr>
          <w:rFonts w:ascii="Arial" w:eastAsia="Times New Roman" w:hAnsi="Arial" w:cs="Arial"/>
          <w:lang w:eastAsia="pt-BR"/>
        </w:rPr>
      </w:pPr>
    </w:p>
    <w:p w:rsidR="00A10A5C" w:rsidRDefault="00A10A5C" w:rsidP="00A10A5C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D2594">
        <w:rPr>
          <w:rFonts w:ascii="Arial" w:eastAsia="Times New Roman" w:hAnsi="Arial" w:cs="Arial"/>
          <w:lang w:eastAsia="pt-BR"/>
        </w:rPr>
        <w:t xml:space="preserve">Durante o monitoramento </w:t>
      </w:r>
      <w:r>
        <w:rPr>
          <w:rFonts w:ascii="Arial" w:eastAsia="Times New Roman" w:hAnsi="Arial" w:cs="Arial"/>
          <w:lang w:eastAsia="pt-BR"/>
        </w:rPr>
        <w:t xml:space="preserve">do acesso remoto a seus ativos/serviços de informação ou recursos computacionais, </w:t>
      </w:r>
      <w:r w:rsidRPr="00DD2594">
        <w:rPr>
          <w:rFonts w:ascii="Arial" w:eastAsia="Times New Roman" w:hAnsi="Arial" w:cs="Arial"/>
          <w:lang w:eastAsia="pt-BR"/>
        </w:rPr>
        <w:t xml:space="preserve">a SOLUS se resguarda o direito de, sem qualquer notificação ou aviso, interceptar, registrar, </w:t>
      </w:r>
      <w:r>
        <w:rPr>
          <w:rFonts w:ascii="Arial" w:eastAsia="Times New Roman" w:hAnsi="Arial" w:cs="Arial"/>
          <w:lang w:eastAsia="pt-BR"/>
        </w:rPr>
        <w:t xml:space="preserve">gravar, </w:t>
      </w:r>
      <w:r w:rsidRPr="00DD2594">
        <w:rPr>
          <w:rFonts w:ascii="Arial" w:eastAsia="Times New Roman" w:hAnsi="Arial" w:cs="Arial"/>
          <w:lang w:eastAsia="pt-BR"/>
        </w:rPr>
        <w:t>ler, copiar e divulgar por, ou para, pessoas autorizadas para finalidades oficiais, incluindo investigações criminais, toda informação trafegada, seja originada de sua rede interna e destinada a redes externas ou o contrário</w:t>
      </w:r>
      <w:r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8D15F3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lang w:eastAsia="pt-BR"/>
        </w:rPr>
        <w:lastRenderedPageBreak/>
        <w:t>GERÊNCIA DE</w:t>
      </w:r>
      <w:r w:rsidR="00074827">
        <w:rPr>
          <w:rFonts w:ascii="Arial" w:eastAsia="Times New Roman" w:hAnsi="Arial" w:cs="Arial"/>
          <w:b/>
          <w:lang w:eastAsia="pt-BR"/>
        </w:rPr>
        <w:t xml:space="preserve"> SEGURANÇA DA INFORMAÇÃO</w:t>
      </w:r>
    </w:p>
    <w:p w:rsidR="00A52D75" w:rsidRPr="009E5079" w:rsidRDefault="00A52D75" w:rsidP="00910846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8D15F3">
      <w:pPr>
        <w:numPr>
          <w:ilvl w:val="2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</w:t>
      </w:r>
      <w:r w:rsidR="008D15F3">
        <w:rPr>
          <w:rFonts w:ascii="Arial" w:eastAsia="Times New Roman" w:hAnsi="Arial" w:cs="Arial"/>
          <w:lang w:eastAsia="pt-BR"/>
        </w:rPr>
        <w:t xml:space="preserve">da </w:t>
      </w:r>
      <w:r w:rsidR="008D15F3" w:rsidRPr="008D15F3">
        <w:rPr>
          <w:rFonts w:ascii="Arial" w:eastAsia="Times New Roman" w:hAnsi="Arial" w:cs="Arial"/>
          <w:lang w:eastAsia="pt-BR"/>
        </w:rPr>
        <w:t>GERÊNCIA DE SEGURANÇA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910846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10A5C" w:rsidRDefault="00074827" w:rsidP="00074827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74827">
        <w:rPr>
          <w:rFonts w:ascii="Arial" w:hAnsi="Arial" w:cs="Arial"/>
        </w:rPr>
        <w:t xml:space="preserve">Avaliar, aprovar ou negar solicitações para uso de </w:t>
      </w:r>
      <w:r w:rsidR="00A10A5C">
        <w:rPr>
          <w:rFonts w:ascii="Arial" w:hAnsi="Arial" w:cs="Arial"/>
        </w:rPr>
        <w:t>acesso remoto a ativos/serviços de informação ou recursos computacionais da SOLUS METAL DO BRASIL;</w:t>
      </w:r>
    </w:p>
    <w:p w:rsidR="00A10A5C" w:rsidRDefault="00A10A5C" w:rsidP="00A10A5C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D15F3" w:rsidRPr="008D15F3" w:rsidRDefault="008D15F3" w:rsidP="008D15F3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8D15F3">
        <w:rPr>
          <w:rFonts w:ascii="Arial" w:hAnsi="Arial" w:cs="Arial"/>
        </w:rPr>
        <w:t xml:space="preserve">Controlar e monitorar qualquer tipo de acesso </w:t>
      </w:r>
      <w:r>
        <w:rPr>
          <w:rFonts w:ascii="Arial" w:hAnsi="Arial" w:cs="Arial"/>
        </w:rPr>
        <w:t>remoto</w:t>
      </w:r>
      <w:r w:rsidRPr="008D15F3">
        <w:rPr>
          <w:rFonts w:ascii="Arial" w:hAnsi="Arial" w:cs="Arial"/>
        </w:rPr>
        <w:t xml:space="preserve"> fornecido pela SOLUS;</w:t>
      </w:r>
    </w:p>
    <w:p w:rsidR="008D15F3" w:rsidRDefault="008D15F3" w:rsidP="008D15F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Pr="008D15F3" w:rsidRDefault="008D15F3" w:rsidP="008D15F3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Tratar</w:t>
      </w:r>
      <w:r w:rsidRPr="008D15F3">
        <w:rPr>
          <w:rFonts w:ascii="Arial" w:hAnsi="Arial" w:cs="Arial"/>
        </w:rPr>
        <w:t xml:space="preserve"> eventuais tentativas de acesso não autorizados ou incidentes de segurança relacionados ao acesso </w:t>
      </w:r>
      <w:r>
        <w:rPr>
          <w:rFonts w:ascii="Arial" w:hAnsi="Arial" w:cs="Arial"/>
        </w:rPr>
        <w:t>remoto e, quando pertinente, reportar os mesmos ao COMITÊ GESTOR DE SEGURANÇA DA INFORMAÇÃO</w:t>
      </w:r>
      <w:r w:rsidRPr="008D15F3">
        <w:rPr>
          <w:rFonts w:ascii="Arial" w:hAnsi="Arial" w:cs="Arial"/>
        </w:rPr>
        <w:t>.</w:t>
      </w:r>
    </w:p>
    <w:p w:rsidR="00AC732E" w:rsidRPr="009E5079" w:rsidRDefault="00AC732E" w:rsidP="00AC732E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B6140D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8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910846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503DB3">
        <w:rPr>
          <w:rFonts w:ascii="Arial" w:eastAsia="Times New Roman" w:hAnsi="Arial" w:cs="Arial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910846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229"/>
        <w:gridCol w:w="4557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660A446" wp14:editId="748AFFF2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389E41F" wp14:editId="2C0140D2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9108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348" w:rsidRDefault="00954348" w:rsidP="00EF748B">
      <w:pPr>
        <w:spacing w:after="0" w:line="240" w:lineRule="auto"/>
      </w:pPr>
      <w:r>
        <w:separator/>
      </w:r>
    </w:p>
  </w:endnote>
  <w:endnote w:type="continuationSeparator" w:id="0">
    <w:p w:rsidR="00954348" w:rsidRDefault="00954348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B6140D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162BDB">
            <w:rPr>
              <w:rFonts w:ascii="Arial" w:hAnsi="Arial" w:cs="Arial"/>
              <w:sz w:val="16"/>
              <w:szCs w:val="16"/>
            </w:rPr>
            <w:t xml:space="preserve">Norma de </w:t>
          </w:r>
          <w:r w:rsidR="00B6140D">
            <w:rPr>
              <w:rFonts w:ascii="Arial" w:hAnsi="Arial" w:cs="Arial"/>
              <w:sz w:val="16"/>
              <w:szCs w:val="16"/>
            </w:rPr>
            <w:t xml:space="preserve">acesso remoto </w:t>
          </w:r>
          <w:r w:rsidRPr="00EF748B">
            <w:rPr>
              <w:rFonts w:ascii="Arial" w:hAnsi="Arial" w:cs="Arial"/>
              <w:sz w:val="16"/>
              <w:szCs w:val="16"/>
            </w:rPr>
            <w:t>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205366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348" w:rsidRDefault="00954348" w:rsidP="00EF748B">
      <w:pPr>
        <w:spacing w:after="0" w:line="240" w:lineRule="auto"/>
      </w:pPr>
      <w:r>
        <w:separator/>
      </w:r>
    </w:p>
  </w:footnote>
  <w:footnote w:type="continuationSeparator" w:id="0">
    <w:p w:rsidR="00954348" w:rsidRDefault="00954348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4A2A49B9" wp14:editId="535B108D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910846" w:rsidRDefault="00B6140D" w:rsidP="00E30B45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32"/>
              <w:szCs w:val="26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>acesso remoto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503DB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  <w:r w:rsidR="0061068A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B6140D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8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E30B45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B6140D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9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10594A44"/>
    <w:multiLevelType w:val="hybridMultilevel"/>
    <w:tmpl w:val="0BA05C7E"/>
    <w:lvl w:ilvl="0" w:tplc="C9AA319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051"/>
    <w:multiLevelType w:val="multilevel"/>
    <w:tmpl w:val="6D02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713577"/>
    <w:multiLevelType w:val="hybridMultilevel"/>
    <w:tmpl w:val="1FEA9928"/>
    <w:lvl w:ilvl="0" w:tplc="FB14E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74827"/>
    <w:rsid w:val="0009195D"/>
    <w:rsid w:val="000A4935"/>
    <w:rsid w:val="00151204"/>
    <w:rsid w:val="0015266A"/>
    <w:rsid w:val="00162BDB"/>
    <w:rsid w:val="00196A81"/>
    <w:rsid w:val="001D2D6F"/>
    <w:rsid w:val="001F2670"/>
    <w:rsid w:val="00205366"/>
    <w:rsid w:val="00213BA6"/>
    <w:rsid w:val="002725AC"/>
    <w:rsid w:val="002C0256"/>
    <w:rsid w:val="002C1481"/>
    <w:rsid w:val="002C71BD"/>
    <w:rsid w:val="002E2847"/>
    <w:rsid w:val="00376DE9"/>
    <w:rsid w:val="003B1B75"/>
    <w:rsid w:val="003F6375"/>
    <w:rsid w:val="0042797A"/>
    <w:rsid w:val="00451AC5"/>
    <w:rsid w:val="004A320A"/>
    <w:rsid w:val="004E4F88"/>
    <w:rsid w:val="00503DB3"/>
    <w:rsid w:val="00522519"/>
    <w:rsid w:val="005B50C8"/>
    <w:rsid w:val="0061068A"/>
    <w:rsid w:val="00666DA1"/>
    <w:rsid w:val="0068599F"/>
    <w:rsid w:val="00687F99"/>
    <w:rsid w:val="006B130B"/>
    <w:rsid w:val="006D0501"/>
    <w:rsid w:val="006D2D91"/>
    <w:rsid w:val="0078799E"/>
    <w:rsid w:val="007B144C"/>
    <w:rsid w:val="007B6939"/>
    <w:rsid w:val="007C3C77"/>
    <w:rsid w:val="007D461D"/>
    <w:rsid w:val="00807BF3"/>
    <w:rsid w:val="008333B8"/>
    <w:rsid w:val="008D15F3"/>
    <w:rsid w:val="008F3214"/>
    <w:rsid w:val="009105CD"/>
    <w:rsid w:val="00910846"/>
    <w:rsid w:val="00917259"/>
    <w:rsid w:val="00954348"/>
    <w:rsid w:val="009923AC"/>
    <w:rsid w:val="009A133D"/>
    <w:rsid w:val="009C3D72"/>
    <w:rsid w:val="009E5079"/>
    <w:rsid w:val="009F7898"/>
    <w:rsid w:val="00A10A5C"/>
    <w:rsid w:val="00A32AC1"/>
    <w:rsid w:val="00A35B31"/>
    <w:rsid w:val="00A52D75"/>
    <w:rsid w:val="00A554F9"/>
    <w:rsid w:val="00A760E1"/>
    <w:rsid w:val="00A917FA"/>
    <w:rsid w:val="00AB0B4C"/>
    <w:rsid w:val="00AC732E"/>
    <w:rsid w:val="00AE2620"/>
    <w:rsid w:val="00B0713F"/>
    <w:rsid w:val="00B40164"/>
    <w:rsid w:val="00B4028E"/>
    <w:rsid w:val="00B54511"/>
    <w:rsid w:val="00B6140D"/>
    <w:rsid w:val="00B66CA6"/>
    <w:rsid w:val="00C006A6"/>
    <w:rsid w:val="00C3165A"/>
    <w:rsid w:val="00C81A80"/>
    <w:rsid w:val="00C91276"/>
    <w:rsid w:val="00CA5A7A"/>
    <w:rsid w:val="00CC1B7E"/>
    <w:rsid w:val="00CF6931"/>
    <w:rsid w:val="00D51C60"/>
    <w:rsid w:val="00D76A4F"/>
    <w:rsid w:val="00D96E1F"/>
    <w:rsid w:val="00DB3AB0"/>
    <w:rsid w:val="00DD2594"/>
    <w:rsid w:val="00E30B45"/>
    <w:rsid w:val="00E32A68"/>
    <w:rsid w:val="00E5289A"/>
    <w:rsid w:val="00E62BED"/>
    <w:rsid w:val="00E637B2"/>
    <w:rsid w:val="00E865C5"/>
    <w:rsid w:val="00EA655F"/>
    <w:rsid w:val="00EB2E4C"/>
    <w:rsid w:val="00EF748B"/>
    <w:rsid w:val="00F05E98"/>
    <w:rsid w:val="00F52B9F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4B20AF-BD08-4A24-9CD2-8E743523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4A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1823F-21A8-4FA5-9995-6EAF1E39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3</cp:revision>
  <dcterms:created xsi:type="dcterms:W3CDTF">2018-01-24T13:28:00Z</dcterms:created>
  <dcterms:modified xsi:type="dcterms:W3CDTF">2018-03-03T20:16:00Z</dcterms:modified>
</cp:coreProperties>
</file>