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</w:rPr>
        <w:drawing>
          <wp:inline distT="0" distB="0" distL="0" distR="0">
            <wp:extent cx="786527" cy="78729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s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27" cy="787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LL.B. III Term</w:t>
      </w:r>
    </w:p>
    <w:p>
      <w:pPr>
        <w:pStyle w:val="Normal.0"/>
        <w:tabs>
          <w:tab w:val="left" w:pos="5648"/>
        </w:tabs>
      </w:pPr>
      <w:r>
        <w:tab/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 xml:space="preserve"> Civil Procedure &amp; Limitation</w:t>
      </w:r>
    </w:p>
    <w:p>
      <w:pPr>
        <w:pStyle w:val="Normal.0"/>
        <w:tabs>
          <w:tab w:val="left" w:pos="3375"/>
          <w:tab w:val="left" w:pos="5325"/>
        </w:tabs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en-US"/>
        </w:rPr>
        <w:t xml:space="preserve">  </w:t>
      </w:r>
    </w:p>
    <w:p>
      <w:pPr>
        <w:pStyle w:val="Normal.0"/>
        <w:tabs>
          <w:tab w:val="left" w:pos="3375"/>
          <w:tab w:val="left" w:pos="5325"/>
        </w:tabs>
        <w:jc w:val="center"/>
        <w:rPr>
          <w:b w:val="1"/>
          <w:bCs w:val="1"/>
          <w:sz w:val="40"/>
          <w:szCs w:val="40"/>
          <w:u w:val="single"/>
        </w:rPr>
      </w:pPr>
    </w:p>
    <w:p>
      <w:pPr>
        <w:pStyle w:val="Normal.0"/>
        <w:tabs>
          <w:tab w:val="left" w:pos="3375"/>
          <w:tab w:val="left" w:pos="5325"/>
        </w:tabs>
        <w:jc w:val="center"/>
        <w:rPr>
          <w:b w:val="1"/>
          <w:bCs w:val="1"/>
          <w:u w:val="single"/>
        </w:rPr>
      </w:pPr>
    </w:p>
    <w:p>
      <w:pPr>
        <w:pStyle w:val="Normal.0"/>
        <w:tabs>
          <w:tab w:val="left" w:pos="3375"/>
          <w:tab w:val="left" w:pos="5325"/>
        </w:tabs>
        <w:jc w:val="center"/>
        <w:rPr>
          <w:b w:val="1"/>
          <w:bCs w:val="1"/>
          <w:u w:val="single"/>
        </w:rPr>
      </w:pPr>
    </w:p>
    <w:p>
      <w:pPr>
        <w:pStyle w:val="Normal.0"/>
        <w:tabs>
          <w:tab w:val="left" w:pos="3375"/>
          <w:tab w:val="left" w:pos="5325"/>
        </w:tabs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Cases Selected and Edited by</w:t>
      </w:r>
    </w:p>
    <w:p>
      <w:pPr>
        <w:pStyle w:val="Normal.0"/>
        <w:ind w:left="720" w:firstLine="0"/>
        <w:rPr>
          <w:i w:val="1"/>
          <w:i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i w:val="1"/>
          <w:iCs w:val="1"/>
          <w:sz w:val="28"/>
          <w:szCs w:val="28"/>
        </w:rPr>
      </w:pPr>
      <w:r>
        <w:rPr>
          <w:rtl w:val="0"/>
          <w:lang w:val="en-US"/>
        </w:rPr>
        <w:t xml:space="preserve">Dr.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Belu Gupta Arora</w:t>
      </w:r>
    </w:p>
    <w:p>
      <w:pPr>
        <w:pStyle w:val="Normal.0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Shourie Anand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FACULTY OF LAW</w:t>
      </w: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UNIVERSITY OF DELHI, DELHI-110007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July, 20</w:t>
      </w:r>
      <w:r>
        <w:rPr>
          <w:b w:val="1"/>
          <w:bCs w:val="1"/>
          <w:rtl w:val="0"/>
          <w:lang w:val="en-US"/>
        </w:rPr>
        <w:t>20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(Exclusively for Private Circulation) 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LL.B. III Term</w:t>
      </w:r>
    </w:p>
    <w:p>
      <w:pPr>
        <w:pStyle w:val="Normal.0"/>
        <w:jc w:val="center"/>
        <w:rPr>
          <w:b w:val="1"/>
          <w:bCs w:val="1"/>
          <w:sz w:val="28"/>
          <w:szCs w:val="28"/>
          <w:u w:val="single"/>
        </w:rPr>
      </w:pPr>
    </w:p>
    <w:p>
      <w:pPr>
        <w:pStyle w:val="Normal.0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Paper - LB - 302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Code of Civil Procedure and Limitation Act</w:t>
      </w:r>
    </w:p>
    <w:p>
      <w:pPr>
        <w:pStyle w:val="Normal.0"/>
        <w:tabs>
          <w:tab w:val="left" w:pos="5325"/>
        </w:tabs>
        <w:jc w:val="center"/>
        <w:rPr>
          <w:b w:val="1"/>
          <w:bCs w:val="1"/>
        </w:rPr>
      </w:pPr>
    </w:p>
    <w:p>
      <w:pPr>
        <w:pStyle w:val="Heading 1"/>
      </w:pPr>
      <w:r>
        <w:rPr>
          <w:rtl w:val="0"/>
          <w:lang w:val="en-US"/>
        </w:rPr>
        <w:t xml:space="preserve">PART : 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C.P.C.</w:t>
      </w:r>
    </w:p>
    <w:p>
      <w:pPr>
        <w:pStyle w:val="Normal.0"/>
        <w:tabs>
          <w:tab w:val="left" w:pos="5325"/>
        </w:tabs>
        <w:spacing w:after="12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Prescribed Legislations</w:t>
      </w:r>
      <w:r>
        <w:rPr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Normal.0"/>
        <w:ind w:left="75" w:hanging="75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Code of Civil Procedure, 1908  (Amendment) Act, 22 of 2002</w:t>
      </w:r>
    </w:p>
    <w:p>
      <w:pPr>
        <w:pStyle w:val="Normal.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3375"/>
          <w:tab w:val="left" w:pos="5325"/>
        </w:tabs>
        <w:ind w:left="360" w:hanging="36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Prescribed Books</w:t>
      </w:r>
      <w:r>
        <w:rPr>
          <w:b w:val="1"/>
          <w:bCs w:val="1"/>
          <w:sz w:val="22"/>
          <w:szCs w:val="22"/>
          <w:rtl w:val="0"/>
          <w:lang w:val="en-US"/>
        </w:rPr>
        <w:t xml:space="preserve"> : </w:t>
      </w:r>
    </w:p>
    <w:p>
      <w:pPr>
        <w:pStyle w:val="Normal.0"/>
        <w:tabs>
          <w:tab w:val="left" w:pos="3375"/>
          <w:tab w:val="left" w:pos="5325"/>
        </w:tabs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C.K. Takwani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s Civil Procedure</w:t>
      </w:r>
    </w:p>
    <w:p>
      <w:pPr>
        <w:pStyle w:val="Normal.0"/>
        <w:tabs>
          <w:tab w:val="left" w:pos="3375"/>
          <w:tab w:val="left" w:pos="5325"/>
        </w:tabs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AIR Manual of CPC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</w:t>
      </w:r>
    </w:p>
    <w:p>
      <w:pPr>
        <w:pStyle w:val="Normal.0"/>
        <w:tabs>
          <w:tab w:val="left" w:pos="3375"/>
          <w:tab w:val="left" w:pos="5325"/>
        </w:tabs>
        <w:ind w:left="360" w:hanging="360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>B. M. Prasad &amp; S. K. Sarvaria,</w:t>
      </w:r>
      <w:r>
        <w:rPr>
          <w:b w:val="1"/>
          <w:bCs w:val="1"/>
          <w:sz w:val="22"/>
          <w:szCs w:val="22"/>
          <w:rtl w:val="0"/>
          <w:lang w:val="en-US"/>
        </w:rPr>
        <w:t xml:space="preserve"> Mulla</w:t>
      </w:r>
      <w:r>
        <w:rPr>
          <w:b w:val="1"/>
          <w:bCs w:val="1"/>
          <w:sz w:val="22"/>
          <w:szCs w:val="22"/>
          <w:rtl w:val="0"/>
          <w:lang w:val="en-US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 xml:space="preserve">s 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Code of Civil Procedure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(17</w:t>
      </w:r>
      <w:r>
        <w:rPr>
          <w:sz w:val="22"/>
          <w:szCs w:val="22"/>
          <w:vertAlign w:val="superscript"/>
          <w:rtl w:val="0"/>
          <w:lang w:val="en-US"/>
        </w:rPr>
        <w:t>th</w:t>
      </w:r>
      <w:r>
        <w:rPr>
          <w:sz w:val="22"/>
          <w:szCs w:val="22"/>
          <w:rtl w:val="0"/>
          <w:lang w:val="en-US"/>
        </w:rPr>
        <w:t xml:space="preserve"> ed., 2007)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spacing w:after="12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1  :  Definitions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 </w:t>
      </w:r>
      <w:r>
        <w:rPr>
          <w:sz w:val="22"/>
          <w:szCs w:val="22"/>
          <w:rtl w:val="0"/>
          <w:lang w:val="en-US"/>
        </w:rPr>
        <w:t>Decree [section 2(2)],Judgement [section 2(9)] Legal Representative [section 2(11)], Mesne Profits [section 2(12)], Order [section 2(14)]</w:t>
      </w:r>
    </w:p>
    <w:p>
      <w:pPr>
        <w:pStyle w:val="Normal.0"/>
        <w:tabs>
          <w:tab w:val="left" w:pos="360"/>
        </w:tabs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Topic  2  :  Jurisdiction of Courts, Principle of Res  subjudice and Res judicata </w:t>
      </w:r>
    </w:p>
    <w:p>
      <w:pPr>
        <w:pStyle w:val="Normal.0"/>
        <w:tabs>
          <w:tab w:val="left" w:pos="360"/>
        </w:tabs>
        <w:spacing w:after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(Sections 9 to 11) and Order II, Rules 1 and 2 - Suit to include the whole claim.</w:t>
      </w:r>
      <w:r>
        <w:rPr>
          <w:sz w:val="22"/>
          <w:szCs w:val="22"/>
          <w:rtl w:val="0"/>
          <w:lang w:val="en-US"/>
        </w:rPr>
        <w:t xml:space="preserve"> Introduction to Commercial Courts Act,2015.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Gundaji Satwaji Shinde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Ram Chandra Bhikaji Joshi,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AIR 1979 SC 653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325"/>
              </w:tabs>
              <w:jc w:val="both"/>
              <w:rPr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Indian Bank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Maharashtra State Cooperative Marketing </w:t>
            </w:r>
          </w:p>
          <w:p>
            <w:pPr>
              <w:pStyle w:val="Normal.0"/>
              <w:tabs>
                <w:tab w:val="left" w:pos="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Federation Ltd,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AIR 1998 SC 1952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Iftikhar Ahmed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Syed Meharban Ali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 AIR 1974 SC 749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4.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325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State of U.P.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Nawab Hussain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, AIR 1977 SC 1680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5.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325"/>
              </w:tabs>
              <w:jc w:val="both"/>
              <w:rPr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C.A. Balakrishnan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Commissioner Corporation of Madras,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2003 Mad. 170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360"/>
        </w:tabs>
        <w:spacing w:after="120"/>
        <w:ind w:left="108" w:hanging="108"/>
        <w:rPr>
          <w:sz w:val="22"/>
          <w:szCs w:val="22"/>
        </w:rPr>
      </w:pPr>
    </w:p>
    <w:p>
      <w:pPr>
        <w:pStyle w:val="Normal.0"/>
        <w:tabs>
          <w:tab w:val="left" w:pos="5325"/>
        </w:tabs>
        <w:spacing w:after="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3  :  Place of Suing</w:t>
      </w:r>
      <w:r>
        <w:rPr>
          <w:sz w:val="22"/>
          <w:szCs w:val="22"/>
          <w:rtl w:val="0"/>
          <w:lang w:val="en-US"/>
        </w:rPr>
        <w:t xml:space="preserve">  (Sections 15 to 21-A)</w:t>
      </w:r>
    </w:p>
    <w:p>
      <w:pPr>
        <w:pStyle w:val="Normal.0"/>
        <w:tabs>
          <w:tab w:val="left" w:pos="5325"/>
        </w:tabs>
        <w:spacing w:after="60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Topic  4  : 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Garnishee Order ( O. 21 Rules 46-A to 46-I )</w:t>
      </w:r>
    </w:p>
    <w:p>
      <w:pPr>
        <w:pStyle w:val="Normal.0"/>
        <w:tabs>
          <w:tab w:val="left" w:pos="5325"/>
        </w:tabs>
        <w:spacing w:after="12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5  :  Suits by or Against Government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 (Sections 79, 80)</w:t>
      </w:r>
    </w:p>
    <w:p>
      <w:pPr>
        <w:pStyle w:val="Normal.0"/>
        <w:tabs>
          <w:tab w:val="left" w:pos="5325"/>
        </w:tabs>
        <w:spacing w:after="12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6  :  Appeals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sz w:val="22"/>
          <w:szCs w:val="22"/>
          <w:rtl w:val="0"/>
          <w:lang w:val="en-US"/>
        </w:rPr>
        <w:t>(i) Appeals from Orders and Decrees</w:t>
      </w:r>
      <w:r>
        <w:rPr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Second Appeal and Power of Appellate Court  (Sections 96, 100, 107(1)d) and Production of additional evidence at appellate stage; Order XLI, Rule 27</w:t>
      </w:r>
    </w:p>
    <w:p>
      <w:pPr>
        <w:pStyle w:val="Normal.0"/>
        <w:tabs>
          <w:tab w:val="left" w:pos="5325"/>
        </w:tabs>
        <w:spacing w:before="120" w:after="120"/>
        <w:jc w:val="both"/>
        <w:rPr>
          <w:sz w:val="22"/>
          <w:szCs w:val="22"/>
        </w:rPr>
      </w:pP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6.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tabs>
                <w:tab w:val="left" w:pos="720"/>
              </w:tabs>
              <w:rPr>
                <w:b w:val="0"/>
                <w:bCs w:val="0"/>
                <w:u w:val="none"/>
                <w:shd w:val="nil" w:color="auto" w:fill="auto"/>
              </w:rPr>
            </w:pPr>
            <w:r>
              <w:rPr>
                <w:b w:val="0"/>
                <w:bCs w:val="0"/>
                <w:i w:val="1"/>
                <w:iCs w:val="1"/>
                <w:u w:val="none"/>
                <w:shd w:val="nil" w:color="auto" w:fill="auto"/>
                <w:rtl w:val="0"/>
                <w:lang w:val="en-US"/>
              </w:rPr>
              <w:t xml:space="preserve">Chunilal V. Mehta  </w:t>
            </w:r>
            <w:r>
              <w:rPr>
                <w:b w:val="0"/>
                <w:bCs w:val="0"/>
                <w:u w:val="none"/>
                <w:shd w:val="nil" w:color="auto" w:fill="auto"/>
                <w:rtl w:val="0"/>
                <w:lang w:val="en-US"/>
              </w:rPr>
              <w:t>v.</w:t>
            </w:r>
            <w:r>
              <w:rPr>
                <w:b w:val="0"/>
                <w:bCs w:val="0"/>
                <w:i w:val="1"/>
                <w:iCs w:val="1"/>
                <w:u w:val="none"/>
                <w:shd w:val="nil" w:color="auto" w:fill="auto"/>
                <w:rtl w:val="0"/>
                <w:lang w:val="en-US"/>
              </w:rPr>
              <w:t xml:space="preserve"> Century Spinning and Manufacturing Co. Ltd</w:t>
            </w:r>
            <w:r>
              <w:rPr>
                <w:b w:val="0"/>
                <w:bCs w:val="0"/>
                <w:u w:val="none"/>
                <w:shd w:val="nil" w:color="auto" w:fill="auto"/>
                <w:rtl w:val="0"/>
                <w:lang w:val="en-US"/>
              </w:rPr>
              <w:t xml:space="preserve">.,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1962 SC1314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tabs>
                <w:tab w:val="left" w:pos="36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tabs>
                <w:tab w:val="left" w:pos="720"/>
              </w:tabs>
            </w:pPr>
            <w:r>
              <w:rPr>
                <w:b w:val="0"/>
                <w:bCs w:val="0"/>
                <w:i w:val="1"/>
                <w:iCs w:val="1"/>
                <w:u w:val="none"/>
                <w:shd w:val="nil" w:color="auto" w:fill="auto"/>
                <w:rtl w:val="0"/>
                <w:lang w:val="en-US"/>
              </w:rPr>
              <w:t xml:space="preserve">Koppi Setty </w:t>
            </w:r>
            <w:r>
              <w:rPr>
                <w:b w:val="0"/>
                <w:bCs w:val="0"/>
                <w:i w:val="0"/>
                <w:iCs w:val="0"/>
                <w:u w:val="none"/>
                <w:shd w:val="nil" w:color="auto" w:fill="auto"/>
                <w:rtl w:val="0"/>
                <w:lang w:val="en-US"/>
              </w:rPr>
              <w:t>v.</w:t>
            </w:r>
            <w:r>
              <w:rPr>
                <w:b w:val="0"/>
                <w:bCs w:val="0"/>
                <w:i w:val="1"/>
                <w:iCs w:val="1"/>
                <w:u w:val="none"/>
                <w:shd w:val="nil" w:color="auto" w:fill="auto"/>
                <w:rtl w:val="0"/>
                <w:lang w:val="en-US"/>
              </w:rPr>
              <w:t xml:space="preserve"> Ratnam </w:t>
            </w:r>
            <w:r>
              <w:rPr>
                <w:b w:val="0"/>
                <w:bCs w:val="0"/>
                <w:i w:val="0"/>
                <w:iCs w:val="0"/>
                <w:u w:val="none"/>
                <w:shd w:val="nil" w:color="auto" w:fill="auto"/>
                <w:rtl w:val="0"/>
                <w:lang w:val="en-US"/>
              </w:rPr>
              <w:t>v.</w:t>
            </w:r>
            <w:r>
              <w:rPr>
                <w:b w:val="0"/>
                <w:bCs w:val="0"/>
                <w:i w:val="1"/>
                <w:iCs w:val="1"/>
                <w:u w:val="none"/>
                <w:shd w:val="nil" w:color="auto" w:fill="auto"/>
                <w:rtl w:val="0"/>
                <w:lang w:val="en-US"/>
              </w:rPr>
              <w:t xml:space="preserve"> Pamarti Venka </w:t>
            </w:r>
            <w:r>
              <w:rPr>
                <w:b w:val="0"/>
                <w:bCs w:val="0"/>
                <w:i w:val="0"/>
                <w:iCs w:val="0"/>
                <w:u w:val="none"/>
                <w:shd w:val="nil" w:color="auto" w:fill="auto"/>
                <w:rtl w:val="0"/>
                <w:lang w:val="en-US"/>
              </w:rPr>
              <w:t>2009 RLR 27 (NSC)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38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8.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Gill &amp; Co.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Bimla Kumari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 1986 RLR 370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39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5325"/>
        </w:tabs>
        <w:spacing w:before="120" w:after="120"/>
        <w:ind w:left="108" w:hanging="108"/>
        <w:jc w:val="both"/>
        <w:rPr>
          <w:sz w:val="22"/>
          <w:szCs w:val="22"/>
        </w:rPr>
      </w:pPr>
    </w:p>
    <w:p>
      <w:pPr>
        <w:pStyle w:val="Normal.0"/>
        <w:tabs>
          <w:tab w:val="left" w:pos="525"/>
          <w:tab w:val="left" w:pos="975"/>
          <w:tab w:val="left" w:pos="5325"/>
        </w:tabs>
        <w:spacing w:before="120" w:after="120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Topic  7  :  Reference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S</w:t>
      </w:r>
      <w:r>
        <w:rPr>
          <w:sz w:val="22"/>
          <w:szCs w:val="22"/>
          <w:rtl w:val="0"/>
          <w:lang w:val="en-US"/>
        </w:rPr>
        <w:t>ection 113, Revision Section 115 and review Section 114 read with Order XLVII.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9.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Haridas Das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Smt. Usha Rani Banik, </w:t>
            </w:r>
            <w:r>
              <w:rPr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2006 (3) SCALE 287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51</w:t>
            </w:r>
          </w:p>
        </w:tc>
      </w:tr>
    </w:tbl>
    <w:p>
      <w:pPr>
        <w:pStyle w:val="Normal.0"/>
        <w:widowControl w:val="0"/>
        <w:tabs>
          <w:tab w:val="left" w:pos="525"/>
          <w:tab w:val="left" w:pos="975"/>
          <w:tab w:val="left" w:pos="5325"/>
        </w:tabs>
        <w:spacing w:before="120" w:after="120"/>
        <w:ind w:left="108" w:hanging="108"/>
        <w:jc w:val="both"/>
        <w:rPr>
          <w:sz w:val="22"/>
          <w:szCs w:val="22"/>
        </w:rPr>
      </w:pPr>
    </w:p>
    <w:p>
      <w:pPr>
        <w:pStyle w:val="Normal.0"/>
        <w:tabs>
          <w:tab w:val="left" w:pos="5325"/>
        </w:tabs>
        <w:spacing w:after="60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5325"/>
        </w:tabs>
        <w:spacing w:after="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8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: </w:t>
      </w:r>
      <w:r>
        <w:rPr>
          <w:sz w:val="22"/>
          <w:szCs w:val="22"/>
          <w:rtl w:val="0"/>
          <w:lang w:val="en-US"/>
        </w:rPr>
        <w:t xml:space="preserve"> Inherent Powers of Court  (Section 151)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10.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Mahant Ram Dass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Mahant Ganga Dass,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AIR 1961 S.C. 882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5325"/>
        </w:tabs>
        <w:spacing w:after="60"/>
        <w:ind w:left="108" w:hanging="108"/>
        <w:rPr>
          <w:sz w:val="22"/>
          <w:szCs w:val="22"/>
        </w:rPr>
      </w:pPr>
    </w:p>
    <w:p>
      <w:pPr>
        <w:pStyle w:val="Normal.0"/>
        <w:ind w:left="2160" w:firstLine="72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ORDERS  I to Ll</w:t>
      </w:r>
    </w:p>
    <w:p>
      <w:pPr>
        <w:pStyle w:val="Normal.0"/>
        <w:ind w:left="360" w:hanging="360"/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spacing w:after="120"/>
        <w:rPr>
          <w:sz w:val="22"/>
          <w:szCs w:val="22"/>
        </w:rPr>
      </w:pPr>
      <w:bookmarkStart w:name="Topic9PartiesToSuits" w:id="0"/>
      <w:r>
        <w:rPr>
          <w:b w:val="1"/>
          <w:bCs w:val="1"/>
          <w:sz w:val="22"/>
          <w:szCs w:val="22"/>
          <w:u w:val="single"/>
          <w:rtl w:val="0"/>
          <w:lang w:val="en-US"/>
        </w:rPr>
        <w:t>Topic 9 : Parties to Su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its</w:t>
      </w:r>
      <w:bookmarkEnd w:id="0"/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    </w:t>
      </w:r>
      <w:r>
        <w:rPr>
          <w:sz w:val="22"/>
          <w:szCs w:val="22"/>
          <w:rtl w:val="0"/>
          <w:lang w:val="en-US"/>
        </w:rPr>
        <w:t>Order I, Rules 1, 2 and 3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spacing w:after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Misjoinder and non joinder of parties</w:t>
      </w:r>
    </w:p>
    <w:p>
      <w:pPr>
        <w:pStyle w:val="Normal.0"/>
        <w:spacing w:after="120"/>
        <w:ind w:left="360" w:hanging="3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10 : Amendment of Pleadings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sz w:val="22"/>
          <w:szCs w:val="22"/>
          <w:rtl w:val="0"/>
          <w:lang w:val="en-US"/>
        </w:rPr>
        <w:t>(Order VI , Rule 17)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11.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60" w:hanging="360"/>
              <w:rPr>
                <w:i w:val="1"/>
                <w:iCs w:val="1"/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Jai Jai Ram Manohar Lal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National Building Material Supply Co.,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1969 S.C. 1267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tabs>
                <w:tab w:val="left" w:pos="36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59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12.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M/s Ganesh Trading Co.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Moji Ram,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AIR 1978 SC 484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63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13.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Dalip Kaur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Major Singh</w:t>
            </w:r>
            <w:r>
              <w:rPr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1996 P &amp; H 107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68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14.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B.K. Narayana Pillai v. Parameswaran Pillai,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(2000) 1 SCC 712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70</w:t>
            </w:r>
          </w:p>
        </w:tc>
      </w:tr>
    </w:tbl>
    <w:p>
      <w:pPr>
        <w:pStyle w:val="Normal.0"/>
        <w:widowControl w:val="0"/>
        <w:spacing w:after="120"/>
        <w:ind w:left="108" w:hanging="108"/>
        <w:rPr>
          <w:sz w:val="22"/>
          <w:szCs w:val="22"/>
        </w:rPr>
      </w:pPr>
    </w:p>
    <w:p>
      <w:pPr>
        <w:pStyle w:val="Normal.0"/>
        <w:spacing w:before="120" w:after="120"/>
        <w:ind w:left="360" w:hanging="3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11 : Rejection of Plaint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sz w:val="22"/>
          <w:szCs w:val="22"/>
          <w:rtl w:val="0"/>
          <w:lang w:val="en-US"/>
        </w:rPr>
        <w:t>(Order VII, Rule 11)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spacing w:after="12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15.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Saleem Bhai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State of Maharashtra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2003 SC 759</w:t>
              <w:tab/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73</w:t>
            </w:r>
          </w:p>
        </w:tc>
      </w:tr>
    </w:tbl>
    <w:p>
      <w:pPr>
        <w:pStyle w:val="Normal.0"/>
        <w:widowControl w:val="0"/>
        <w:spacing w:before="120" w:after="120"/>
        <w:ind w:left="108" w:hanging="108"/>
        <w:rPr>
          <w:sz w:val="22"/>
          <w:szCs w:val="22"/>
        </w:rPr>
      </w:pPr>
    </w:p>
    <w:p>
      <w:pPr>
        <w:pStyle w:val="Normal.0"/>
        <w:spacing w:before="120"/>
        <w:ind w:left="360" w:hanging="3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Topic  12 : Appearance of Parties and Consequences of Non-appearance  </w:t>
      </w:r>
    </w:p>
    <w:p>
      <w:pPr>
        <w:pStyle w:val="Normal.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(Order IX, Rules 6, 7 and 13)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16.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Sangram Singh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Election Tribunal,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AIR 1955 SC 425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75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17.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Rajni Kumar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Suresh Kumar Malhotra,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2003 (3) SCALE 434                               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86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18.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Bhanu Kumar Jain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Archana Kumar,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2005 SC 626</w:t>
            </w:r>
            <w:r>
              <w:rPr>
                <w:outline w:val="0"/>
                <w:color w:val="0000ff"/>
                <w:sz w:val="22"/>
                <w:szCs w:val="22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    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spacing w:after="12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90</w:t>
            </w:r>
          </w:p>
        </w:tc>
      </w:tr>
    </w:tbl>
    <w:p>
      <w:pPr>
        <w:pStyle w:val="Normal.0"/>
        <w:widowControl w:val="0"/>
        <w:spacing w:after="120"/>
        <w:ind w:left="108" w:hanging="108"/>
        <w:rPr>
          <w:sz w:val="22"/>
          <w:szCs w:val="22"/>
        </w:rPr>
      </w:pPr>
    </w:p>
    <w:p>
      <w:pPr>
        <w:pStyle w:val="Normal.0"/>
        <w:spacing w:before="120" w:after="120"/>
        <w:ind w:left="360" w:hanging="3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13  :  Summary Procedure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sz w:val="22"/>
          <w:szCs w:val="22"/>
          <w:rtl w:val="0"/>
          <w:lang w:val="en-US"/>
        </w:rPr>
        <w:t>(Order XXXVII, Rules  1 to 4)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19.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Santosh Kumar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Bhai Mool Singh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 AIR 1958 S.C. 321</w:t>
              <w:tab/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97</w:t>
            </w:r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20.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60" w:hanging="360"/>
              <w:rPr>
                <w:i w:val="1"/>
                <w:iCs w:val="1"/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M/s Mechalec Engineers and Manufacturers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Basic Equipment </w:t>
            </w:r>
          </w:p>
          <w:p>
            <w:pPr>
              <w:pStyle w:val="Normal.0"/>
              <w:tabs>
                <w:tab w:val="left" w:pos="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Corporation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 AIR 1977 SC 577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101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21.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ONGC Ltd.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State Bank of India,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AIR 2000 SC 2548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104</w:t>
            </w:r>
          </w:p>
        </w:tc>
      </w:tr>
    </w:tbl>
    <w:p>
      <w:pPr>
        <w:pStyle w:val="Normal.0"/>
        <w:widowControl w:val="0"/>
        <w:spacing w:before="120" w:after="120"/>
        <w:ind w:left="108" w:hanging="108"/>
        <w:rPr>
          <w:sz w:val="22"/>
          <w:szCs w:val="22"/>
        </w:rPr>
      </w:pPr>
    </w:p>
    <w:p>
      <w:pPr>
        <w:pStyle w:val="Normal.0"/>
        <w:spacing w:before="120" w:after="60"/>
        <w:ind w:left="360" w:hanging="36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14: Temporary Injunctions and Interlocutory Orders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sz w:val="22"/>
          <w:szCs w:val="22"/>
          <w:rtl w:val="0"/>
          <w:lang w:val="en-US"/>
        </w:rPr>
        <w:t>(Order XXXIX, Rules 1 to5)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0"/>
        <w:gridCol w:w="72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22.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Monohar Lal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Seth Hira Lal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1962 SC 527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109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23.</w:t>
            </w:r>
          </w:p>
        </w:tc>
        <w:tc>
          <w:tcPr>
            <w:tcW w:type="dxa" w:w="72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Dalpat Kaur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Prahlad Singh,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1993 SC 276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121</w:t>
            </w:r>
          </w:p>
        </w:tc>
      </w:tr>
    </w:tbl>
    <w:p>
      <w:pPr>
        <w:pStyle w:val="Normal.0"/>
        <w:widowControl w:val="0"/>
        <w:spacing w:before="120" w:after="60"/>
        <w:ind w:left="108" w:hanging="108"/>
        <w:rPr>
          <w:sz w:val="22"/>
          <w:szCs w:val="22"/>
        </w:rPr>
      </w:pPr>
    </w:p>
    <w:p>
      <w:pPr>
        <w:pStyle w:val="Normal.0"/>
        <w:ind w:left="360" w:hanging="360"/>
        <w:rPr>
          <w:sz w:val="22"/>
          <w:szCs w:val="22"/>
        </w:rPr>
      </w:pPr>
    </w:p>
    <w:p>
      <w:pPr>
        <w:pStyle w:val="Normal.0"/>
        <w:tabs>
          <w:tab w:val="left" w:pos="360"/>
        </w:tabs>
        <w:jc w:val="both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 15: Miscellaneous :</w:t>
      </w:r>
      <w:r>
        <w:rPr>
          <w:b w:val="1"/>
          <w:bCs w:val="1"/>
          <w:sz w:val="22"/>
          <w:szCs w:val="22"/>
          <w:u w:val="none"/>
          <w:rtl w:val="0"/>
          <w:lang w:val="en-US"/>
        </w:rPr>
        <w:t xml:space="preserve">      Alternative Dispute Resolution, Precepts, Interpleader     </w:t>
        <w:tab/>
        <w:tab/>
        <w:tab/>
        <w:tab/>
        <w:tab/>
        <w:tab/>
        <w:t>Suits, Indigent Suits, Caveat</w:t>
      </w:r>
    </w:p>
    <w:p>
      <w:pPr>
        <w:pStyle w:val="Normal.0"/>
        <w:tabs>
          <w:tab w:val="left" w:pos="360"/>
        </w:tabs>
        <w:jc w:val="both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2580"/>
          <w:tab w:val="left" w:pos="3375"/>
          <w:tab w:val="center" w:pos="4064"/>
          <w:tab w:val="left" w:pos="5325"/>
        </w:tabs>
        <w:jc w:val="center"/>
        <w:outlineLvl w:val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Part - B  :  Limitation</w:t>
      </w:r>
    </w:p>
    <w:p>
      <w:pPr>
        <w:pStyle w:val="Normal.0"/>
        <w:tabs>
          <w:tab w:val="left" w:pos="540"/>
          <w:tab w:val="left" w:pos="3375"/>
          <w:tab w:val="left" w:pos="5325"/>
        </w:tabs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5325"/>
        </w:tabs>
        <w:ind w:left="180" w:firstLine="0"/>
        <w:outlineLvl w:val="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Prescribed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Legislation</w:t>
      </w:r>
      <w:r>
        <w:rPr>
          <w:sz w:val="22"/>
          <w:szCs w:val="22"/>
          <w:rtl w:val="0"/>
          <w:lang w:val="en-US"/>
        </w:rPr>
        <w:t>:   The Limitation Act, 1963</w:t>
      </w:r>
    </w:p>
    <w:p>
      <w:pPr>
        <w:pStyle w:val="Normal.0"/>
        <w:tabs>
          <w:tab w:val="left" w:pos="3375"/>
          <w:tab w:val="left" w:pos="5325"/>
        </w:tabs>
        <w:spacing w:after="80"/>
        <w:ind w:left="187" w:firstLine="0"/>
        <w:outlineLvl w:val="0"/>
        <w:rPr>
          <w:sz w:val="22"/>
          <w:szCs w:val="22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Prescribed Books: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1.      M.R. Mallick, </w:t>
      </w:r>
      <w:r>
        <w:rPr>
          <w:b w:val="1"/>
          <w:bCs w:val="1"/>
          <w:sz w:val="22"/>
          <w:szCs w:val="22"/>
          <w:rtl w:val="0"/>
          <w:lang w:val="en-US"/>
        </w:rPr>
        <w:t xml:space="preserve">B.B. Mitra 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The Limitation Act,, 1963</w:t>
      </w:r>
      <w:r>
        <w:rPr>
          <w:sz w:val="22"/>
          <w:szCs w:val="22"/>
          <w:rtl w:val="0"/>
          <w:lang w:val="en-US"/>
        </w:rPr>
        <w:t xml:space="preserve"> (22</w:t>
      </w:r>
      <w:r>
        <w:rPr>
          <w:sz w:val="22"/>
          <w:szCs w:val="22"/>
          <w:vertAlign w:val="superscript"/>
          <w:rtl w:val="0"/>
          <w:lang w:val="en-US"/>
        </w:rPr>
        <w:t>nd</w:t>
      </w:r>
      <w:r>
        <w:rPr>
          <w:sz w:val="22"/>
          <w:szCs w:val="22"/>
          <w:rtl w:val="0"/>
          <w:lang w:val="en-US"/>
        </w:rPr>
        <w:t xml:space="preserve"> ed., 2011)</w:t>
      </w:r>
    </w:p>
    <w:p>
      <w:pPr>
        <w:pStyle w:val="Normal.0"/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2.      K. Shanmukham, </w:t>
      </w:r>
      <w:r>
        <w:rPr>
          <w:b w:val="1"/>
          <w:bCs w:val="1"/>
          <w:sz w:val="22"/>
          <w:szCs w:val="22"/>
          <w:rtl w:val="0"/>
          <w:lang w:val="en-US"/>
        </w:rPr>
        <w:t>Sanjiva Row</w:t>
      </w:r>
      <w:r>
        <w:rPr>
          <w:b w:val="1"/>
          <w:bCs w:val="1"/>
          <w:sz w:val="22"/>
          <w:szCs w:val="22"/>
          <w:rtl w:val="0"/>
          <w:lang w:val="en-US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 xml:space="preserve">s 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The Limitation Act</w:t>
      </w:r>
      <w:r>
        <w:rPr>
          <w:sz w:val="22"/>
          <w:szCs w:val="22"/>
          <w:rtl w:val="0"/>
          <w:lang w:val="en-US"/>
        </w:rPr>
        <w:t xml:space="preserve"> (9</w:t>
      </w:r>
      <w:r>
        <w:rPr>
          <w:sz w:val="22"/>
          <w:szCs w:val="22"/>
          <w:vertAlign w:val="superscript"/>
          <w:rtl w:val="0"/>
          <w:lang w:val="en-US"/>
        </w:rPr>
        <w:t>th</w:t>
      </w:r>
      <w:r>
        <w:rPr>
          <w:sz w:val="22"/>
          <w:szCs w:val="22"/>
          <w:rtl w:val="0"/>
          <w:lang w:val="en-US"/>
        </w:rPr>
        <w:t xml:space="preserve"> ed., 2000)</w:t>
      </w:r>
    </w:p>
    <w:p>
      <w:pPr>
        <w:pStyle w:val="Normal.0"/>
        <w:ind w:left="75" w:firstLine="0"/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ind w:left="180" w:firstLine="0"/>
        <w:jc w:val="center"/>
        <w:outlineLvl w:val="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 1  :  Limitation of Suits, Appeals and Applications (Sections 3-5)</w:t>
      </w:r>
    </w:p>
    <w:p>
      <w:pPr>
        <w:pStyle w:val="Normal.0"/>
        <w:ind w:left="75" w:firstLine="0"/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540"/>
        </w:tabs>
        <w:spacing w:after="120"/>
        <w:ind w:left="72" w:firstLine="468"/>
        <w:jc w:val="both"/>
        <w:rPr>
          <w:b w:val="1"/>
          <w:bCs w:val="1"/>
          <w:sz w:val="22"/>
          <w:szCs w:val="22"/>
          <w:u w:val="single"/>
        </w:rPr>
      </w:pPr>
      <w:r>
        <w:rPr>
          <w:sz w:val="22"/>
          <w:szCs w:val="22"/>
          <w:rtl w:val="0"/>
          <w:lang w:val="en-US"/>
        </w:rPr>
        <w:t xml:space="preserve">(a)  Effect of expiry of limitation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dismissal of suit, appeal, application (section 3)</w:t>
      </w:r>
    </w:p>
    <w:tbl>
      <w:tblPr>
        <w:tblW w:w="8127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"/>
        <w:gridCol w:w="6120"/>
        <w:gridCol w:w="1107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24.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R.B. Policies At Lloyd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Butler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(1949) 2 All  ER 226 </w:t>
            </w:r>
          </w:p>
        </w:tc>
        <w:tc>
          <w:tcPr>
            <w:tcW w:type="dxa" w:w="1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124</w:t>
            </w:r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25.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Union of India v. West Coast Paper Mills Ltd.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2004 SC 1596</w:t>
            </w:r>
          </w:p>
        </w:tc>
        <w:tc>
          <w:tcPr>
            <w:tcW w:type="dxa" w:w="1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26.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Punjab National Bank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Surendra Prasad Sinha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1992 SC 1815</w:t>
            </w:r>
          </w:p>
        </w:tc>
        <w:tc>
          <w:tcPr>
            <w:tcW w:type="dxa" w:w="1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134</w:t>
            </w:r>
          </w:p>
        </w:tc>
      </w:tr>
    </w:tbl>
    <w:p>
      <w:pPr>
        <w:pStyle w:val="Normal.0"/>
        <w:widowControl w:val="0"/>
        <w:tabs>
          <w:tab w:val="left" w:pos="540"/>
        </w:tabs>
        <w:spacing w:after="120"/>
        <w:ind w:left="288" w:hanging="288"/>
        <w:jc w:val="both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spacing w:before="120" w:after="120"/>
        <w:ind w:left="720" w:hanging="18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(b)  Extension of limitation (section 5)</w:t>
      </w:r>
    </w:p>
    <w:tbl>
      <w:tblPr>
        <w:tblW w:w="8073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"/>
        <w:gridCol w:w="6120"/>
        <w:gridCol w:w="1053"/>
      </w:tblGrid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27.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jc w:val="both"/>
              <w:rPr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Collector, Land Acquisition, Anantnag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v.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Katiji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tabs>
                <w:tab w:val="left" w:pos="5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1987 SC 1353</w:t>
            </w:r>
          </w:p>
        </w:tc>
        <w:tc>
          <w:tcPr>
            <w:tcW w:type="dxa" w:w="1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137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28.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State of Nagaland v. Lipok AO (2005) 3 SCC 752</w:t>
            </w:r>
          </w:p>
        </w:tc>
        <w:tc>
          <w:tcPr>
            <w:tcW w:type="dxa" w:w="10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139</w:t>
            </w:r>
          </w:p>
        </w:tc>
      </w:tr>
    </w:tbl>
    <w:p>
      <w:pPr>
        <w:pStyle w:val="Normal.0"/>
        <w:widowControl w:val="0"/>
        <w:spacing w:before="120" w:after="120"/>
        <w:ind w:left="288" w:hanging="288"/>
        <w:rPr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spacing w:after="120"/>
        <w:ind w:firstLine="187"/>
        <w:jc w:val="center"/>
        <w:outlineLvl w:val="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2:  Computation of Limitation (Sections 12, 17 to 19, 21)</w:t>
      </w:r>
    </w:p>
    <w:p>
      <w:pPr>
        <w:pStyle w:val="Normal.0"/>
        <w:tabs>
          <w:tab w:val="right" w:pos="8280"/>
        </w:tabs>
        <w:spacing w:after="120"/>
        <w:ind w:firstLine="5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(a)    Exclusion of time (sections 12)</w:t>
        <w:tab/>
      </w:r>
    </w:p>
    <w:tbl>
      <w:tblPr>
        <w:tblW w:w="8055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"/>
        <w:gridCol w:w="6120"/>
        <w:gridCol w:w="1035"/>
      </w:tblGrid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29.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jc w:val="both"/>
              <w:rPr>
                <w:i w:val="1"/>
                <w:iCs w:val="1"/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The Commissioner of Sales Tax, U.P.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v.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M/s. Madan  Lal Das </w:t>
            </w:r>
          </w:p>
          <w:p>
            <w:pPr>
              <w:pStyle w:val="Normal.0"/>
              <w:tabs>
                <w:tab w:val="left" w:pos="5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&amp; Sons, Bareilly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 AIR 1977 SC 523</w:t>
            </w:r>
          </w:p>
        </w:tc>
        <w:tc>
          <w:tcPr>
            <w:tcW w:type="dxa" w:w="10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145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30.</w:t>
            </w:r>
          </w:p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State of Uttar Pradesh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Maharaj Narain,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AIR 1968 SC 960</w:t>
            </w:r>
          </w:p>
        </w:tc>
        <w:tc>
          <w:tcPr>
            <w:tcW w:type="dxa" w:w="10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149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right" w:pos="8280"/>
        </w:tabs>
        <w:spacing w:after="120"/>
        <w:ind w:left="288" w:hanging="288"/>
        <w:rPr>
          <w:sz w:val="22"/>
          <w:szCs w:val="22"/>
        </w:rPr>
      </w:pPr>
    </w:p>
    <w:p>
      <w:pPr>
        <w:pStyle w:val="Normal.0"/>
        <w:spacing w:after="1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 (b)    Effect of fraud or mistake (section 17), Effect of acknowledgment (section 18), effect of payment (section 19) ,Effect of substituting or adding new plaintiff or defendant (section 21)</w:t>
      </w:r>
    </w:p>
    <w:tbl>
      <w:tblPr>
        <w:tblW w:w="8299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0"/>
        <w:gridCol w:w="6435"/>
        <w:gridCol w:w="934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31.</w:t>
            </w:r>
          </w:p>
        </w:tc>
        <w:tc>
          <w:tcPr>
            <w:tcW w:type="dxa" w:w="64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Mahabir Kishore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State of M.P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., AIR 1990 SC 313</w:t>
            </w:r>
          </w:p>
        </w:tc>
        <w:tc>
          <w:tcPr>
            <w:tcW w:type="dxa" w:w="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152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32.</w:t>
            </w:r>
          </w:p>
        </w:tc>
        <w:tc>
          <w:tcPr>
            <w:tcW w:type="dxa" w:w="64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Sampuran Singh v. Niranjan Kaur (Smt.) AIR 1999SC 1047</w:t>
            </w:r>
          </w:p>
        </w:tc>
        <w:tc>
          <w:tcPr>
            <w:tcW w:type="dxa" w:w="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158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120"/>
        <w:ind w:left="288" w:hanging="288"/>
        <w:rPr>
          <w:sz w:val="22"/>
          <w:szCs w:val="22"/>
        </w:rPr>
      </w:pPr>
    </w:p>
    <w:p>
      <w:pPr>
        <w:pStyle w:val="Normal.0"/>
        <w:tabs>
          <w:tab w:val="left" w:pos="5325"/>
        </w:tabs>
        <w:spacing w:before="60" w:after="100"/>
        <w:ind w:firstLine="187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Topic 3 :  Acquisition of Ownership by Possession (Sections 25-27)</w:t>
      </w:r>
    </w:p>
    <w:tbl>
      <w:tblPr>
        <w:tblW w:w="8299" w:type="dxa"/>
        <w:jc w:val="center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0"/>
        <w:gridCol w:w="6435"/>
        <w:gridCol w:w="934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33.</w:t>
            </w:r>
          </w:p>
        </w:tc>
        <w:tc>
          <w:tcPr>
            <w:tcW w:type="dxa" w:w="64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Rajender Singh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Santa Singh,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AIR 1973 SC 2537</w:t>
            </w:r>
          </w:p>
        </w:tc>
        <w:tc>
          <w:tcPr>
            <w:tcW w:type="dxa" w:w="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163</w:t>
            </w:r>
          </w:p>
        </w:tc>
      </w:tr>
    </w:tbl>
    <w:p>
      <w:pPr>
        <w:pStyle w:val="Normal.0"/>
        <w:widowControl w:val="0"/>
        <w:tabs>
          <w:tab w:val="left" w:pos="5325"/>
        </w:tabs>
        <w:spacing w:before="60" w:after="100"/>
        <w:ind w:left="288" w:hanging="288"/>
        <w:jc w:val="center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widowControl w:val="0"/>
        <w:tabs>
          <w:tab w:val="left" w:pos="5325"/>
        </w:tabs>
        <w:spacing w:before="60" w:after="100"/>
        <w:ind w:left="298" w:hanging="288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34.       Ravinder kaur Grewal &amp; Ors v. Manjeet Kaur &amp; Ors, Civil Appeal No.7764/2014    </w:t>
        <w:tab/>
        <w:tab/>
        <w:tab/>
        <w:tab/>
        <w:tab/>
        <w:t>SC</w:t>
      </w:r>
    </w:p>
    <w:p>
      <w:pPr>
        <w:pStyle w:val="Normal.0"/>
        <w:widowControl w:val="0"/>
        <w:tabs>
          <w:tab w:val="left" w:pos="5325"/>
        </w:tabs>
        <w:spacing w:before="60" w:after="100"/>
        <w:ind w:left="288" w:hanging="288"/>
        <w:jc w:val="center"/>
        <w:rPr>
          <w:u w:val="single"/>
        </w:rPr>
      </w:pPr>
    </w:p>
    <w:p>
      <w:pPr>
        <w:pStyle w:val="Normal.0"/>
        <w:spacing w:before="120" w:after="120"/>
        <w:ind w:left="187" w:firstLine="0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Topic 4 :  The Schedule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Period of Limitation</w:t>
      </w:r>
    </w:p>
    <w:p>
      <w:pPr>
        <w:pStyle w:val="Normal.0"/>
        <w:spacing w:after="120"/>
        <w:ind w:left="605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(a)  Article 113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Any suit  for which no period of limitation is provided elsewhere.</w:t>
      </w:r>
    </w:p>
    <w:tbl>
      <w:tblPr>
        <w:tblW w:w="8010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2"/>
        <w:gridCol w:w="6278"/>
        <w:gridCol w:w="990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7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35</w:t>
            </w:r>
            <w:r>
              <w:rPr>
                <w:sz w:val="22"/>
                <w:szCs w:val="22"/>
                <w:rtl w:val="0"/>
                <w:lang w:val="en-US"/>
              </w:rPr>
              <w:t>.</w:t>
            </w:r>
          </w:p>
        </w:tc>
        <w:tc>
          <w:tcPr>
            <w:tcW w:type="dxa" w:w="62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State of Punjab v. Gurdev Singh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(1991) 4 SCC 1</w:t>
            </w:r>
          </w:p>
        </w:tc>
        <w:tc>
          <w:tcPr>
            <w:tcW w:type="dxa" w:w="9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170</w:t>
            </w:r>
          </w:p>
        </w:tc>
      </w:tr>
    </w:tbl>
    <w:p>
      <w:pPr>
        <w:pStyle w:val="Normal.0"/>
        <w:widowControl w:val="0"/>
        <w:spacing w:after="120"/>
        <w:ind w:left="288" w:hanging="288"/>
        <w:jc w:val="both"/>
        <w:rPr>
          <w:sz w:val="22"/>
          <w:szCs w:val="22"/>
        </w:rPr>
      </w:pPr>
    </w:p>
    <w:p>
      <w:pPr>
        <w:pStyle w:val="Normal.0"/>
        <w:spacing w:after="120"/>
        <w:ind w:left="605" w:firstLine="0"/>
        <w:jc w:val="both"/>
        <w:rPr>
          <w:sz w:val="22"/>
          <w:szCs w:val="22"/>
        </w:rPr>
      </w:pPr>
    </w:p>
    <w:p>
      <w:pPr>
        <w:pStyle w:val="Normal.0"/>
        <w:spacing w:after="120"/>
        <w:ind w:left="605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(c)  Article 137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Limitation where no period is prescribed</w:t>
      </w:r>
    </w:p>
    <w:tbl>
      <w:tblPr>
        <w:tblW w:w="8028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2"/>
        <w:gridCol w:w="6278"/>
        <w:gridCol w:w="1008"/>
      </w:tblGrid>
      <w:tr>
        <w:tblPrEx>
          <w:shd w:val="clear" w:color="auto" w:fill="ced7e7"/>
        </w:tblPrEx>
        <w:trPr>
          <w:trHeight w:val="471" w:hRule="atLeast"/>
        </w:trPr>
        <w:tc>
          <w:tcPr>
            <w:tcW w:type="dxa" w:w="7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62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40"/>
              </w:tabs>
              <w:rPr>
                <w:i w:val="1"/>
                <w:iCs w:val="1"/>
                <w:sz w:val="22"/>
                <w:szCs w:val="22"/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Ajaib Singh </w:t>
            </w:r>
            <w:r>
              <w:rPr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v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Sirhind Cooperative Marketing-cum-Processing </w:t>
            </w:r>
          </w:p>
          <w:p>
            <w:pPr>
              <w:pStyle w:val="Normal.0"/>
              <w:tabs>
                <w:tab w:val="left" w:pos="5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Service Society Ltd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., AIR 1999 SC 1351 </w:t>
            </w:r>
          </w:p>
        </w:tc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174</w:t>
            </w:r>
          </w:p>
        </w:tc>
      </w:tr>
    </w:tbl>
    <w:p>
      <w:pPr>
        <w:pStyle w:val="Normal.0"/>
        <w:widowControl w:val="0"/>
        <w:spacing w:after="120"/>
        <w:ind w:left="288" w:hanging="288"/>
        <w:jc w:val="both"/>
        <w:rPr>
          <w:sz w:val="22"/>
          <w:szCs w:val="22"/>
        </w:rPr>
      </w:pPr>
    </w:p>
    <w:p>
      <w:pPr>
        <w:pStyle w:val="Normal.0"/>
        <w:tabs>
          <w:tab w:val="left" w:pos="360"/>
        </w:tabs>
        <w:spacing w:after="120"/>
        <w:jc w:val="both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360"/>
        </w:tabs>
        <w:spacing w:after="120"/>
        <w:jc w:val="both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360"/>
        </w:tabs>
        <w:spacing w:after="120"/>
        <w:jc w:val="both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360"/>
        </w:tabs>
        <w:spacing w:after="120"/>
        <w:jc w:val="both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IMPORTANT NOTE :</w:t>
      </w:r>
    </w:p>
    <w:p>
      <w:pPr>
        <w:pStyle w:val="Normal.0"/>
        <w:tabs>
          <w:tab w:val="left" w:pos="360"/>
        </w:tabs>
        <w:spacing w:after="120"/>
        <w:jc w:val="both"/>
      </w:pPr>
      <w:r>
        <w:rPr>
          <w:rtl w:val="0"/>
          <w:lang w:val="en-US"/>
        </w:rPr>
        <w:t>1.</w:t>
        <w:tab/>
        <w:t>The topics and cases given above are not exhaustive. The teachers teaching the course shall be at liberty to add new topics/cases.</w:t>
      </w:r>
    </w:p>
    <w:p>
      <w:pPr>
        <w:pStyle w:val="Normal.0"/>
        <w:tabs>
          <w:tab w:val="left" w:pos="360"/>
        </w:tabs>
        <w:spacing w:after="12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2.</w:t>
        <w:tab/>
        <w:t>The students are required to study the legislations as amended up to date and also to consider and correlate amendments and cases under this Topic with other topics and cases.</w:t>
      </w:r>
    </w:p>
    <w:p>
      <w:pPr>
        <w:pStyle w:val="Normal.0"/>
        <w:tabs>
          <w:tab w:val="left" w:pos="1560"/>
        </w:tabs>
        <w:spacing w:after="80"/>
        <w:ind w:firstLine="3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3.    The question paper shall include one compulsory question</w:t>
      </w:r>
      <w:r>
        <w:rPr>
          <w:sz w:val="22"/>
          <w:szCs w:val="22"/>
          <w:rtl w:val="0"/>
          <w:lang w:val="en-US"/>
        </w:rPr>
        <w:t xml:space="preserve"> each from Part-A and  Part-B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Normal.0"/>
        <w:tabs>
          <w:tab w:val="left" w:pos="1560"/>
        </w:tabs>
        <w:jc w:val="center"/>
        <w:rPr>
          <w:sz w:val="22"/>
          <w:szCs w:val="22"/>
        </w:rPr>
      </w:pPr>
    </w:p>
    <w:p>
      <w:pPr>
        <w:pStyle w:val="Normal.0"/>
        <w:tabs>
          <w:tab w:val="left" w:pos="1560"/>
        </w:tabs>
        <w:jc w:val="center"/>
        <w:rPr>
          <w:sz w:val="22"/>
          <w:szCs w:val="22"/>
        </w:rPr>
      </w:pPr>
    </w:p>
    <w:p>
      <w:pPr>
        <w:pStyle w:val="Normal.0"/>
        <w:tabs>
          <w:tab w:val="left" w:pos="1560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* * * * *</w:t>
      </w:r>
    </w:p>
    <w:p>
      <w:pPr>
        <w:pStyle w:val="Normal.0"/>
        <w:tabs>
          <w:tab w:val="left" w:pos="1560"/>
          <w:tab w:val="center" w:pos="4154"/>
          <w:tab w:val="left" w:pos="6807"/>
        </w:tabs>
        <w:rPr>
          <w:b w:val="1"/>
          <w:bCs w:val="1"/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</w:p>
    <w:p>
      <w:pPr>
        <w:pStyle w:val="Normal.0"/>
        <w:spacing w:after="240"/>
        <w:jc w:val="center"/>
        <w:rPr>
          <w:b w:val="1"/>
          <w:bCs w:val="1"/>
          <w:sz w:val="22"/>
          <w:szCs w:val="2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  <w:br w:type="page"/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448" w:right="1800" w:bottom="3168" w:left="1800" w:header="1944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525"/>
        <w:tab w:val="left" w:pos="975"/>
        <w:tab w:val="left" w:pos="5325"/>
      </w:tabs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