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19D3" w:rsidRDefault="0019098B">
      <w:pPr>
        <w:spacing w:after="0" w:line="259" w:lineRule="auto"/>
        <w:ind w:left="0" w:firstLine="0"/>
      </w:pPr>
      <w:r>
        <w:rPr>
          <w:color w:val="262626"/>
          <w:sz w:val="32"/>
        </w:rPr>
        <w:t xml:space="preserve">LB:3033 – Legal Philosophy Including Theory of Justice </w:t>
      </w:r>
    </w:p>
    <w:p w:rsidR="00B119D3" w:rsidRDefault="0019098B">
      <w:pPr>
        <w:spacing w:after="13" w:line="259" w:lineRule="auto"/>
        <w:ind w:left="0" w:firstLine="0"/>
      </w:pPr>
      <w:r>
        <w:rPr>
          <w:sz w:val="2"/>
        </w:rPr>
        <w:t xml:space="preserve"> </w:t>
      </w:r>
    </w:p>
    <w:p w:rsidR="00B119D3" w:rsidRDefault="0019098B">
      <w:pPr>
        <w:spacing w:after="5" w:line="259" w:lineRule="auto"/>
        <w:ind w:left="0" w:right="-37" w:firstLine="0"/>
      </w:pPr>
      <w:r>
        <w:rPr>
          <w:noProof/>
          <w:sz w:val="22"/>
        </w:rPr>
        <mc:AlternateContent>
          <mc:Choice Requires="wpg">
            <w:drawing>
              <wp:inline distT="0" distB="0" distL="0" distR="0">
                <wp:extent cx="5944489" cy="12192"/>
                <wp:effectExtent l="0" t="0" r="0" b="0"/>
                <wp:docPr id="3072" name="Group 3072"/>
                <wp:cNvGraphicFramePr/>
                <a:graphic xmlns:a="http://schemas.openxmlformats.org/drawingml/2006/main">
                  <a:graphicData uri="http://schemas.microsoft.com/office/word/2010/wordprocessingGroup">
                    <wpg:wgp>
                      <wpg:cNvGrpSpPr/>
                      <wpg:grpSpPr>
                        <a:xfrm>
                          <a:off x="0" y="0"/>
                          <a:ext cx="5944489" cy="12192"/>
                          <a:chOff x="0" y="0"/>
                          <a:chExt cx="5944489" cy="12192"/>
                        </a:xfrm>
                      </wpg:grpSpPr>
                      <wps:wsp>
                        <wps:cNvPr id="3831" name="Shape 3831"/>
                        <wps:cNvSpPr/>
                        <wps:spPr>
                          <a:xfrm>
                            <a:off x="0" y="0"/>
                            <a:ext cx="5944489" cy="12192"/>
                          </a:xfrm>
                          <a:custGeom>
                            <a:avLst/>
                            <a:gdLst/>
                            <a:ahLst/>
                            <a:cxnLst/>
                            <a:rect l="0" t="0" r="0" b="0"/>
                            <a:pathLst>
                              <a:path w="5944489" h="12192">
                                <a:moveTo>
                                  <a:pt x="0" y="0"/>
                                </a:moveTo>
                                <a:lnTo>
                                  <a:pt x="5944489" y="0"/>
                                </a:lnTo>
                                <a:lnTo>
                                  <a:pt x="5944489" y="12192"/>
                                </a:lnTo>
                                <a:lnTo>
                                  <a:pt x="0" y="12192"/>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g:wgp>
                  </a:graphicData>
                </a:graphic>
              </wp:inline>
            </w:drawing>
          </mc:Choice>
          <mc:Fallback xmlns:a="http://schemas.openxmlformats.org/drawingml/2006/main">
            <w:pict>
              <v:group id="Group 3072" style="width:468.07pt;height:0.960022pt;mso-position-horizontal-relative:char;mso-position-vertical-relative:line" coordsize="59444,121">
                <v:shape id="Shape 3832" style="position:absolute;width:59444;height:121;left:0;top:0;" coordsize="5944489,12192" path="m0,0l5944489,0l5944489,12192l0,12192l0,0">
                  <v:stroke weight="0pt" endcap="flat" joinstyle="miter" miterlimit="10" on="false" color="#000000" opacity="0"/>
                  <v:fill on="true" color="#c6c6c6"/>
                </v:shape>
              </v:group>
            </w:pict>
          </mc:Fallback>
        </mc:AlternateContent>
      </w:r>
    </w:p>
    <w:p w:rsidR="00B119D3" w:rsidRDefault="0019098B">
      <w:pPr>
        <w:spacing w:after="453" w:line="259" w:lineRule="auto"/>
        <w:ind w:left="0" w:firstLine="0"/>
      </w:pPr>
      <w:r>
        <w:rPr>
          <w:sz w:val="2"/>
        </w:rPr>
        <w:t xml:space="preserve"> </w:t>
      </w:r>
    </w:p>
    <w:p w:rsidR="00B119D3" w:rsidRDefault="0019098B">
      <w:pPr>
        <w:pStyle w:val="Heading1"/>
        <w:ind w:left="-5"/>
      </w:pPr>
      <w:r>
        <w:rPr>
          <w:rFonts w:ascii="Calibri" w:eastAsia="Calibri" w:hAnsi="Calibri" w:cs="Calibri"/>
          <w:b w:val="0"/>
          <w:sz w:val="3"/>
          <w:vertAlign w:val="superscript"/>
        </w:rPr>
        <w:t xml:space="preserve">   </w:t>
      </w:r>
      <w:r>
        <w:t xml:space="preserve">  UNIT -1 - LAW AND MORALITY </w:t>
      </w:r>
      <w:r>
        <w:rPr>
          <w:rFonts w:ascii="Calibri" w:eastAsia="Calibri" w:hAnsi="Calibri" w:cs="Calibri"/>
          <w:b w:val="0"/>
          <w:sz w:val="3"/>
          <w:vertAlign w:val="superscript"/>
        </w:rPr>
        <w:t xml:space="preserve"> </w:t>
      </w:r>
    </w:p>
    <w:p w:rsidR="00B119D3" w:rsidRDefault="0019098B">
      <w:pPr>
        <w:spacing w:after="161" w:line="250" w:lineRule="auto"/>
        <w:ind w:left="-5"/>
      </w:pPr>
      <w:r>
        <w:rPr>
          <w:sz w:val="24"/>
        </w:rPr>
        <w:t xml:space="preserve">This unit examines the concept of law and explore the relation between law and morality. It further examines how this relationship has been framed in the Indian context.                        </w:t>
      </w:r>
      <w:r>
        <w:rPr>
          <w:rFonts w:ascii="Arial" w:eastAsia="Arial" w:hAnsi="Arial" w:cs="Arial"/>
          <w:b/>
          <w:sz w:val="32"/>
        </w:rPr>
        <w:t xml:space="preserve"> </w:t>
      </w:r>
    </w:p>
    <w:p w:rsidR="00B119D3" w:rsidRDefault="0019098B">
      <w:pPr>
        <w:spacing w:after="258" w:line="250" w:lineRule="auto"/>
        <w:ind w:left="-5"/>
      </w:pPr>
      <w:r>
        <w:rPr>
          <w:sz w:val="24"/>
        </w:rPr>
        <w:t xml:space="preserve">READINGS:  </w:t>
      </w:r>
    </w:p>
    <w:p w:rsidR="00B119D3" w:rsidRDefault="0019098B">
      <w:pPr>
        <w:numPr>
          <w:ilvl w:val="0"/>
          <w:numId w:val="1"/>
        </w:numPr>
        <w:ind w:hanging="422"/>
      </w:pPr>
      <w:r>
        <w:t>H.L.A. Hart, The Concept of Law (2</w:t>
      </w:r>
      <w:r>
        <w:rPr>
          <w:vertAlign w:val="superscript"/>
        </w:rPr>
        <w:t>nd</w:t>
      </w:r>
      <w:r>
        <w:t xml:space="preserve"> ed., 1994) </w:t>
      </w:r>
    </w:p>
    <w:p w:rsidR="00B119D3" w:rsidRDefault="0019098B">
      <w:pPr>
        <w:spacing w:after="16" w:line="259" w:lineRule="auto"/>
        <w:ind w:left="720" w:firstLine="0"/>
      </w:pPr>
      <w:r>
        <w:t xml:space="preserve">                                                                                                                                     </w:t>
      </w:r>
    </w:p>
    <w:p w:rsidR="00B119D3" w:rsidRPr="0019098B" w:rsidRDefault="0019098B">
      <w:pPr>
        <w:numPr>
          <w:ilvl w:val="0"/>
          <w:numId w:val="1"/>
        </w:numPr>
        <w:ind w:hanging="422"/>
        <w:rPr>
          <w:u w:val="single"/>
        </w:rPr>
      </w:pPr>
      <w:r w:rsidRPr="0019098B">
        <w:rPr>
          <w:u w:val="single"/>
        </w:rPr>
        <w:t xml:space="preserve">Lon L. Fuller, Positivism and Fidelity to Law: A Reply to Professor Hart, </w:t>
      </w:r>
    </w:p>
    <w:p w:rsidR="00B119D3" w:rsidRDefault="0019098B">
      <w:pPr>
        <w:ind w:left="730"/>
      </w:pPr>
      <w:r w:rsidRPr="0019098B">
        <w:rPr>
          <w:u w:val="single"/>
        </w:rPr>
        <w:t>Harvard Law Review Vol.71, No.4 (Feb.,1958), pp.630 -672</w:t>
      </w:r>
      <w:r>
        <w:t xml:space="preserve"> </w:t>
      </w:r>
    </w:p>
    <w:p w:rsidR="00B119D3" w:rsidRDefault="0019098B">
      <w:pPr>
        <w:spacing w:after="14" w:line="259" w:lineRule="auto"/>
        <w:ind w:left="720" w:firstLine="0"/>
      </w:pPr>
      <w:r>
        <w:t xml:space="preserve"> </w:t>
      </w:r>
    </w:p>
    <w:p w:rsidR="00B119D3" w:rsidRDefault="0019098B">
      <w:pPr>
        <w:numPr>
          <w:ilvl w:val="0"/>
          <w:numId w:val="1"/>
        </w:numPr>
        <w:ind w:hanging="422"/>
      </w:pPr>
      <w:r>
        <w:t xml:space="preserve">Lon L. Fuller, The Morality of Law (1969, Indian reprint 2006) </w:t>
      </w:r>
    </w:p>
    <w:p w:rsidR="00B119D3" w:rsidRDefault="0019098B">
      <w:pPr>
        <w:spacing w:after="16" w:line="259" w:lineRule="auto"/>
        <w:ind w:left="720" w:firstLine="0"/>
      </w:pPr>
      <w:r>
        <w:t xml:space="preserve"> </w:t>
      </w:r>
    </w:p>
    <w:p w:rsidR="00B119D3" w:rsidRPr="0019098B" w:rsidRDefault="0019098B">
      <w:pPr>
        <w:numPr>
          <w:ilvl w:val="0"/>
          <w:numId w:val="1"/>
        </w:numPr>
        <w:ind w:hanging="422"/>
        <w:rPr>
          <w:u w:val="single"/>
        </w:rPr>
      </w:pPr>
      <w:r w:rsidRPr="0019098B">
        <w:rPr>
          <w:u w:val="single"/>
        </w:rPr>
        <w:t xml:space="preserve">Lon L. Fuller, The Case of the Speluncean Explorers, Harvard Law Review </w:t>
      </w:r>
    </w:p>
    <w:p w:rsidR="00B119D3" w:rsidRPr="0019098B" w:rsidRDefault="0019098B">
      <w:pPr>
        <w:ind w:left="730"/>
        <w:rPr>
          <w:u w:val="single"/>
        </w:rPr>
      </w:pPr>
      <w:r w:rsidRPr="0019098B">
        <w:rPr>
          <w:u w:val="single"/>
        </w:rPr>
        <w:t xml:space="preserve">616-664 (1949) </w:t>
      </w:r>
    </w:p>
    <w:p w:rsidR="00B119D3" w:rsidRDefault="0019098B">
      <w:pPr>
        <w:spacing w:after="0" w:line="259" w:lineRule="auto"/>
        <w:ind w:left="720" w:firstLine="0"/>
      </w:pPr>
      <w:r>
        <w:t xml:space="preserve"> </w:t>
      </w:r>
    </w:p>
    <w:p w:rsidR="00B119D3" w:rsidRDefault="0019098B">
      <w:pPr>
        <w:spacing w:after="16" w:line="259" w:lineRule="auto"/>
        <w:ind w:left="720" w:firstLine="0"/>
      </w:pPr>
      <w:r>
        <w:t xml:space="preserve"> </w:t>
      </w:r>
    </w:p>
    <w:p w:rsidR="00B119D3" w:rsidRPr="0019098B" w:rsidRDefault="0019098B">
      <w:pPr>
        <w:numPr>
          <w:ilvl w:val="0"/>
          <w:numId w:val="1"/>
        </w:numPr>
        <w:ind w:hanging="422"/>
        <w:rPr>
          <w:u w:val="single"/>
        </w:rPr>
      </w:pPr>
      <w:r w:rsidRPr="0019098B">
        <w:rPr>
          <w:u w:val="single"/>
        </w:rPr>
        <w:t xml:space="preserve">Roscoe Pound, The Call for a Realist Jurisprudence, Harvard Law Review, Vol. 44, No. 5 (Mar., 1931), pp. 697 </w:t>
      </w:r>
    </w:p>
    <w:p w:rsidR="00B119D3" w:rsidRPr="0019098B" w:rsidRDefault="0019098B">
      <w:pPr>
        <w:spacing w:after="17" w:line="259" w:lineRule="auto"/>
        <w:ind w:left="720" w:firstLine="0"/>
        <w:rPr>
          <w:u w:val="single"/>
        </w:rPr>
      </w:pPr>
      <w:r w:rsidRPr="0019098B">
        <w:rPr>
          <w:u w:val="single"/>
        </w:rPr>
        <w:t xml:space="preserve"> </w:t>
      </w:r>
    </w:p>
    <w:p w:rsidR="00B119D3" w:rsidRPr="0019098B" w:rsidRDefault="0019098B">
      <w:pPr>
        <w:numPr>
          <w:ilvl w:val="0"/>
          <w:numId w:val="1"/>
        </w:numPr>
        <w:ind w:hanging="422"/>
        <w:rPr>
          <w:u w:val="single"/>
        </w:rPr>
      </w:pPr>
      <w:r w:rsidRPr="0019098B">
        <w:rPr>
          <w:u w:val="single"/>
        </w:rPr>
        <w:t xml:space="preserve">Richard F. Bernstein, Legal Utilitarianism, Ethics, Vol. 89, No. 2 (Jan., 1979), pp. 127-146 </w:t>
      </w:r>
    </w:p>
    <w:p w:rsidR="00B119D3" w:rsidRPr="0019098B" w:rsidRDefault="0019098B">
      <w:pPr>
        <w:spacing w:after="0" w:line="259" w:lineRule="auto"/>
        <w:ind w:left="720" w:firstLine="0"/>
        <w:rPr>
          <w:u w:val="single"/>
        </w:rPr>
      </w:pPr>
      <w:r w:rsidRPr="0019098B">
        <w:rPr>
          <w:u w:val="single"/>
        </w:rPr>
        <w:t xml:space="preserve"> </w:t>
      </w:r>
    </w:p>
    <w:p w:rsidR="00B119D3" w:rsidRPr="0019098B" w:rsidRDefault="0019098B">
      <w:pPr>
        <w:spacing w:after="14" w:line="259" w:lineRule="auto"/>
        <w:ind w:left="720" w:firstLine="0"/>
        <w:rPr>
          <w:u w:val="single"/>
        </w:rPr>
      </w:pPr>
      <w:r w:rsidRPr="0019098B">
        <w:rPr>
          <w:u w:val="single"/>
        </w:rPr>
        <w:t xml:space="preserve"> </w:t>
      </w:r>
    </w:p>
    <w:p w:rsidR="00B119D3" w:rsidRPr="0019098B" w:rsidRDefault="0019098B">
      <w:pPr>
        <w:numPr>
          <w:ilvl w:val="0"/>
          <w:numId w:val="1"/>
        </w:numPr>
        <w:ind w:hanging="422"/>
        <w:rPr>
          <w:u w:val="single"/>
        </w:rPr>
      </w:pPr>
      <w:r w:rsidRPr="0019098B">
        <w:rPr>
          <w:u w:val="single"/>
        </w:rPr>
        <w:t xml:space="preserve">V.S Hegde ‘Relationship Between Law and Morality: A Philosophical Appraisal of Gandhi’s Views’ Indian Philosophical Quarterly Vol. X, No. 3 April 1983 </w:t>
      </w:r>
    </w:p>
    <w:p w:rsidR="00B119D3" w:rsidRPr="0019098B" w:rsidRDefault="0019098B">
      <w:pPr>
        <w:spacing w:after="14" w:line="259" w:lineRule="auto"/>
        <w:ind w:left="720" w:firstLine="0"/>
        <w:rPr>
          <w:u w:val="single"/>
        </w:rPr>
      </w:pPr>
      <w:r w:rsidRPr="0019098B">
        <w:rPr>
          <w:u w:val="single"/>
        </w:rPr>
        <w:t xml:space="preserve"> </w:t>
      </w:r>
    </w:p>
    <w:p w:rsidR="00B119D3" w:rsidRPr="0019098B" w:rsidRDefault="0019098B">
      <w:pPr>
        <w:numPr>
          <w:ilvl w:val="0"/>
          <w:numId w:val="1"/>
        </w:numPr>
        <w:ind w:hanging="422"/>
        <w:rPr>
          <w:u w:val="single"/>
        </w:rPr>
      </w:pPr>
      <w:r w:rsidRPr="0019098B">
        <w:rPr>
          <w:u w:val="single"/>
        </w:rPr>
        <w:t>William C. Starr, Law and Morality in H.L.A. Hart’s Legal Philosophy, 67 M</w:t>
      </w:r>
      <w:r w:rsidRPr="0019098B">
        <w:rPr>
          <w:sz w:val="20"/>
          <w:u w:val="single"/>
        </w:rPr>
        <w:t>ARQ.</w:t>
      </w:r>
      <w:r w:rsidRPr="0019098B">
        <w:rPr>
          <w:u w:val="single"/>
        </w:rPr>
        <w:t xml:space="preserve"> L. R</w:t>
      </w:r>
      <w:r w:rsidRPr="0019098B">
        <w:rPr>
          <w:sz w:val="20"/>
          <w:u w:val="single"/>
        </w:rPr>
        <w:t>EV.</w:t>
      </w:r>
      <w:r w:rsidRPr="0019098B">
        <w:rPr>
          <w:u w:val="single"/>
        </w:rPr>
        <w:t xml:space="preserve"> 673 (1984). Available at: </w:t>
      </w:r>
    </w:p>
    <w:p w:rsidR="00B119D3" w:rsidRPr="0019098B" w:rsidRDefault="00034FA9">
      <w:pPr>
        <w:spacing w:after="11" w:line="250" w:lineRule="auto"/>
        <w:ind w:left="730"/>
        <w:rPr>
          <w:u w:val="single"/>
        </w:rPr>
      </w:pPr>
      <w:hyperlink r:id="rId5">
        <w:r w:rsidR="0019098B" w:rsidRPr="0019098B">
          <w:rPr>
            <w:color w:val="0563C1"/>
            <w:u w:val="single" w:color="0563C1"/>
          </w:rPr>
          <w:t>http://scholarship.law.marquette.edu/mulr/vol67/iss4/8</w:t>
        </w:r>
      </w:hyperlink>
      <w:hyperlink r:id="rId6">
        <w:r w:rsidR="0019098B" w:rsidRPr="0019098B">
          <w:rPr>
            <w:u w:val="single"/>
          </w:rPr>
          <w:t xml:space="preserve"> </w:t>
        </w:r>
      </w:hyperlink>
    </w:p>
    <w:p w:rsidR="00B119D3" w:rsidRPr="0019098B" w:rsidRDefault="0019098B">
      <w:pPr>
        <w:spacing w:after="172" w:line="259" w:lineRule="auto"/>
        <w:ind w:left="720" w:firstLine="0"/>
        <w:rPr>
          <w:u w:val="single"/>
        </w:rPr>
      </w:pPr>
      <w:r w:rsidRPr="0019098B">
        <w:rPr>
          <w:u w:val="single"/>
        </w:rPr>
        <w:t xml:space="preserve"> </w:t>
      </w:r>
    </w:p>
    <w:p w:rsidR="00B119D3" w:rsidRDefault="0019098B">
      <w:pPr>
        <w:spacing w:after="259" w:line="259" w:lineRule="auto"/>
        <w:ind w:left="0" w:firstLine="0"/>
      </w:pPr>
      <w:r>
        <w:t xml:space="preserve"> </w:t>
      </w:r>
    </w:p>
    <w:p w:rsidR="00B119D3" w:rsidRDefault="0019098B">
      <w:pPr>
        <w:pStyle w:val="Heading1"/>
        <w:ind w:left="-5"/>
      </w:pPr>
      <w:r>
        <w:rPr>
          <w:rFonts w:ascii="Calibri" w:eastAsia="Calibri" w:hAnsi="Calibri" w:cs="Calibri"/>
          <w:b w:val="0"/>
          <w:sz w:val="28"/>
        </w:rPr>
        <w:t xml:space="preserve"> </w:t>
      </w:r>
      <w:r>
        <w:t xml:space="preserve">UNIT -2 – LAW, EQUALITY AND LIBERTY </w:t>
      </w:r>
    </w:p>
    <w:p w:rsidR="00B119D3" w:rsidRDefault="0019098B">
      <w:pPr>
        <w:spacing w:after="192" w:line="250" w:lineRule="auto"/>
        <w:ind w:left="-5"/>
      </w:pPr>
      <w:r>
        <w:rPr>
          <w:sz w:val="24"/>
        </w:rPr>
        <w:t xml:space="preserve">The focus of this unit is to understand the concepts of equality and liberty and their relevance in the study of law. The concept of equality can be employed for achieving substantive equality or equality of results to create a more equal society. The student will have required to evaluate the moral and philosophical justification for according preferential treatment to historically or socially disadvantaged groups. The paper will also examine the different conception of liberty and the importance of liberty for democracy and individual fulfilment. </w:t>
      </w:r>
    </w:p>
    <w:p w:rsidR="00B119D3" w:rsidRDefault="0019098B">
      <w:pPr>
        <w:spacing w:after="205" w:line="259" w:lineRule="auto"/>
        <w:ind w:left="720" w:firstLine="0"/>
      </w:pPr>
      <w:r>
        <w:rPr>
          <w:sz w:val="24"/>
        </w:rPr>
        <w:t xml:space="preserve">  </w:t>
      </w:r>
    </w:p>
    <w:p w:rsidR="00B119D3" w:rsidRDefault="0019098B">
      <w:pPr>
        <w:spacing w:after="222" w:line="250" w:lineRule="auto"/>
        <w:ind w:left="-5"/>
      </w:pPr>
      <w:r>
        <w:rPr>
          <w:sz w:val="24"/>
        </w:rPr>
        <w:t xml:space="preserve">READINDS:   </w:t>
      </w:r>
      <w:r>
        <w:t xml:space="preserve"> </w:t>
      </w:r>
    </w:p>
    <w:p w:rsidR="00B119D3" w:rsidRDefault="0019098B">
      <w:pPr>
        <w:numPr>
          <w:ilvl w:val="0"/>
          <w:numId w:val="2"/>
        </w:numPr>
        <w:ind w:hanging="422"/>
      </w:pPr>
      <w:r>
        <w:t xml:space="preserve">Ronald Dworkin, ‘What is Equality? Part 1: Equality of Welfare’ Philosophy &amp; Public Affairs Vol. 10, No. 3 pp. 185246 (1981) </w:t>
      </w:r>
    </w:p>
    <w:p w:rsidR="00B119D3" w:rsidRDefault="0019098B">
      <w:pPr>
        <w:spacing w:after="16" w:line="259" w:lineRule="auto"/>
        <w:ind w:left="720" w:firstLine="0"/>
      </w:pPr>
      <w:r>
        <w:t xml:space="preserve"> </w:t>
      </w:r>
    </w:p>
    <w:p w:rsidR="00B119D3" w:rsidRDefault="0019098B">
      <w:pPr>
        <w:numPr>
          <w:ilvl w:val="0"/>
          <w:numId w:val="2"/>
        </w:numPr>
        <w:ind w:hanging="422"/>
      </w:pPr>
      <w:r>
        <w:t xml:space="preserve">B. Sivaramayya, Inequalities and the Law, 1531, (1984) </w:t>
      </w:r>
    </w:p>
    <w:p w:rsidR="00B119D3" w:rsidRDefault="0019098B">
      <w:pPr>
        <w:spacing w:after="16" w:line="259" w:lineRule="auto"/>
        <w:ind w:left="720" w:firstLine="0"/>
      </w:pPr>
      <w:r>
        <w:t xml:space="preserve"> </w:t>
      </w:r>
    </w:p>
    <w:p w:rsidR="00B119D3" w:rsidRDefault="0019098B">
      <w:pPr>
        <w:numPr>
          <w:ilvl w:val="0"/>
          <w:numId w:val="2"/>
        </w:numPr>
        <w:ind w:hanging="422"/>
      </w:pPr>
      <w:r>
        <w:t xml:space="preserve">Sandra Fredman, Discrimination Law, Ch. 1 Equality: Concepts and </w:t>
      </w:r>
    </w:p>
    <w:p w:rsidR="00B119D3" w:rsidRDefault="0019098B">
      <w:pPr>
        <w:ind w:left="730"/>
      </w:pPr>
      <w:r>
        <w:t xml:space="preserve">Controversies p. 126 (2002) </w:t>
      </w:r>
    </w:p>
    <w:p w:rsidR="00B119D3" w:rsidRDefault="0019098B">
      <w:pPr>
        <w:spacing w:after="16" w:line="259" w:lineRule="auto"/>
        <w:ind w:left="720" w:firstLine="0"/>
      </w:pPr>
      <w:r>
        <w:t xml:space="preserve"> </w:t>
      </w:r>
    </w:p>
    <w:p w:rsidR="00B119D3" w:rsidRDefault="0019098B">
      <w:pPr>
        <w:numPr>
          <w:ilvl w:val="0"/>
          <w:numId w:val="2"/>
        </w:numPr>
        <w:ind w:hanging="422"/>
      </w:pPr>
      <w:r>
        <w:t xml:space="preserve">Marc Galanter, Competing Equalities: Law and the Backward Classes in India (1984) </w:t>
      </w:r>
    </w:p>
    <w:p w:rsidR="00B119D3" w:rsidRDefault="0019098B">
      <w:pPr>
        <w:spacing w:after="13" w:line="259" w:lineRule="auto"/>
        <w:ind w:left="720" w:firstLine="0"/>
      </w:pPr>
      <w:r>
        <w:t xml:space="preserve"> </w:t>
      </w:r>
    </w:p>
    <w:p w:rsidR="00B119D3" w:rsidRPr="0019098B" w:rsidRDefault="0019098B">
      <w:pPr>
        <w:numPr>
          <w:ilvl w:val="0"/>
          <w:numId w:val="2"/>
        </w:numPr>
        <w:spacing w:after="11" w:line="250" w:lineRule="auto"/>
        <w:ind w:hanging="422"/>
        <w:rPr>
          <w:u w:val="single"/>
        </w:rPr>
      </w:pPr>
      <w:r w:rsidRPr="0019098B">
        <w:rPr>
          <w:u w:val="single"/>
        </w:rPr>
        <w:t xml:space="preserve">Andre Beteille, Caste Today, available at </w:t>
      </w:r>
      <w:hyperlink r:id="rId7">
        <w:r w:rsidRPr="0019098B">
          <w:rPr>
            <w:color w:val="0563C1"/>
            <w:u w:val="single" w:color="0563C1"/>
          </w:rPr>
          <w:t>http://www.kolkataporttrust.gov.in/showfile.php?layout=1&amp;lid=522</w:t>
        </w:r>
      </w:hyperlink>
      <w:hyperlink r:id="rId8">
        <w:r w:rsidRPr="0019098B">
          <w:rPr>
            <w:u w:val="single"/>
          </w:rPr>
          <w:t xml:space="preserve"> </w:t>
        </w:r>
      </w:hyperlink>
    </w:p>
    <w:p w:rsidR="00B119D3" w:rsidRDefault="0019098B">
      <w:pPr>
        <w:spacing w:after="14" w:line="259" w:lineRule="auto"/>
        <w:ind w:left="720" w:firstLine="0"/>
      </w:pPr>
      <w:r>
        <w:t xml:space="preserve"> </w:t>
      </w:r>
    </w:p>
    <w:p w:rsidR="00B119D3" w:rsidRDefault="0019098B">
      <w:pPr>
        <w:numPr>
          <w:ilvl w:val="0"/>
          <w:numId w:val="2"/>
        </w:numPr>
        <w:ind w:hanging="422"/>
      </w:pPr>
      <w:r>
        <w:t xml:space="preserve">B.R. Ambedkar, ‘Caste in India’, in Ghanshyam Shah (ed.) Caste and Democratic Politics in India, pp. 83-107 (2002) </w:t>
      </w:r>
    </w:p>
    <w:p w:rsidR="00B119D3" w:rsidRDefault="0019098B">
      <w:pPr>
        <w:spacing w:after="16" w:line="259" w:lineRule="auto"/>
        <w:ind w:left="720" w:firstLine="0"/>
      </w:pPr>
      <w:r>
        <w:t xml:space="preserve"> </w:t>
      </w:r>
    </w:p>
    <w:p w:rsidR="00B119D3" w:rsidRDefault="0019098B">
      <w:pPr>
        <w:numPr>
          <w:ilvl w:val="0"/>
          <w:numId w:val="2"/>
        </w:numPr>
        <w:ind w:hanging="422"/>
      </w:pPr>
      <w:r>
        <w:t xml:space="preserve">Isaiah Berlin, ‘Two Concepts of Liberty’ in Isaiah Berlin, Four Essays on Liberty, (1969), pp 118-171 </w:t>
      </w:r>
    </w:p>
    <w:p w:rsidR="00B119D3" w:rsidRDefault="0019098B">
      <w:pPr>
        <w:spacing w:after="16" w:line="259" w:lineRule="auto"/>
        <w:ind w:left="720" w:firstLine="0"/>
      </w:pPr>
      <w:r>
        <w:t xml:space="preserve"> </w:t>
      </w:r>
    </w:p>
    <w:p w:rsidR="00B119D3" w:rsidRDefault="0019098B">
      <w:pPr>
        <w:numPr>
          <w:ilvl w:val="0"/>
          <w:numId w:val="2"/>
        </w:numPr>
        <w:ind w:hanging="422"/>
      </w:pPr>
      <w:r>
        <w:t xml:space="preserve">Amartya Sen , On The Status Of Equality, Political Theory Vol.24 No. 3 Aug (1996) 394-400 </w:t>
      </w:r>
    </w:p>
    <w:p w:rsidR="00B119D3" w:rsidRDefault="0019098B">
      <w:pPr>
        <w:spacing w:after="20" w:line="259" w:lineRule="auto"/>
        <w:ind w:left="720" w:firstLine="0"/>
      </w:pPr>
      <w:r>
        <w:t xml:space="preserve"> </w:t>
      </w:r>
    </w:p>
    <w:p w:rsidR="00B119D3" w:rsidRDefault="0019098B">
      <w:pPr>
        <w:numPr>
          <w:ilvl w:val="0"/>
          <w:numId w:val="2"/>
        </w:numPr>
        <w:ind w:hanging="422"/>
      </w:pPr>
      <w:r>
        <w:t xml:space="preserve">Christopher Caudwell, The Concept of Freedom (1977), pp. 51- </w:t>
      </w:r>
      <w:r>
        <w:rPr>
          <w:rFonts w:ascii="Arial" w:eastAsia="Arial" w:hAnsi="Arial" w:cs="Arial"/>
          <w:sz w:val="24"/>
        </w:rPr>
        <w:t>AMARTYA SEN on The Status of Equality, Harvard University 75</w:t>
      </w:r>
      <w:r>
        <w:t xml:space="preserve"> </w:t>
      </w:r>
    </w:p>
    <w:p w:rsidR="00B119D3" w:rsidRDefault="0019098B">
      <w:pPr>
        <w:spacing w:after="16" w:line="259" w:lineRule="auto"/>
        <w:ind w:left="720" w:firstLine="0"/>
      </w:pPr>
      <w:r>
        <w:t xml:space="preserve"> </w:t>
      </w:r>
    </w:p>
    <w:p w:rsidR="00B119D3" w:rsidRDefault="0019098B">
      <w:pPr>
        <w:numPr>
          <w:ilvl w:val="0"/>
          <w:numId w:val="2"/>
        </w:numPr>
        <w:ind w:hanging="422"/>
      </w:pPr>
      <w:r>
        <w:t xml:space="preserve">Amartya Sen, Development as Freedom, New Delhi, Oxford University Press, 2000, pp. 1334,5486  </w:t>
      </w:r>
    </w:p>
    <w:p w:rsidR="00B119D3" w:rsidRDefault="0019098B">
      <w:pPr>
        <w:spacing w:after="0" w:line="259" w:lineRule="auto"/>
        <w:ind w:left="720" w:firstLine="0"/>
      </w:pPr>
      <w:r>
        <w:t xml:space="preserve"> </w:t>
      </w:r>
    </w:p>
    <w:p w:rsidR="00B119D3" w:rsidRDefault="0019098B">
      <w:pPr>
        <w:numPr>
          <w:ilvl w:val="0"/>
          <w:numId w:val="2"/>
        </w:numPr>
        <w:spacing w:after="0" w:line="259" w:lineRule="auto"/>
        <w:ind w:hanging="422"/>
      </w:pPr>
      <w:r>
        <w:t xml:space="preserve">Upendra Baxi, ‘Rule of Law in India: Theory and Practice’ in Randall </w:t>
      </w:r>
    </w:p>
    <w:p w:rsidR="00B119D3" w:rsidRDefault="0019098B">
      <w:pPr>
        <w:spacing w:after="0" w:line="245" w:lineRule="auto"/>
        <w:ind w:left="720" w:firstLine="0"/>
      </w:pPr>
      <w:r>
        <w:t xml:space="preserve">Peerenboom (ed.) </w:t>
      </w:r>
      <w:r>
        <w:rPr>
          <w:rFonts w:ascii="Arial" w:eastAsia="Arial" w:hAnsi="Arial" w:cs="Arial"/>
          <w:sz w:val="24"/>
        </w:rPr>
        <w:t>Asian Discourse of Rule of Law: Theories and Implementation of Rule of Law in Twelve Asian Countries, pp. 324345 (2004)</w:t>
      </w:r>
      <w:r>
        <w:t xml:space="preserve"> </w:t>
      </w:r>
    </w:p>
    <w:p w:rsidR="00B119D3" w:rsidRDefault="0019098B">
      <w:pPr>
        <w:spacing w:after="14" w:line="259" w:lineRule="auto"/>
        <w:ind w:left="720" w:firstLine="0"/>
      </w:pPr>
      <w:r>
        <w:t xml:space="preserve"> </w:t>
      </w:r>
    </w:p>
    <w:p w:rsidR="00B119D3" w:rsidRDefault="0019098B">
      <w:pPr>
        <w:numPr>
          <w:ilvl w:val="0"/>
          <w:numId w:val="2"/>
        </w:numPr>
        <w:ind w:hanging="422"/>
      </w:pPr>
      <w:r>
        <w:t xml:space="preserve">Marc Galanter Equality and Protective Discrimination in India, 1961 </w:t>
      </w:r>
    </w:p>
    <w:p w:rsidR="00B119D3" w:rsidRDefault="0019098B">
      <w:pPr>
        <w:spacing w:after="189"/>
        <w:ind w:left="730" w:right="4610"/>
      </w:pPr>
      <w:r>
        <w:t xml:space="preserve">Rutgers Law Review Vol. XVI 42-74  </w:t>
      </w:r>
    </w:p>
    <w:p w:rsidR="00B119D3" w:rsidRDefault="0019098B">
      <w:pPr>
        <w:spacing w:after="257" w:line="259" w:lineRule="auto"/>
        <w:ind w:left="0" w:firstLine="0"/>
      </w:pPr>
      <w:r>
        <w:t xml:space="preserve"> </w:t>
      </w:r>
    </w:p>
    <w:p w:rsidR="00B119D3" w:rsidRDefault="0019098B">
      <w:pPr>
        <w:pStyle w:val="Heading1"/>
        <w:spacing w:after="133"/>
        <w:ind w:left="-5"/>
      </w:pPr>
      <w:r>
        <w:rPr>
          <w:rFonts w:ascii="Calibri" w:eastAsia="Calibri" w:hAnsi="Calibri" w:cs="Calibri"/>
          <w:b w:val="0"/>
          <w:sz w:val="28"/>
        </w:rPr>
        <w:t xml:space="preserve">   </w:t>
      </w:r>
      <w:r>
        <w:t xml:space="preserve">UNIT-3 – THEORY OF JUSTICE  </w:t>
      </w:r>
    </w:p>
    <w:p w:rsidR="00B119D3" w:rsidRDefault="0019098B">
      <w:pPr>
        <w:spacing w:after="222" w:line="250" w:lineRule="auto"/>
        <w:ind w:left="-5"/>
      </w:pPr>
      <w:r>
        <w:rPr>
          <w:sz w:val="24"/>
        </w:rPr>
        <w:t xml:space="preserve">The purpose of this unit is to understand the various approaches to the concept of justice. It also seeks to discuss Constitutional and Gandhian concept of justice in the Indian context. </w:t>
      </w:r>
    </w:p>
    <w:p w:rsidR="00B119D3" w:rsidRDefault="0019098B">
      <w:pPr>
        <w:spacing w:after="222" w:line="250" w:lineRule="auto"/>
        <w:ind w:left="-5"/>
      </w:pPr>
      <w:r>
        <w:rPr>
          <w:sz w:val="24"/>
        </w:rPr>
        <w:t xml:space="preserve">READINGS: </w:t>
      </w:r>
      <w:r>
        <w:t xml:space="preserve"> </w:t>
      </w:r>
    </w:p>
    <w:p w:rsidR="00B119D3" w:rsidRPr="0019098B" w:rsidRDefault="0019098B">
      <w:pPr>
        <w:numPr>
          <w:ilvl w:val="0"/>
          <w:numId w:val="3"/>
        </w:numPr>
        <w:ind w:hanging="360"/>
        <w:rPr>
          <w:u w:val="single"/>
        </w:rPr>
      </w:pPr>
      <w:r w:rsidRPr="0019098B">
        <w:rPr>
          <w:u w:val="single"/>
        </w:rPr>
        <w:t xml:space="preserve">Johan Rawls, A Theory Edition, (1999of Justice, Revised) </w:t>
      </w:r>
    </w:p>
    <w:p w:rsidR="00B119D3" w:rsidRPr="0019098B" w:rsidRDefault="0019098B">
      <w:pPr>
        <w:spacing w:after="13" w:line="259" w:lineRule="auto"/>
        <w:ind w:left="1080" w:firstLine="0"/>
        <w:rPr>
          <w:u w:val="single"/>
        </w:rPr>
      </w:pPr>
      <w:r w:rsidRPr="0019098B">
        <w:rPr>
          <w:u w:val="single"/>
        </w:rPr>
        <w:t xml:space="preserve"> </w:t>
      </w:r>
    </w:p>
    <w:p w:rsidR="00CB5159" w:rsidRPr="0019098B" w:rsidRDefault="00CB5159" w:rsidP="00CB5159">
      <w:pPr>
        <w:numPr>
          <w:ilvl w:val="0"/>
          <w:numId w:val="3"/>
        </w:numPr>
        <w:ind w:hanging="360"/>
        <w:rPr>
          <w:u w:val="single"/>
        </w:rPr>
      </w:pPr>
      <w:r w:rsidRPr="0019098B">
        <w:rPr>
          <w:u w:val="single"/>
        </w:rPr>
        <w:t xml:space="preserve">Johan Rawls, A Theory Edition, (1999of Justice, Revised) </w:t>
      </w:r>
    </w:p>
    <w:p w:rsidR="00B119D3" w:rsidRDefault="0019098B">
      <w:pPr>
        <w:spacing w:after="14" w:line="259" w:lineRule="auto"/>
        <w:ind w:left="720" w:firstLine="0"/>
      </w:pPr>
      <w:r>
        <w:t xml:space="preserve"> </w:t>
      </w:r>
    </w:p>
    <w:p w:rsidR="00B119D3" w:rsidRPr="0019098B" w:rsidRDefault="0019098B">
      <w:pPr>
        <w:numPr>
          <w:ilvl w:val="0"/>
          <w:numId w:val="3"/>
        </w:numPr>
        <w:ind w:hanging="360"/>
        <w:rPr>
          <w:u w:val="single"/>
        </w:rPr>
      </w:pPr>
      <w:r w:rsidRPr="0019098B">
        <w:rPr>
          <w:u w:val="single"/>
        </w:rPr>
        <w:t xml:space="preserve">Haroon Rashid, ‘Making Sense of Marxian Concept of Justice’ Philosophical Quarterly XXIX No. 4, Oct. 2002 </w:t>
      </w:r>
    </w:p>
    <w:p w:rsidR="00B119D3" w:rsidRDefault="0019098B">
      <w:pPr>
        <w:spacing w:after="14" w:line="259" w:lineRule="auto"/>
        <w:ind w:left="720" w:firstLine="0"/>
      </w:pPr>
      <w:r>
        <w:t xml:space="preserve"> </w:t>
      </w:r>
    </w:p>
    <w:p w:rsidR="00B119D3" w:rsidRDefault="0019098B">
      <w:pPr>
        <w:numPr>
          <w:ilvl w:val="0"/>
          <w:numId w:val="3"/>
        </w:numPr>
        <w:ind w:hanging="360"/>
      </w:pPr>
      <w:r>
        <w:t xml:space="preserve">M.K. Gandhi, ‘Speech at Dandi, April 5, 1930, from Collected Works of Gandhi, Vol49, pp 1519 available at </w:t>
      </w:r>
    </w:p>
    <w:p w:rsidR="00B119D3" w:rsidRDefault="00034FA9">
      <w:pPr>
        <w:spacing w:after="11" w:line="250" w:lineRule="auto"/>
        <w:ind w:left="1090"/>
      </w:pPr>
      <w:hyperlink r:id="rId9">
        <w:r w:rsidR="0019098B">
          <w:rPr>
            <w:color w:val="0563C1"/>
            <w:u w:val="single" w:color="0563C1"/>
          </w:rPr>
          <w:t>http://www.gandhiserve.org/cwmg/VOL049.PDF</w:t>
        </w:r>
      </w:hyperlink>
      <w:hyperlink r:id="rId10">
        <w:r w:rsidR="0019098B">
          <w:t xml:space="preserve"> </w:t>
        </w:r>
      </w:hyperlink>
    </w:p>
    <w:p w:rsidR="00B119D3" w:rsidRDefault="0019098B">
      <w:pPr>
        <w:spacing w:after="14" w:line="259" w:lineRule="auto"/>
        <w:ind w:left="1080" w:firstLine="0"/>
      </w:pPr>
      <w:r>
        <w:t xml:space="preserve"> </w:t>
      </w:r>
    </w:p>
    <w:p w:rsidR="00B119D3" w:rsidRDefault="0019098B">
      <w:pPr>
        <w:numPr>
          <w:ilvl w:val="0"/>
          <w:numId w:val="3"/>
        </w:numPr>
        <w:ind w:hanging="360"/>
      </w:pPr>
      <w:r>
        <w:t xml:space="preserve">Martha C. Nussbaum, Beyond the Social Contract: Capabilities and </w:t>
      </w:r>
    </w:p>
    <w:p w:rsidR="00B119D3" w:rsidRDefault="0019098B">
      <w:pPr>
        <w:ind w:left="1090"/>
      </w:pPr>
      <w:r>
        <w:t xml:space="preserve">Global Justice </w:t>
      </w:r>
    </w:p>
    <w:p w:rsidR="00B119D3" w:rsidRDefault="0019098B">
      <w:pPr>
        <w:spacing w:after="0" w:line="259" w:lineRule="auto"/>
        <w:ind w:left="1080" w:firstLine="0"/>
      </w:pPr>
      <w:r>
        <w:t xml:space="preserve"> </w:t>
      </w:r>
    </w:p>
    <w:p w:rsidR="00B119D3" w:rsidRDefault="0019098B">
      <w:pPr>
        <w:ind w:left="1090"/>
      </w:pPr>
      <w:r>
        <w:t xml:space="preserve">An Olaf Palme Lecture, Oxford Development Studies, Vol. 32, No.1, </w:t>
      </w:r>
    </w:p>
    <w:p w:rsidR="00B119D3" w:rsidRDefault="0019098B">
      <w:pPr>
        <w:ind w:left="1090"/>
      </w:pPr>
      <w:r>
        <w:t xml:space="preserve">March 2004, pp. 3-18 </w:t>
      </w:r>
    </w:p>
    <w:p w:rsidR="00B119D3" w:rsidRDefault="0019098B">
      <w:pPr>
        <w:spacing w:after="16" w:line="259" w:lineRule="auto"/>
        <w:ind w:left="1080" w:firstLine="0"/>
      </w:pPr>
      <w:r>
        <w:t xml:space="preserve"> </w:t>
      </w:r>
    </w:p>
    <w:p w:rsidR="00B119D3" w:rsidRDefault="0019098B">
      <w:pPr>
        <w:numPr>
          <w:ilvl w:val="0"/>
          <w:numId w:val="3"/>
        </w:numPr>
        <w:spacing w:after="182"/>
        <w:ind w:hanging="360"/>
      </w:pPr>
      <w:r>
        <w:t xml:space="preserve">Robert Nozick, Anarchy, State and Utopia Chapter 1 (1974) </w:t>
      </w:r>
    </w:p>
    <w:p w:rsidR="00B119D3" w:rsidRDefault="0019098B">
      <w:pPr>
        <w:spacing w:after="124" w:line="259" w:lineRule="auto"/>
        <w:ind w:left="0" w:firstLine="0"/>
      </w:pPr>
      <w:r>
        <w:t xml:space="preserve"> </w:t>
      </w:r>
    </w:p>
    <w:p w:rsidR="00B119D3" w:rsidRDefault="0019098B">
      <w:pPr>
        <w:spacing w:after="0" w:line="259" w:lineRule="auto"/>
        <w:ind w:left="720" w:firstLine="0"/>
      </w:pPr>
      <w:r>
        <w:rPr>
          <w:rFonts w:ascii="Arial" w:eastAsia="Arial" w:hAnsi="Arial" w:cs="Arial"/>
          <w:sz w:val="24"/>
        </w:rPr>
        <w:t xml:space="preserve"> </w:t>
      </w:r>
    </w:p>
    <w:p w:rsidR="00B119D3" w:rsidRDefault="0019098B">
      <w:pPr>
        <w:spacing w:after="177" w:line="259" w:lineRule="auto"/>
        <w:ind w:left="720" w:firstLine="0"/>
      </w:pPr>
      <w:r>
        <w:rPr>
          <w:rFonts w:ascii="Arial" w:eastAsia="Arial" w:hAnsi="Arial" w:cs="Arial"/>
          <w:sz w:val="24"/>
        </w:rPr>
        <w:t xml:space="preserve"> </w:t>
      </w:r>
    </w:p>
    <w:p w:rsidR="00B119D3" w:rsidRDefault="0019098B">
      <w:pPr>
        <w:spacing w:after="0" w:line="259" w:lineRule="auto"/>
        <w:ind w:left="0" w:firstLine="0"/>
      </w:pPr>
      <w:r>
        <w:rPr>
          <w:rFonts w:ascii="Arial" w:eastAsia="Arial" w:hAnsi="Arial" w:cs="Arial"/>
          <w:sz w:val="24"/>
        </w:rPr>
        <w:t xml:space="preserve"> </w:t>
      </w:r>
    </w:p>
    <w:p w:rsidR="00B119D3" w:rsidRDefault="0019098B">
      <w:pPr>
        <w:spacing w:after="0" w:line="259" w:lineRule="auto"/>
        <w:ind w:left="0" w:right="8550" w:firstLine="0"/>
        <w:jc w:val="right"/>
      </w:pPr>
      <w:r>
        <w:rPr>
          <w:rFonts w:ascii="Arial" w:eastAsia="Arial" w:hAnsi="Arial" w:cs="Arial"/>
          <w:sz w:val="24"/>
        </w:rPr>
        <w:t xml:space="preserve"> </w:t>
      </w:r>
    </w:p>
    <w:p w:rsidR="00B119D3" w:rsidRDefault="0019098B">
      <w:pPr>
        <w:spacing w:after="0" w:line="259" w:lineRule="auto"/>
        <w:ind w:left="0" w:right="8550" w:firstLine="0"/>
        <w:jc w:val="right"/>
      </w:pPr>
      <w:r>
        <w:rPr>
          <w:rFonts w:ascii="Arial" w:eastAsia="Arial" w:hAnsi="Arial" w:cs="Arial"/>
          <w:sz w:val="24"/>
        </w:rPr>
        <w:t xml:space="preserve"> </w:t>
      </w:r>
    </w:p>
    <w:p w:rsidR="00B119D3" w:rsidRDefault="0019098B">
      <w:pPr>
        <w:spacing w:after="225" w:line="259" w:lineRule="auto"/>
        <w:ind w:left="0" w:right="8550" w:firstLine="0"/>
        <w:jc w:val="right"/>
      </w:pPr>
      <w:r>
        <w:rPr>
          <w:rFonts w:ascii="Arial" w:eastAsia="Arial" w:hAnsi="Arial" w:cs="Arial"/>
          <w:sz w:val="24"/>
        </w:rPr>
        <w:t xml:space="preserve"> </w:t>
      </w:r>
    </w:p>
    <w:p w:rsidR="00B119D3" w:rsidRDefault="0019098B">
      <w:pPr>
        <w:spacing w:after="170" w:line="259" w:lineRule="auto"/>
        <w:ind w:left="0" w:firstLine="0"/>
      </w:pPr>
      <w:r>
        <w:t xml:space="preserve"> </w:t>
      </w:r>
    </w:p>
    <w:p w:rsidR="00B119D3" w:rsidRDefault="0019098B">
      <w:pPr>
        <w:spacing w:after="134" w:line="259" w:lineRule="auto"/>
        <w:ind w:left="0" w:firstLine="0"/>
      </w:pPr>
      <w:r>
        <w:t xml:space="preserve"> </w:t>
      </w:r>
    </w:p>
    <w:p w:rsidR="00B119D3" w:rsidRDefault="0019098B">
      <w:pPr>
        <w:spacing w:after="214" w:line="259" w:lineRule="auto"/>
        <w:ind w:left="0" w:firstLine="0"/>
      </w:pPr>
      <w:r>
        <w:rPr>
          <w:sz w:val="24"/>
        </w:rPr>
        <w:t xml:space="preserve">  </w:t>
      </w:r>
    </w:p>
    <w:p w:rsidR="00B119D3" w:rsidRDefault="0019098B">
      <w:pPr>
        <w:spacing w:after="0" w:line="259" w:lineRule="auto"/>
        <w:ind w:left="0" w:right="8541" w:firstLine="0"/>
        <w:jc w:val="right"/>
      </w:pPr>
      <w:r>
        <w:t xml:space="preserve"> </w:t>
      </w:r>
    </w:p>
    <w:p w:rsidR="00B119D3" w:rsidRDefault="0019098B">
      <w:pPr>
        <w:spacing w:after="0" w:line="259" w:lineRule="auto"/>
        <w:ind w:left="0" w:right="8541" w:firstLine="0"/>
        <w:jc w:val="right"/>
      </w:pPr>
      <w:r>
        <w:t xml:space="preserve"> </w:t>
      </w:r>
    </w:p>
    <w:p w:rsidR="00B119D3" w:rsidRDefault="0019098B">
      <w:pPr>
        <w:spacing w:after="0" w:line="259" w:lineRule="auto"/>
        <w:ind w:left="0" w:right="8541" w:firstLine="0"/>
        <w:jc w:val="right"/>
      </w:pPr>
      <w:r>
        <w:t xml:space="preserve"> </w:t>
      </w:r>
    </w:p>
    <w:p w:rsidR="00B119D3" w:rsidRDefault="0019098B">
      <w:pPr>
        <w:spacing w:after="131" w:line="259" w:lineRule="auto"/>
        <w:ind w:left="0" w:right="8541" w:firstLine="0"/>
        <w:jc w:val="right"/>
      </w:pPr>
      <w:r>
        <w:t xml:space="preserve"> </w:t>
      </w:r>
    </w:p>
    <w:p w:rsidR="00B119D3" w:rsidRDefault="0019098B">
      <w:pPr>
        <w:spacing w:after="0" w:line="259" w:lineRule="auto"/>
        <w:ind w:left="0" w:firstLine="0"/>
      </w:pPr>
      <w:r>
        <w:rPr>
          <w:sz w:val="24"/>
        </w:rPr>
        <w:t xml:space="preserve"> </w:t>
      </w:r>
    </w:p>
    <w:sectPr w:rsidR="00B119D3">
      <w:pgSz w:w="12240" w:h="15840"/>
      <w:pgMar w:top="1484" w:right="1475"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F1AA2"/>
    <w:multiLevelType w:val="hybridMultilevel"/>
    <w:tmpl w:val="F312C520"/>
    <w:lvl w:ilvl="0" w:tplc="F37A1B1C">
      <w:start w:val="1"/>
      <w:numFmt w:val="decimal"/>
      <w:lvlText w:val="%1."/>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DCF07C">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C0340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D1029F6">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A6197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4AC454">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326256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5306742">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6407E48">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EBD5608"/>
    <w:multiLevelType w:val="hybridMultilevel"/>
    <w:tmpl w:val="772C3118"/>
    <w:lvl w:ilvl="0" w:tplc="B1103A74">
      <w:start w:val="1"/>
      <w:numFmt w:val="decimal"/>
      <w:lvlText w:val="%1."/>
      <w:lvlJc w:val="left"/>
      <w:pPr>
        <w:ind w:left="7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2C855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D8624C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CE6E3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F6566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E0C037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CCFC48">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FC629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268315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D527851"/>
    <w:multiLevelType w:val="hybridMultilevel"/>
    <w:tmpl w:val="0B5E8606"/>
    <w:lvl w:ilvl="0" w:tplc="0E60BBE2">
      <w:start w:val="1"/>
      <w:numFmt w:val="decimal"/>
      <w:lvlText w:val="%1."/>
      <w:lvlJc w:val="left"/>
      <w:pPr>
        <w:ind w:left="7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F4A60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ADE4E8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A26AF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C3030C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038890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DF480E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E4F40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08DE0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D3"/>
    <w:rsid w:val="00034FA9"/>
    <w:rsid w:val="0019098B"/>
    <w:rsid w:val="00B119D3"/>
    <w:rsid w:val="00CB5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39BAB-DD77-4806-AC8D-3B26981F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37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50"/>
      <w:ind w:left="1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lkataporttrust.gov.in/showfile.php?layout=1&amp;lid=522" TargetMode="External" /><Relationship Id="rId3" Type="http://schemas.openxmlformats.org/officeDocument/2006/relationships/settings" Target="settings.xml" /><Relationship Id="rId7" Type="http://schemas.openxmlformats.org/officeDocument/2006/relationships/hyperlink" Target="http://www.kolkataporttrust.gov.in/showfile.php?layout=1&amp;lid=522"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holarship.law.marquette.edu/mulr/vol67/iss4/8" TargetMode="External" /><Relationship Id="rId11" Type="http://schemas.openxmlformats.org/officeDocument/2006/relationships/fontTable" Target="fontTable.xml" /><Relationship Id="rId5" Type="http://schemas.openxmlformats.org/officeDocument/2006/relationships/hyperlink" Target="http://scholarship.law.marquette.edu/mulr/vol67/iss4/8" TargetMode="External" /><Relationship Id="rId10" Type="http://schemas.openxmlformats.org/officeDocument/2006/relationships/hyperlink" Target="http://www.gandhiserve.org/cwmg/VOL049.PDF" TargetMode="External" /><Relationship Id="rId4" Type="http://schemas.openxmlformats.org/officeDocument/2006/relationships/webSettings" Target="webSettings.xml" /><Relationship Id="rId9" Type="http://schemas.openxmlformats.org/officeDocument/2006/relationships/hyperlink" Target="http://www.gandhiserve.org/cwmg/VOL04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pradeep reddy chimmula</cp:lastModifiedBy>
  <cp:revision>2</cp:revision>
  <dcterms:created xsi:type="dcterms:W3CDTF">2020-08-29T15:45:00Z</dcterms:created>
  <dcterms:modified xsi:type="dcterms:W3CDTF">2020-08-29T15:45:00Z</dcterms:modified>
</cp:coreProperties>
</file>