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3D7F87"/>
          <w:spacing w:val="40"/>
          <w:sz w:val="20"/>
          <w:szCs w:val="20"/>
        </w:rPr>
        <w:t xml:space="preserve">MON CARNET NUMÉRIQUE</w:t>
      </w:r>
    </w:p>
    <w:p>
      <w:pPr>
        <w:spacing w:after="160"/>
      </w:pPr>
      <w:r>
        <w:rPr>
          <w:rFonts w:ascii="Calibri" w:cs="Calibri" w:eastAsia="Calibri" w:hAnsi="Calibri"/>
          <w:b/>
          <w:bCs/>
          <w:color w:val="2A4B5D"/>
          <w:sz w:val="54"/>
          <w:szCs w:val="54"/>
        </w:rPr>
        <w:t xml:space="preserve">Dossier de revue juridique</w:t>
      </w:r>
    </w:p>
    <w:p>
      <w:pPr>
        <w:spacing w:after="400"/>
      </w:pPr>
      <w:r>
        <w:rPr>
          <w:rFonts w:ascii="Calibri" w:cs="Calibri" w:eastAsia="Calibri" w:hAnsi="Calibri"/>
          <w:color w:val="4A6670"/>
          <w:sz w:val="26"/>
          <w:szCs w:val="26"/>
        </w:rPr>
        <w:t xml:space="preserve">Inventaire des textes, des données et des décisions à faire trancher</w:t>
      </w:r>
    </w:p>
    <w:p>
      <w:pPr>
        <w:spacing w:after="100" w:line="280"/>
      </w:pPr>
      <w:r>
        <w:rPr>
          <w:rFonts w:ascii="Calibri" w:cs="Calibri" w:eastAsia="Calibri" w:hAnsi="Calibri"/>
          <w:b/>
          <w:bCs/>
          <w:sz w:val="21"/>
          <w:szCs w:val="21"/>
        </w:rPr>
        <w:t xml:space="preserve">Version du code examinée :</w:t>
      </w:r>
      <w:r>
        <w:rPr>
          <w:rFonts w:ascii="Calibri" w:cs="Calibri" w:eastAsia="Calibri" w:hAnsi="Calibri"/>
          <w:sz w:val="21"/>
          <w:szCs w:val="21"/>
        </w:rPr>
        <w:t xml:space="preserve"> archive </w:t>
      </w:r>
      <w:r>
        <w:rPr>
          <w:rFonts w:ascii="Consolas" w:cs="Consolas" w:eastAsia="Consolas" w:hAnsi="Consolas"/>
          <w:b w:val="false"/>
          <w:bCs w:val="false"/>
          <w:sz w:val="21"/>
          <w:szCs w:val="21"/>
        </w:rPr>
        <w:t xml:space="preserve">e-carnet_v1.zip</w:t>
      </w:r>
      <w:r>
        <w:rPr>
          <w:rFonts w:ascii="Calibri" w:cs="Calibri" w:eastAsia="Calibri" w:hAnsi="Calibri"/>
          <w:sz w:val="21"/>
          <w:szCs w:val="21"/>
        </w:rPr>
        <w:t xml:space="preserve"> (8 octobre 2026). </w:t>
      </w:r>
      <w:r>
        <w:rPr>
          <w:rFonts w:ascii="Calibri" w:cs="Calibri" w:eastAsia="Calibri" w:hAnsi="Calibri"/>
          <w:b/>
          <w:bCs/>
          <w:sz w:val="21"/>
          <w:szCs w:val="21"/>
        </w:rPr>
        <w:t xml:space="preserve">Dossier établi le :</w:t>
      </w:r>
      <w:r>
        <w:rPr>
          <w:rFonts w:ascii="Calibri" w:cs="Calibri" w:eastAsia="Calibri" w:hAnsi="Calibri"/>
          <w:sz w:val="21"/>
          <w:szCs w:val="21"/>
        </w:rPr>
        <w:t xml:space="preserve"> 9 octobre 2026.</w:t>
      </w:r>
    </w:p>
    <w:p>
      <w:pPr>
        <w:spacing w:after="100" w:line="280"/>
      </w:pPr>
      <w:r>
        <w:rPr>
          <w:rFonts w:ascii="Calibri" w:cs="Calibri" w:eastAsia="Calibri" w:hAnsi="Calibri"/>
          <w:b/>
          <w:bCs/>
          <w:sz w:val="21"/>
          <w:szCs w:val="21"/>
        </w:rPr>
        <w:t xml:space="preserve">Destinataire :</w:t>
      </w:r>
      <w:r>
        <w:rPr>
          <w:rFonts w:ascii="Calibri" w:cs="Calibri" w:eastAsia="Calibri" w:hAnsi="Calibri"/>
          <w:sz w:val="21"/>
          <w:szCs w:val="21"/>
        </w:rPr>
        <w:t xml:space="preserve"> juriste / conseil en protection des données du projet.</w:t>
      </w:r>
    </w:p>
    <w:p>
      <w:pPr>
        <w:spacing w:after="100" w:line="280"/>
      </w:pPr>
      <w:r>
        <w:rPr>
          <w:rFonts w:ascii="Calibri" w:cs="Calibri" w:eastAsia="Calibri" w:hAnsi="Calibri"/>
          <w:b/>
          <w:bCs/>
          <w:sz w:val="21"/>
          <w:szCs w:val="21"/>
        </w:rPr>
        <w:t xml:space="preserve">Statut du document :</w:t>
      </w:r>
      <w:r>
        <w:rPr>
          <w:rFonts w:ascii="Calibri" w:cs="Calibri" w:eastAsia="Calibri" w:hAnsi="Calibri"/>
          <w:sz w:val="21"/>
          <w:szCs w:val="21"/>
        </w:rPr>
        <w:t xml:space="preserve"> document de repérage. Ce n’est </w:t>
      </w:r>
      <w:r>
        <w:rPr>
          <w:rFonts w:ascii="Calibri" w:cs="Calibri" w:eastAsia="Calibri" w:hAnsi="Calibri"/>
          <w:b/>
          <w:bCs/>
          <w:sz w:val="21"/>
          <w:szCs w:val="21"/>
        </w:rPr>
        <w:t xml:space="preserve">ni un avis juridique, ni une validation de conformité, ni une réécriture des clauses</w:t>
      </w:r>
      <w:r>
        <w:rPr>
          <w:rFonts w:ascii="Calibri" w:cs="Calibri" w:eastAsia="Calibri" w:hAnsi="Calibri"/>
          <w:sz w:val="21"/>
          <w:szCs w:val="21"/>
        </w:rPr>
        <w:t xml:space="preserve">. Le juriste décide seul du contenu, des obligations, des termes à employer et de la version à publier.</w:t>
      </w:r>
    </w:p>
    <w:p>
      <w:pPr>
        <w:spacing w:after="100" w:line="280"/>
      </w:pPr>
      <w:r>
        <w:rPr>
          <w:rFonts w:ascii="Calibri" w:cs="Calibri" w:eastAsia="Calibri" w:hAnsi="Calibri"/>
          <w:b/>
          <w:bCs/>
          <w:sz w:val="21"/>
          <w:szCs w:val="21"/>
        </w:rPr>
        <w:t xml:space="preserve">Origine des constats :</w:t>
      </w:r>
      <w:r>
        <w:rPr>
          <w:rFonts w:ascii="Calibri" w:cs="Calibri" w:eastAsia="Calibri" w:hAnsi="Calibri"/>
          <w:sz w:val="21"/>
          <w:szCs w:val="21"/>
        </w:rPr>
        <w:t xml:space="preserve"> lecture du code et des documents du dépôt (les extraits sont fidèles, avec leur référence), complétée par une relecture technique avec exécution des tests le 9 octobre 2026 ; ces constats techniques sont marqués « constat de relecture » et doivent être confirmés par l’équipe produit et sécurité.</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9CE" w:sz="4"/>
              <w:left w:val="single" w:color="2A4B5D" w:sz="8"/>
              <w:bottom w:val="single" w:color="B9C9CE" w:sz="4"/>
              <w:right w:val="single" w:color="B9C9CE" w:sz="4"/>
            </w:tcBorders>
            <w:shd w:fill="E6FFF7" w:color="auto" w:val="clear"/>
            <w:tcMar>
              <w:top w:type="dxa" w:w="110"/>
              <w:left w:type="dxa" w:w="180"/>
              <w:bottom w:type="dxa" w:w="90"/>
              <w:right w:type="dxa" w:w="160"/>
            </w:tcMar>
          </w:tcPr>
          <w:p>
            <w:pPr>
              <w:spacing w:after="60"/>
            </w:pPr>
            <w:r>
              <w:rPr>
                <w:rFonts w:ascii="Calibri" w:cs="Calibri" w:eastAsia="Calibri" w:hAnsi="Calibri"/>
                <w:b/>
                <w:bCs/>
                <w:color w:val="2A4B5D"/>
                <w:sz w:val="21"/>
                <w:szCs w:val="21"/>
              </w:rPr>
              <w:t xml:space="preserve">Comment utiliser ce dossier</w:t>
            </w:r>
          </w:p>
          <w:p>
            <w:pPr>
              <w:spacing w:after="50" w:line="265"/>
            </w:pPr>
            <w:r>
              <w:rPr>
                <w:rFonts w:ascii="Calibri" w:cs="Calibri" w:eastAsia="Calibri" w:hAnsi="Calibri"/>
                <w:sz w:val="20"/>
                <w:szCs w:val="20"/>
              </w:rPr>
              <w:t xml:space="preserve">1. Lire la section 1 (statut du produit) et la section 2 (les huit points qui bloquent l’ouverture aux données réelles).</w:t>
            </w:r>
          </w:p>
          <w:p>
            <w:pPr>
              <w:spacing w:after="50" w:line="265"/>
            </w:pPr>
            <w:r>
              <w:rPr>
                <w:rFonts w:ascii="Calibri" w:cs="Calibri" w:eastAsia="Calibri" w:hAnsi="Calibri"/>
                <w:sz w:val="20"/>
                <w:szCs w:val="20"/>
              </w:rPr>
              <w:t xml:space="preserve">2. Marquer chaque extrait des sections 4 à 6 : </w:t>
            </w:r>
            <w:r>
              <w:rPr>
                <w:rFonts w:ascii="Calibri" w:cs="Calibri" w:eastAsia="Calibri" w:hAnsi="Calibri"/>
                <w:b/>
                <w:bCs/>
                <w:sz w:val="20"/>
                <w:szCs w:val="20"/>
              </w:rPr>
              <w:t xml:space="preserve">à conserver / à modifier / à retirer / à déplacer / décision requise</w:t>
            </w:r>
            <w:r>
              <w:rPr>
                <w:rFonts w:ascii="Calibri" w:cs="Calibri" w:eastAsia="Calibri" w:hAnsi="Calibri"/>
                <w:sz w:val="20"/>
                <w:szCs w:val="20"/>
              </w:rPr>
              <w:t xml:space="preserve">, puis fournir les textes finaux et leurs conditions d’affichage (où, quand, comment accepter, quelle version).</w:t>
            </w:r>
          </w:p>
          <w:p>
            <w:pPr>
              <w:spacing w:after="50" w:line="265"/>
            </w:pPr>
            <w:r>
              <w:rPr>
                <w:rFonts w:ascii="Calibri" w:cs="Calibri" w:eastAsia="Calibri" w:hAnsi="Calibri"/>
                <w:sz w:val="20"/>
                <w:szCs w:val="20"/>
              </w:rPr>
              <w:t xml:space="preserve">3. Répondre aux questions numérotées de la section 9 (chacune porte une priorité).</w:t>
            </w:r>
          </w:p>
          <w:p>
            <w:pPr>
              <w:spacing w:after="50" w:line="265"/>
            </w:pPr>
            <w:r>
              <w:rPr>
                <w:rFonts w:ascii="Calibri" w:cs="Calibri" w:eastAsia="Calibri" w:hAnsi="Calibri"/>
                <w:sz w:val="20"/>
                <w:szCs w:val="20"/>
              </w:rPr>
              <w:t xml:space="preserve">4. Aucune phrase de ce dossier ne doit être lue comme une approbation juridique de la V1.</w:t>
            </w:r>
          </w:p>
        </w:tc>
      </w:tr>
    </w:tbl>
    <w:p>
      <w:r>
        <w:br w:type="page"/>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1. Statut du produit avant toute revue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9CE" w:sz="4"/>
              <w:left w:val="single" w:color="A32D2D" w:sz="8"/>
              <w:bottom w:val="single" w:color="B9C9CE" w:sz="4"/>
              <w:right w:val="single" w:color="B9C9CE" w:sz="4"/>
            </w:tcBorders>
            <w:shd w:fill="FBEAE8" w:color="auto" w:val="clear"/>
            <w:tcMar>
              <w:top w:type="dxa" w:w="110"/>
              <w:left w:type="dxa" w:w="180"/>
              <w:bottom w:type="dxa" w:w="90"/>
              <w:right w:type="dxa" w:w="160"/>
            </w:tcMar>
          </w:tcPr>
          <w:p>
            <w:pPr>
              <w:spacing w:after="60"/>
            </w:pPr>
            <w:r>
              <w:rPr>
                <w:rFonts w:ascii="Calibri" w:cs="Calibri" w:eastAsia="Calibri" w:hAnsi="Calibri"/>
                <w:b/>
                <w:bCs/>
                <w:color w:val="A32D2D"/>
                <w:sz w:val="21"/>
                <w:szCs w:val="21"/>
              </w:rPr>
              <w:t xml:space="preserve">Le produit n’est pas autorisé pour des données de santé réelles</w:t>
            </w:r>
          </w:p>
          <w:p>
            <w:pPr>
              <w:spacing w:after="50" w:line="265"/>
            </w:pPr>
            <w:r>
              <w:rPr>
                <w:rFonts w:ascii="Calibri" w:cs="Calibri" w:eastAsia="Calibri" w:hAnsi="Calibri"/>
                <w:sz w:val="20"/>
                <w:szCs w:val="20"/>
              </w:rPr>
              <w:t xml:space="preserve">Le README et les documents d’état indiquent : « V1 en construction, non acceptée et non autorisée pour des données de santé réelles ». Le rapport Go/No-Go conclut </w:t>
            </w:r>
            <w:r>
              <w:rPr>
                <w:rFonts w:ascii="Calibri" w:cs="Calibri" w:eastAsia="Calibri" w:hAnsi="Calibri"/>
                <w:b/>
                <w:bCs/>
                <w:sz w:val="20"/>
                <w:szCs w:val="20"/>
              </w:rPr>
              <w:t xml:space="preserve">NO-GO pour staging et production</w:t>
            </w:r>
            <w:r>
              <w:rPr>
                <w:rFonts w:ascii="Calibri" w:cs="Calibri" w:eastAsia="Calibri" w:hAnsi="Calibri"/>
                <w:sz w:val="20"/>
                <w:szCs w:val="20"/>
              </w:rPr>
              <w:t xml:space="preserve">. Le pilote ne doit utiliser que des </w:t>
            </w:r>
            <w:r>
              <w:rPr>
                <w:rFonts w:ascii="Calibri" w:cs="Calibri" w:eastAsia="Calibri" w:hAnsi="Calibri"/>
                <w:b/>
                <w:bCs/>
                <w:sz w:val="20"/>
                <w:szCs w:val="20"/>
              </w:rPr>
              <w:t xml:space="preserve">données fictives</w:t>
            </w:r>
            <w:r>
              <w:rPr>
                <w:rFonts w:ascii="Calibri" w:cs="Calibri" w:eastAsia="Calibri" w:hAnsi="Calibri"/>
                <w:sz w:val="20"/>
                <w:szCs w:val="20"/>
              </w:rPr>
              <w:t xml:space="preserve">.</w:t>
            </w:r>
          </w:p>
          <w:p>
            <w:pPr>
              <w:spacing w:after="50" w:line="265"/>
            </w:pPr>
            <w:r>
              <w:rPr>
                <w:rFonts w:ascii="Calibri" w:cs="Calibri" w:eastAsia="Calibri" w:hAnsi="Calibri"/>
                <w:sz w:val="20"/>
                <w:szCs w:val="20"/>
              </w:rPr>
              <w:t xml:space="preserve">Dernière preuve consignée : 77 tests réussis sur PostgreSQL 16 en local et un test de restauration local (documents d’état). </w:t>
            </w:r>
            <w:r>
              <w:rPr>
                <w:rFonts w:ascii="Calibri" w:cs="Calibri" w:eastAsia="Calibri" w:hAnsi="Calibri"/>
                <w:b/>
                <w:bCs/>
                <w:sz w:val="20"/>
                <w:szCs w:val="20"/>
              </w:rPr>
              <w:t xml:space="preserve">Constat de relecture :</w:t>
            </w:r>
            <w:r>
              <w:rPr>
                <w:rFonts w:ascii="Calibri" w:cs="Calibri" w:eastAsia="Calibri" w:hAnsi="Calibri"/>
                <w:sz w:val="20"/>
                <w:szCs w:val="20"/>
              </w:rPr>
              <w:t xml:space="preserve"> 80 tests réussis sur PostgreSQL 16 sur l’archive du 8 octobre. Ce n’est ni une recette sur environnement de test partagé, ni une validation juridique ou médicale.</w:t>
            </w:r>
          </w:p>
        </w:tc>
      </w:tr>
    </w:tbl>
    <w:p>
      <w:pPr>
        <w:spacing w:after="80"/>
      </w:pPr>
    </w:p>
    <w:p>
      <w:pPr>
        <w:spacing w:after="100" w:line="280"/>
      </w:pPr>
      <w:r>
        <w:rPr>
          <w:rFonts w:ascii="Calibri" w:cs="Calibri" w:eastAsia="Calibri" w:hAnsi="Calibri"/>
          <w:b/>
          <w:bCs/>
          <w:sz w:val="21"/>
          <w:szCs w:val="21"/>
        </w:rPr>
        <w:t xml:space="preserve">Divergence à faire arbitrer avant tout partage public.</w:t>
      </w:r>
      <w:r>
        <w:rPr>
          <w:rFonts w:ascii="Calibri" w:cs="Calibri" w:eastAsia="Calibri" w:hAnsi="Calibri"/>
          <w:sz w:val="21"/>
          <w:szCs w:val="21"/>
        </w:rPr>
        <w:t xml:space="preserve"> La page </w:t>
      </w:r>
      <w:r>
        <w:rPr>
          <w:rFonts w:ascii="Consolas" w:cs="Consolas" w:eastAsia="Consolas" w:hAnsi="Consolas"/>
          <w:b w:val="false"/>
          <w:bCs w:val="false"/>
          <w:sz w:val="21"/>
          <w:szCs w:val="21"/>
        </w:rPr>
        <w:t xml:space="preserve">/v1</w:t>
      </w:r>
      <w:r>
        <w:rPr>
          <w:rFonts w:ascii="Calibri" w:cs="Calibri" w:eastAsia="Calibri" w:hAnsi="Calibri"/>
          <w:sz w:val="21"/>
          <w:szCs w:val="21"/>
        </w:rPr>
        <w:t xml:space="preserve"> de l’application se présente comme « V1 — Cœur sûr et utilisable », sa méta-description parle de « V1 stable » et son pied de page affirme « V1 stable et utilisable — socle sécurisé ». Cela contredit l’état interne ci-dessus. La page est accessible (indexation désactivée) et contient des liens de démonstration. Ne pas prendre ce texte comme preuve de disponibilité.</w:t>
      </w:r>
    </w:p>
    <w:p>
      <w:pPr>
        <w:spacing w:after="100" w:line="280"/>
      </w:pPr>
      <w:r>
        <w:rPr>
          <w:rFonts w:ascii="Calibri" w:cs="Calibri" w:eastAsia="Calibri" w:hAnsi="Calibri"/>
          <w:color w:val="4A6670"/>
          <w:sz w:val="19"/>
          <w:szCs w:val="19"/>
        </w:rPr>
        <w:t xml:space="preserve">Références : </w:t>
      </w:r>
      <w:r>
        <w:rPr>
          <w:rFonts w:ascii="Consolas" w:cs="Consolas" w:eastAsia="Consolas" w:hAnsi="Consolas"/>
          <w:b w:val="false"/>
          <w:bCs w:val="false"/>
          <w:color w:val="4A6670"/>
          <w:sz w:val="19"/>
          <w:szCs w:val="19"/>
        </w:rPr>
        <w:t xml:space="preserve">README.md:5-6, 32-42</w:t>
      </w:r>
      <w:r>
        <w:rPr>
          <w:rFonts w:ascii="Calibri" w:cs="Calibri" w:eastAsia="Calibri" w:hAnsi="Calibri"/>
          <w:color w:val="4A6670"/>
          <w:sz w:val="19"/>
          <w:szCs w:val="19"/>
        </w:rPr>
        <w:t xml:space="preserve"> ; </w:t>
      </w:r>
      <w:r>
        <w:rPr>
          <w:rFonts w:ascii="Consolas" w:cs="Consolas" w:eastAsia="Consolas" w:hAnsi="Consolas"/>
          <w:b w:val="false"/>
          <w:bCs w:val="false"/>
          <w:color w:val="4A6670"/>
          <w:sz w:val="19"/>
          <w:szCs w:val="19"/>
        </w:rPr>
        <w:t xml:space="preserve">docs/ETAT-REEL-V1.md:3-5, 80-103</w:t>
      </w:r>
      <w:r>
        <w:rPr>
          <w:rFonts w:ascii="Calibri" w:cs="Calibri" w:eastAsia="Calibri" w:hAnsi="Calibri"/>
          <w:color w:val="4A6670"/>
          <w:sz w:val="19"/>
          <w:szCs w:val="19"/>
        </w:rPr>
        <w:t xml:space="preserve"> ; </w:t>
      </w:r>
      <w:r>
        <w:rPr>
          <w:rFonts w:ascii="Consolas" w:cs="Consolas" w:eastAsia="Consolas" w:hAnsi="Consolas"/>
          <w:b w:val="false"/>
          <w:bCs w:val="false"/>
          <w:color w:val="4A6670"/>
          <w:sz w:val="19"/>
          <w:szCs w:val="19"/>
        </w:rPr>
        <w:t xml:space="preserve">docs/GO-NO-GO-2026-10-05.md:5-7, 20-22</w:t>
      </w:r>
      <w:r>
        <w:rPr>
          <w:rFonts w:ascii="Calibri" w:cs="Calibri" w:eastAsia="Calibri" w:hAnsi="Calibri"/>
          <w:color w:val="4A6670"/>
          <w:sz w:val="19"/>
          <w:szCs w:val="19"/>
        </w:rPr>
        <w:t xml:space="preserve"> ; </w:t>
      </w:r>
      <w:r>
        <w:rPr>
          <w:rFonts w:ascii="Consolas" w:cs="Consolas" w:eastAsia="Consolas" w:hAnsi="Consolas"/>
          <w:b w:val="false"/>
          <w:bCs w:val="false"/>
          <w:color w:val="4A6670"/>
          <w:sz w:val="19"/>
          <w:szCs w:val="19"/>
        </w:rPr>
        <w:t xml:space="preserve">apps/web/src/app/v1/page.tsx:4-7, 58-63, 119-121</w:t>
      </w:r>
      <w:r>
        <w:rPr>
          <w:rFonts w:ascii="Calibri" w:cs="Calibri" w:eastAsia="Calibri" w:hAnsi="Calibri"/>
          <w:color w:val="4A6670"/>
          <w:sz w:val="19"/>
          <w:szCs w:val="19"/>
        </w:rPr>
        <w:t xml:space="preserve">.</w:t>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2. Les huit points qui bloquent l’ouverture aux données réelles</w:t>
      </w:r>
    </w:p>
    <w:p>
      <w:pPr>
        <w:spacing w:after="100" w:line="280"/>
      </w:pPr>
      <w:r>
        <w:rPr>
          <w:rFonts w:ascii="Calibri" w:cs="Calibri" w:eastAsia="Calibri" w:hAnsi="Calibri"/>
          <w:sz w:val="21"/>
          <w:szCs w:val="21"/>
        </w:rPr>
        <w:t xml:space="preserve">Ces huit sujets sont ceux sans lesquels le porteur ne peut pas lever le NO-GO. Chacun renvoie aux questions de la section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650"/>
        <w:gridCol w:w="3700"/>
        <w:gridCol w:w="3038"/>
        <w:gridCol w:w="800"/>
      </w:tblGrid>
      <w:tr>
        <w:trPr>
          <w:cantSplit/>
          <w:tblHeader/>
        </w:trPr>
        <w:tc>
          <w:tcPr>
            <w:tcW w:type="dxa" w:w="45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w:t>
            </w:r>
          </w:p>
        </w:tc>
        <w:tc>
          <w:tcPr>
            <w:tcW w:type="dxa" w:w="165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Sujet</w:t>
            </w:r>
          </w:p>
        </w:tc>
        <w:tc>
          <w:tcPr>
            <w:tcW w:type="dxa" w:w="37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Constat (code et documents)</w:t>
            </w:r>
          </w:p>
        </w:tc>
        <w:tc>
          <w:tcPr>
            <w:tcW w:type="dxa" w:w="3038"/>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Décision attendue du juriste</w:t>
            </w:r>
          </w:p>
        </w:tc>
        <w:tc>
          <w:tcPr>
            <w:tcW w:type="dxa" w:w="8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Q.</w:t>
            </w:r>
          </w:p>
        </w:tc>
      </w:tr>
      <w:tr>
        <w:trPr>
          <w:cantSplit/>
        </w:trPr>
        <w:tc>
          <w:tcPr>
            <w:tcW w:type="dxa" w:w="45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1</w:t>
            </w:r>
          </w:p>
        </w:tc>
        <w:tc>
          <w:tcPr>
            <w:tcW w:type="dxa" w:w="165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Hébergement et transferts</w:t>
            </w:r>
          </w:p>
        </w:tc>
        <w:tc>
          <w:tcPr>
            <w:tcW w:type="dxa" w:w="37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Frontend sur Vercel, API sur Render (plan gratuit dans le fichier de déploiement), base PostgreSQL sur Neon. </w:t>
            </w:r>
            <w:r>
              <w:rPr>
                <w:rFonts w:ascii="Calibri" w:cs="Calibri" w:eastAsia="Calibri" w:hAnsi="Calibri"/>
                <w:sz w:val="18"/>
                <w:szCs w:val="18"/>
              </w:rPr>
              <w:t xml:space="preserve">La région n’est fixée nulle part dans le dépôt.</w:t>
            </w:r>
            <w:r>
              <w:rPr>
                <w:rFonts w:ascii="Calibri" w:cs="Calibri" w:eastAsia="Calibri" w:hAnsi="Calibri"/>
                <w:sz w:val="18"/>
                <w:szCs w:val="18"/>
              </w:rPr>
              <w:t xml:space="preserve"> L’hébergement ivoirien est exigé avant données réelles mais pas choisi (A12, A13). Le fournisseur d’e-mail (SMTP) n’est pas choisi.</w:t>
            </w:r>
          </w:p>
        </w:tc>
        <w:tc>
          <w:tcPr>
            <w:tcW w:type="dxa" w:w="30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Lieux de traitement acceptables, transferts, contrats et clauses avec les sous-traitants, informations à publier.</w:t>
            </w:r>
          </w:p>
        </w:tc>
        <w:tc>
          <w:tcPr>
            <w:tcW w:type="dxa" w:w="8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6</w:t>
            </w:r>
          </w:p>
        </w:tc>
      </w:tr>
      <w:tr>
        <w:trPr>
          <w:cantSplit/>
        </w:trPr>
        <w:tc>
          <w:tcPr>
            <w:tcW w:type="dxa" w:w="45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2</w:t>
            </w:r>
          </w:p>
        </w:tc>
        <w:tc>
          <w:tcPr>
            <w:tcW w:type="dxa" w:w="165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Cadre local et formalités</w:t>
            </w:r>
          </w:p>
        </w:tc>
        <w:tc>
          <w:tcPr>
            <w:tcW w:type="dxa" w:w="37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Aucune analyse juridique locale dans le dépôt (A14 ouvert). Aucune formalité préalable identifiée.</w:t>
            </w:r>
          </w:p>
        </w:tc>
        <w:tc>
          <w:tcPr>
            <w:tcW w:type="dxa" w:w="30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Textes applicables en Côte d’Ivoire et dans les pays visés ; formalités préalables à tout traitement de données de santé ; qui les accomplit. Voir les repères en section 10.</w:t>
            </w:r>
          </w:p>
        </w:tc>
        <w:tc>
          <w:tcPr>
            <w:tcW w:type="dxa" w:w="8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3, 6</w:t>
            </w:r>
          </w:p>
        </w:tc>
      </w:tr>
      <w:tr>
        <w:trPr>
          <w:cantSplit/>
        </w:trPr>
        <w:tc>
          <w:tcPr>
            <w:tcW w:type="dxa" w:w="45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3</w:t>
            </w:r>
          </w:p>
        </w:tc>
        <w:tc>
          <w:tcPr>
            <w:tcW w:type="dxa" w:w="165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Documents publics absents</w:t>
            </w:r>
          </w:p>
        </w:tc>
        <w:tc>
          <w:tcPr>
            <w:tcW w:type="dxa" w:w="37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Pas de mentions légales, politique de confidentialité, conditions générales ni page cookies repérées. L’inscription ne présente ni acceptation ni lien vers de tels textes.</w:t>
            </w:r>
          </w:p>
        </w:tc>
        <w:tc>
          <w:tcPr>
            <w:tcW w:type="dxa" w:w="30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Liste des documents nécessaires par type d’utilisateur, contenu, lieu et moment d’affichage, mécanisme d’acceptation et de versionnage.</w:t>
            </w:r>
          </w:p>
        </w:tc>
        <w:tc>
          <w:tcPr>
            <w:tcW w:type="dxa" w:w="8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2, 4, 10</w:t>
            </w:r>
          </w:p>
        </w:tc>
      </w:tr>
      <w:tr>
        <w:trPr>
          <w:cantSplit/>
        </w:trPr>
        <w:tc>
          <w:tcPr>
            <w:tcW w:type="dxa" w:w="45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4</w:t>
            </w:r>
          </w:p>
        </w:tc>
        <w:tc>
          <w:tcPr>
            <w:tcW w:type="dxa" w:w="165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Information et consentement</w:t>
            </w:r>
          </w:p>
        </w:tc>
        <w:tc>
          <w:tcPr>
            <w:tcW w:type="dxa" w:w="37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Le consentement patient est un objet technique (durée 2 h, deux prolongations d’1 h, révocation). Aucun traitement juridique n’est documenté pour mineurs, représentants, personne aidante lors de la pré-consultation, urgence.</w:t>
            </w:r>
          </w:p>
        </w:tc>
        <w:tc>
          <w:tcPr>
            <w:tcW w:type="dxa" w:w="30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Objet exact du consentement, base juridique des traitements, cas particuliers, preuves à conserver.</w:t>
            </w:r>
          </w:p>
        </w:tc>
        <w:tc>
          <w:tcPr>
            <w:tcW w:type="dxa" w:w="8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3, 4</w:t>
            </w:r>
          </w:p>
        </w:tc>
      </w:tr>
      <w:tr>
        <w:trPr>
          <w:cantSplit/>
        </w:trPr>
        <w:tc>
          <w:tcPr>
            <w:tcW w:type="dxa" w:w="45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5</w:t>
            </w:r>
          </w:p>
        </w:tc>
        <w:tc>
          <w:tcPr>
            <w:tcW w:type="dxa" w:w="165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Conservation, suppression, export</w:t>
            </w:r>
          </w:p>
        </w:tc>
        <w:tc>
          <w:tcPr>
            <w:tcW w:type="dxa" w:w="37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Aucune politique approuvée (A15). L’audit est conservé ; les preuves d’établissement reçues par e-mail et un champ professionnel historique (</w:t>
            </w:r>
            <w:r>
              <w:rPr>
                <w:rFonts w:ascii="Consolas" w:cs="Consolas" w:eastAsia="Consolas" w:hAnsi="Consolas"/>
                <w:b w:val="false"/>
                <w:bCs w:val="false"/>
                <w:sz w:val="18"/>
                <w:szCs w:val="18"/>
              </w:rPr>
              <w:t xml:space="preserve">professional_identifier</w:t>
            </w:r>
            <w:r>
              <w:rPr>
                <w:rFonts w:ascii="Calibri" w:cs="Calibri" w:eastAsia="Calibri" w:hAnsi="Calibri"/>
                <w:sz w:val="18"/>
                <w:szCs w:val="18"/>
              </w:rPr>
              <w:t xml:space="preserve">) n’ont pas de règle de purge.</w:t>
            </w:r>
          </w:p>
        </w:tc>
        <w:tc>
          <w:tcPr>
            <w:tcW w:type="dxa" w:w="30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Durées par catégorie, droits d’accès / rectification / suppression, sort des traces à la fin d’un rattachement ou d’un compte.</w:t>
            </w:r>
          </w:p>
        </w:tc>
        <w:tc>
          <w:tcPr>
            <w:tcW w:type="dxa" w:w="8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5</w:t>
            </w:r>
          </w:p>
        </w:tc>
      </w:tr>
      <w:tr>
        <w:trPr>
          <w:cantSplit/>
        </w:trPr>
        <w:tc>
          <w:tcPr>
            <w:tcW w:type="dxa" w:w="45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6</w:t>
            </w:r>
          </w:p>
        </w:tc>
        <w:tc>
          <w:tcPr>
            <w:tcW w:type="dxa" w:w="165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Vérification professionnelle et mots de statut</w:t>
            </w:r>
          </w:p>
        </w:tc>
        <w:tc>
          <w:tcPr>
            <w:tcW w:type="dxa" w:w="37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L’interface dit qu’E-Carnet ne collecte ni ne valide les justificatifs médicaux et que l’établissement vérifie. </w:t>
            </w:r>
            <w:r>
              <w:rPr>
                <w:rFonts w:ascii="Calibri" w:cs="Calibri" w:eastAsia="Calibri" w:hAnsi="Calibri"/>
                <w:sz w:val="18"/>
                <w:szCs w:val="18"/>
              </w:rPr>
              <w:t xml:space="preserve">Mais</w:t>
            </w:r>
            <w:r>
              <w:rPr>
                <w:rFonts w:ascii="Calibri" w:cs="Calibri" w:eastAsia="Calibri" w:hAnsi="Calibri"/>
                <w:sz w:val="18"/>
                <w:szCs w:val="18"/>
              </w:rPr>
              <w:t xml:space="preserve"> le modèle conserve un statut « Vérifié » et une page staff porte le titre « Processus interne de vérification des médecins ». Conditions de rattachement en version </w:t>
            </w:r>
            <w:r>
              <w:rPr>
                <w:rFonts w:ascii="Consolas" w:cs="Consolas" w:eastAsia="Consolas" w:hAnsi="Consolas"/>
                <w:b w:val="false"/>
                <w:bCs w:val="false"/>
                <w:sz w:val="18"/>
                <w:szCs w:val="18"/>
              </w:rPr>
              <w:t xml:space="preserve">2026-10-08-v1</w:t>
            </w:r>
            <w:r>
              <w:rPr>
                <w:rFonts w:ascii="Calibri" w:cs="Calibri" w:eastAsia="Calibri" w:hAnsi="Calibri"/>
                <w:sz w:val="18"/>
                <w:szCs w:val="18"/>
              </w:rPr>
              <w:t xml:space="preserve"> à valider.</w:t>
            </w:r>
          </w:p>
        </w:tc>
        <w:tc>
          <w:tcPr>
            <w:tcW w:type="dxa" w:w="30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Portée exacte de l’approbation par l’établissement ; vocabulaire autorisé (« vérifié », « validé », « signé ») ; validation des six engagements du médecin.</w:t>
            </w:r>
          </w:p>
        </w:tc>
        <w:tc>
          <w:tcPr>
            <w:tcW w:type="dxa" w:w="8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7, 12</w:t>
            </w:r>
          </w:p>
        </w:tc>
      </w:tr>
      <w:tr>
        <w:trPr>
          <w:cantSplit/>
        </w:trPr>
        <w:tc>
          <w:tcPr>
            <w:tcW w:type="dxa" w:w="45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7</w:t>
            </w:r>
          </w:p>
        </w:tc>
        <w:tc>
          <w:tcPr>
            <w:tcW w:type="dxa" w:w="165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Attestation SVG et force probante</w:t>
            </w:r>
          </w:p>
        </w:tc>
        <w:tc>
          <w:tcPr>
            <w:tcW w:type="dxa" w:w="37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Texte affiché : « Une attestation SVG est enregistrée avec la validation. Elle ne constitue pas une signature électronique qualifiée. » Les corrections passent par historique ; la portée probante n’est pas définie.</w:t>
            </w:r>
          </w:p>
        </w:tc>
        <w:tc>
          <w:tcPr>
            <w:tcW w:type="dxa" w:w="30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Qualification et mentions associées ; preuve, horodatage, intégrité, auteur ; ce que « validation » signifie dans le produit.</w:t>
            </w:r>
          </w:p>
        </w:tc>
        <w:tc>
          <w:tcPr>
            <w:tcW w:type="dxa" w:w="8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8</w:t>
            </w:r>
          </w:p>
        </w:tc>
      </w:tr>
      <w:tr>
        <w:trPr>
          <w:cantSplit/>
        </w:trPr>
        <w:tc>
          <w:tcPr>
            <w:tcW w:type="dxa" w:w="45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8</w:t>
            </w:r>
          </w:p>
        </w:tc>
        <w:tc>
          <w:tcPr>
            <w:tcW w:type="dxa" w:w="165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Sécurité et incident</w:t>
            </w:r>
          </w:p>
        </w:tc>
        <w:tc>
          <w:tcPr>
            <w:tcW w:type="dxa" w:w="37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Procédure d’incident non rédigée (A16). </w:t>
            </w:r>
            <w:r>
              <w:rPr>
                <w:rFonts w:ascii="Calibri" w:cs="Calibri" w:eastAsia="Calibri" w:hAnsi="Calibri"/>
                <w:sz w:val="18"/>
                <w:szCs w:val="18"/>
              </w:rPr>
              <w:t xml:space="preserve">L’authentification à deux facteurs (TOTP) est reportée en V3 par décision du porteur du 8 octobre</w:t>
            </w:r>
            <w:r>
              <w:rPr>
                <w:rFonts w:ascii="Calibri" w:cs="Calibri" w:eastAsia="Calibri" w:hAnsi="Calibri"/>
                <w:sz w:val="18"/>
                <w:szCs w:val="18"/>
              </w:rPr>
              <w:t xml:space="preserve">, alors que le cahier des charges V8 l’exigeait pour les professionnels. Les documents indiquent que la protection de l’audit contre la suppression totale de la table et les privilèges de la base restent à vérifier sur la cible.</w:t>
            </w:r>
          </w:p>
        </w:tc>
        <w:tc>
          <w:tcPr>
            <w:tcW w:type="dxa" w:w="30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Seuil de risque acceptable avant données réelles (MFA), obligations et délais de notification, rôles et responsabilités, contenu des promesses de sécurité publiques.</w:t>
            </w:r>
          </w:p>
        </w:tc>
        <w:tc>
          <w:tcPr>
            <w:tcW w:type="dxa" w:w="8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9, 11</w:t>
            </w:r>
          </w:p>
        </w:tc>
      </w:tr>
    </w:tbl>
    <w:p>
      <w:pPr>
        <w:pStyle w:val="Heading1"/>
        <w:keepNext/>
        <w:pBdr>
          <w:bottom w:val="single" w:color="3D7F87" w:sz="6" w:space="4"/>
        </w:pBdr>
        <w:spacing w:after="140" w:before="360"/>
      </w:pPr>
      <w:r>
        <w:rPr>
          <w:rFonts w:ascii="Calibri" w:cs="Calibri" w:eastAsia="Calibri" w:hAnsi="Calibri"/>
          <w:b/>
          <w:bCs/>
          <w:color w:val="2A4B5D"/>
          <w:sz w:val="30"/>
          <w:szCs w:val="30"/>
        </w:rPr>
        <w:t xml:space="preserve">3. Carte des données et des sous-traitants</w:t>
      </w:r>
    </w:p>
    <w:p>
      <w:pPr>
        <w:spacing w:after="100" w:line="280"/>
      </w:pPr>
      <w:r>
        <w:rPr>
          <w:rFonts w:ascii="Calibri" w:cs="Calibri" w:eastAsia="Calibri" w:hAnsi="Calibri"/>
          <w:sz w:val="21"/>
          <w:szCs w:val="21"/>
        </w:rPr>
        <w:t xml:space="preserve">Cette carte est tirée des modèles, de la configuration et des documents. Elle ne décrit ni les finalités, ni les bases juridiques, ni les durées. Ne pas en conclure que ces données sont collectées en production : le pilote est limité à des données synthétiques.</w:t>
      </w:r>
    </w:p>
    <w:p>
      <w:pPr>
        <w:pStyle w:val="Heading2"/>
        <w:keepNext/>
        <w:spacing w:after="100" w:before="240"/>
      </w:pPr>
      <w:r>
        <w:rPr>
          <w:rFonts w:ascii="Calibri" w:cs="Calibri" w:eastAsia="Calibri" w:hAnsi="Calibri"/>
          <w:b/>
          <w:bCs/>
          <w:color w:val="3D7F87"/>
          <w:sz w:val="25"/>
          <w:szCs w:val="25"/>
        </w:rPr>
        <w:t xml:space="preserve">3.1 Familles de données présentes dans le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700"/>
        <w:gridCol w:w="1838"/>
      </w:tblGrid>
      <w:tr>
        <w:trPr>
          <w:cantSplit/>
          <w:tblHeader/>
        </w:trPr>
        <w:tc>
          <w:tcPr>
            <w:tcW w:type="dxa" w:w="15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Famille</w:t>
            </w:r>
          </w:p>
        </w:tc>
        <w:tc>
          <w:tcPr>
            <w:tcW w:type="dxa" w:w="36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Données présentes</w:t>
            </w:r>
          </w:p>
        </w:tc>
        <w:tc>
          <w:tcPr>
            <w:tcW w:type="dxa" w:w="27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Remarques et inconnues</w:t>
            </w:r>
          </w:p>
        </w:tc>
        <w:tc>
          <w:tcPr>
            <w:tcW w:type="dxa" w:w="1838"/>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Source</w:t>
            </w:r>
          </w:p>
        </w:tc>
      </w:tr>
      <w:tr>
        <w:trPr>
          <w:cantSplit/>
        </w:trPr>
        <w:tc>
          <w:tcPr>
            <w:tcW w:type="dxa" w:w="15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Compte et identité</w:t>
            </w:r>
          </w:p>
        </w:tc>
        <w:tc>
          <w:tcPr>
            <w:tcW w:type="dxa" w:w="36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Nom, prénom, e-mail, mot de passe (haché côté serveur, Argon2 en premier), contexte d’usage (patient, professionnel, établissement), </w:t>
            </w:r>
            <w:r>
              <w:rPr>
                <w:rFonts w:ascii="Calibri" w:cs="Calibri" w:eastAsia="Calibri" w:hAnsi="Calibri"/>
                <w:sz w:val="18"/>
                <w:szCs w:val="18"/>
              </w:rPr>
              <w:t xml:space="preserve">URL d’avatar</w:t>
            </w:r>
            <w:r>
              <w:rPr>
                <w:rFonts w:ascii="Calibri" w:cs="Calibri" w:eastAsia="Calibri" w:hAnsi="Calibri"/>
                <w:sz w:val="18"/>
                <w:szCs w:val="18"/>
              </w:rPr>
              <w:t xml:space="preserve"> modifiable.</w:t>
            </w:r>
          </w:p>
        </w:tc>
        <w:tc>
          <w:tcPr>
            <w:tcW w:type="dxa" w:w="27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L’avatar est une </w:t>
            </w:r>
            <w:r>
              <w:rPr>
                <w:rFonts w:ascii="Calibri" w:cs="Calibri" w:eastAsia="Calibri" w:hAnsi="Calibri"/>
                <w:sz w:val="18"/>
                <w:szCs w:val="18"/>
              </w:rPr>
              <w:t xml:space="preserve">URL</w:t>
            </w:r>
            <w:r>
              <w:rPr>
                <w:rFonts w:ascii="Calibri" w:cs="Calibri" w:eastAsia="Calibri" w:hAnsi="Calibri"/>
                <w:sz w:val="18"/>
                <w:szCs w:val="18"/>
              </w:rPr>
              <w:t xml:space="preserve">, pas un fichier : l’image est chargée depuis l’hôte indiqué (hôte du fournisseur ou URL saisie librement dans un champ de 500 caractères).</w:t>
            </w:r>
          </w:p>
        </w:tc>
        <w:tc>
          <w:tcPr>
            <w:tcW w:type="dxa" w:w="18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identity/models.py</w:t>
            </w:r>
            <w:r>
              <w:rPr>
                <w:rFonts w:ascii="Calibri" w:cs="Calibri" w:eastAsia="Calibri" w:hAnsi="Calibri"/>
                <w:sz w:val="18"/>
                <w:szCs w:val="18"/>
              </w:rPr>
              <w:t xml:space="preserve"> ; </w:t>
            </w:r>
            <w:r>
              <w:rPr>
                <w:rFonts w:ascii="Consolas" w:cs="Consolas" w:eastAsia="Consolas" w:hAnsi="Consolas"/>
                <w:b w:val="false"/>
                <w:bCs w:val="false"/>
                <w:sz w:val="18"/>
                <w:szCs w:val="18"/>
              </w:rPr>
              <w:t xml:space="preserve">AccountSettingsClient.tsx</w:t>
            </w:r>
          </w:p>
        </w:tc>
      </w:tr>
      <w:tr>
        <w:trPr>
          <w:cantSplit/>
        </w:trPr>
        <w:tc>
          <w:tcPr>
            <w:tcW w:type="dxa" w:w="15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Identité via un tiers</w:t>
            </w:r>
          </w:p>
        </w:tc>
        <w:tc>
          <w:tcPr>
            <w:tcW w:type="dxa" w:w="36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Identifiant fournisseur, e-mail, nom d’affichage, URL d’avatar, date de dernière utilisation (Google, Facebook, Apple).</w:t>
            </w:r>
          </w:p>
        </w:tc>
        <w:tc>
          <w:tcPr>
            <w:tcW w:type="dxa" w:w="27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Aucune fusion automatique de comptes sur la seule adresse e-mail (texte du produit).</w:t>
            </w:r>
          </w:p>
        </w:tc>
        <w:tc>
          <w:tcPr>
            <w:tcW w:type="dxa" w:w="18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identity/models.py:39-56</w:t>
            </w:r>
            <w:r>
              <w:rPr>
                <w:rFonts w:ascii="Calibri" w:cs="Calibri" w:eastAsia="Calibri" w:hAnsi="Calibri"/>
                <w:sz w:val="18"/>
                <w:szCs w:val="18"/>
              </w:rPr>
              <w:t xml:space="preserve"> ; </w:t>
            </w:r>
            <w:r>
              <w:rPr>
                <w:rFonts w:ascii="Consolas" w:cs="Consolas" w:eastAsia="Consolas" w:hAnsi="Consolas"/>
                <w:b w:val="false"/>
                <w:bCs w:val="false"/>
                <w:sz w:val="18"/>
                <w:szCs w:val="18"/>
              </w:rPr>
              <w:t xml:space="preserve">AuthForms.tsx</w:t>
            </w:r>
          </w:p>
        </w:tc>
      </w:tr>
      <w:tr>
        <w:trPr>
          <w:cantSplit/>
        </w:trPr>
        <w:tc>
          <w:tcPr>
            <w:tcW w:type="dxa" w:w="15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Profil patient</w:t>
            </w:r>
          </w:p>
        </w:tc>
        <w:tc>
          <w:tcPr>
            <w:tcW w:type="dxa" w:w="36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Téléphone, date de naissance, adresse, organisme, numéro et échéance de couverture.</w:t>
            </w:r>
          </w:p>
        </w:tc>
        <w:tc>
          <w:tcPr>
            <w:tcW w:type="dxa" w:w="27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Finalités et durées à définir.</w:t>
            </w:r>
          </w:p>
        </w:tc>
        <w:tc>
          <w:tcPr>
            <w:tcW w:type="dxa" w:w="18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patients/models.py:7-18</w:t>
            </w:r>
          </w:p>
        </w:tc>
      </w:tr>
      <w:tr>
        <w:trPr>
          <w:cantSplit/>
        </w:trPr>
        <w:tc>
          <w:tcPr>
            <w:tcW w:type="dxa" w:w="15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Informations de santé</w:t>
            </w:r>
          </w:p>
        </w:tc>
        <w:tc>
          <w:tcPr>
            <w:tcW w:type="dxa" w:w="36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Allergies, antécédents, traitements, détails libres ; motif et observations de pré-consultation ; nom de la personne qui aide (texte libre, non authentifiée) ; conclusion, conduite à tenir, attestation SVG, horodatages.</w:t>
            </w:r>
          </w:p>
        </w:tc>
        <w:tc>
          <w:tcPr>
            <w:tcW w:type="dxa" w:w="27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Catégorie de données particulière à qualifier par le juriste. Champs libres : faut-il les limiter ?</w:t>
            </w:r>
          </w:p>
        </w:tc>
        <w:tc>
          <w:tcPr>
            <w:tcW w:type="dxa" w:w="18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patients/models.py:24-40</w:t>
            </w:r>
            <w:r>
              <w:rPr>
                <w:rFonts w:ascii="Calibri" w:cs="Calibri" w:eastAsia="Calibri" w:hAnsi="Calibri"/>
                <w:sz w:val="18"/>
                <w:szCs w:val="18"/>
              </w:rPr>
              <w:t xml:space="preserve"> ; </w:t>
            </w:r>
            <w:r>
              <w:rPr>
                <w:rFonts w:ascii="Consolas" w:cs="Consolas" w:eastAsia="Consolas" w:hAnsi="Consolas"/>
                <w:b w:val="false"/>
                <w:bCs w:val="false"/>
                <w:sz w:val="18"/>
                <w:szCs w:val="18"/>
              </w:rPr>
              <w:t xml:space="preserve">care/models.py:9-34, 94-125</w:t>
            </w:r>
          </w:p>
        </w:tc>
      </w:tr>
      <w:tr>
        <w:trPr>
          <w:cantSplit/>
        </w:trPr>
        <w:tc>
          <w:tcPr>
            <w:tcW w:type="dxa" w:w="15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Accès patient–professionnel</w:t>
            </w:r>
          </w:p>
        </w:tc>
        <w:tc>
          <w:tcPr>
            <w:tcW w:type="dxa" w:w="36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Identifiants reliés, nom du professionnel, établissement, périmètre, statut, dates de demande / début / expiration / révocation, nombre de prolongations.</w:t>
            </w:r>
          </w:p>
        </w:tc>
        <w:tc>
          <w:tcPr>
            <w:tcW w:type="dxa" w:w="27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Jeton de QR : seul le </w:t>
            </w:r>
            <w:r>
              <w:rPr>
                <w:rFonts w:ascii="Calibri" w:cs="Calibri" w:eastAsia="Calibri" w:hAnsi="Calibri"/>
                <w:sz w:val="18"/>
                <w:szCs w:val="18"/>
              </w:rPr>
              <w:t xml:space="preserve">hachage</w:t>
            </w:r>
            <w:r>
              <w:rPr>
                <w:rFonts w:ascii="Calibri" w:cs="Calibri" w:eastAsia="Calibri" w:hAnsi="Calibri"/>
                <w:sz w:val="18"/>
                <w:szCs w:val="18"/>
              </w:rPr>
              <w:t xml:space="preserve"> est enregistré ; expiration à 5 minutes, usage unique.</w:t>
            </w:r>
          </w:p>
        </w:tc>
        <w:tc>
          <w:tcPr>
            <w:tcW w:type="dxa" w:w="18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care/models.py:36-92</w:t>
            </w:r>
          </w:p>
        </w:tc>
      </w:tr>
      <w:tr>
        <w:trPr>
          <w:cantSplit/>
        </w:trPr>
        <w:tc>
          <w:tcPr>
            <w:tcW w:type="dxa" w:w="15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Audit</w:t>
            </w:r>
          </w:p>
        </w:tc>
        <w:tc>
          <w:tcPr>
            <w:tcW w:type="dxa" w:w="36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Type d’événement, acteur, rôle, patient, établissement, accès, consultation, métadonnées, date.</w:t>
            </w:r>
          </w:p>
        </w:tc>
        <w:tc>
          <w:tcPr>
            <w:tcW w:type="dxa" w:w="27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Durée de conservation à décider. Le contenu médical n’est pas copié dans le journal (règle du cahier des charges).</w:t>
            </w:r>
          </w:p>
        </w:tc>
        <w:tc>
          <w:tcPr>
            <w:tcW w:type="dxa" w:w="18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audit/models.py:18-44</w:t>
            </w:r>
          </w:p>
        </w:tc>
      </w:tr>
      <w:tr>
        <w:trPr>
          <w:cantSplit/>
        </w:trPr>
        <w:tc>
          <w:tcPr>
            <w:tcW w:type="dxa" w:w="15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Professionnel et rattachement</w:t>
            </w:r>
          </w:p>
        </w:tc>
        <w:tc>
          <w:tcPr>
            <w:tcW w:type="dxa" w:w="36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Titre déclaré, spécialité, établissement actif ; ancien champ </w:t>
            </w:r>
            <w:r>
              <w:rPr>
                <w:rFonts w:ascii="Consolas" w:cs="Consolas" w:eastAsia="Consolas" w:hAnsi="Consolas"/>
                <w:b w:val="false"/>
                <w:bCs w:val="false"/>
                <w:sz w:val="18"/>
                <w:szCs w:val="18"/>
              </w:rPr>
              <w:t xml:space="preserve">professional_identifier</w:t>
            </w:r>
            <w:r>
              <w:rPr>
                <w:rFonts w:ascii="Calibri" w:cs="Calibri" w:eastAsia="Calibri" w:hAnsi="Calibri"/>
                <w:sz w:val="18"/>
                <w:szCs w:val="18"/>
              </w:rPr>
              <w:t xml:space="preserve"> encore dans le modèle bien que le parcours courant ne le demande pas ; statut de rattachement et décisions horodatées.</w:t>
            </w:r>
          </w:p>
        </w:tc>
        <w:tc>
          <w:tcPr>
            <w:tcW w:type="dxa" w:w="27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Politique de purge du champ historique à définir.</w:t>
            </w:r>
          </w:p>
        </w:tc>
        <w:tc>
          <w:tcPr>
            <w:tcW w:type="dxa" w:w="18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professionals/models.py:7-18</w:t>
            </w:r>
            <w:r>
              <w:rPr>
                <w:rFonts w:ascii="Calibri" w:cs="Calibri" w:eastAsia="Calibri" w:hAnsi="Calibri"/>
                <w:sz w:val="18"/>
                <w:szCs w:val="18"/>
              </w:rPr>
              <w:t xml:space="preserve"> ; </w:t>
            </w:r>
            <w:r>
              <w:rPr>
                <w:rFonts w:ascii="Consolas" w:cs="Consolas" w:eastAsia="Consolas" w:hAnsi="Consolas"/>
                <w:b w:val="false"/>
                <w:bCs w:val="false"/>
                <w:sz w:val="18"/>
                <w:szCs w:val="18"/>
              </w:rPr>
              <w:t xml:space="preserve">docs/SECURITY.md:23</w:t>
            </w:r>
          </w:p>
        </w:tc>
      </w:tr>
      <w:tr>
        <w:trPr>
          <w:cantSplit/>
        </w:trPr>
        <w:tc>
          <w:tcPr>
            <w:tcW w:type="dxa" w:w="15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Établissement et administrateur</w:t>
            </w:r>
          </w:p>
        </w:tc>
        <w:tc>
          <w:tcPr>
            <w:tcW w:type="dxa" w:w="36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Nom, type, ville, adresse, téléphone, e-mail, responsable ; administrateur nominatif, invitations (48 h), codes médecin (48 h, usage unique), adhésions, acceptations des conditions (version, horodatage).</w:t>
            </w:r>
          </w:p>
        </w:tc>
        <w:tc>
          <w:tcPr>
            <w:tcW w:type="dxa" w:w="27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Conservation des preuves de rattachement à décider.</w:t>
            </w:r>
          </w:p>
        </w:tc>
        <w:tc>
          <w:tcPr>
            <w:tcW w:type="dxa" w:w="18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establishments/models.py</w:t>
            </w:r>
          </w:p>
        </w:tc>
      </w:tr>
      <w:tr>
        <w:trPr>
          <w:cantSplit/>
        </w:trPr>
        <w:tc>
          <w:tcPr>
            <w:tcW w:type="dxa" w:w="15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Justificatifs de structure</w:t>
            </w:r>
          </w:p>
        </w:tc>
        <w:tc>
          <w:tcPr>
            <w:tcW w:type="dxa" w:w="36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Reçus </w:t>
            </w:r>
            <w:r>
              <w:rPr>
                <w:rFonts w:ascii="Calibri" w:cs="Calibri" w:eastAsia="Calibri" w:hAnsi="Calibri"/>
                <w:sz w:val="18"/>
                <w:szCs w:val="18"/>
              </w:rPr>
              <w:t xml:space="preserve">par e-mail</w:t>
            </w:r>
            <w:r>
              <w:rPr>
                <w:rFonts w:ascii="Calibri" w:cs="Calibri" w:eastAsia="Calibri" w:hAnsi="Calibri"/>
                <w:sz w:val="18"/>
                <w:szCs w:val="18"/>
              </w:rPr>
              <w:t xml:space="preserve"> par l’équipe, hors du dépôt public.</w:t>
            </w:r>
          </w:p>
        </w:tc>
        <w:tc>
          <w:tcPr>
            <w:tcW w:type="dxa" w:w="27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Boîte, accès, sauvegarde, purge : tout est à définir.</w:t>
            </w:r>
          </w:p>
        </w:tc>
        <w:tc>
          <w:tcPr>
            <w:tcW w:type="dxa" w:w="18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docs/FLOW-ETABLISSEMENT.md:9-16, 64</w:t>
            </w:r>
          </w:p>
        </w:tc>
      </w:tr>
      <w:tr>
        <w:trPr>
          <w:cantSplit/>
        </w:trPr>
        <w:tc>
          <w:tcPr>
            <w:tcW w:type="dxa" w:w="15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Préférences d’apparence</w:t>
            </w:r>
          </w:p>
        </w:tc>
        <w:tc>
          <w:tcPr>
            <w:tcW w:type="dxa" w:w="36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Thème (palette et police) rattaché au compte.</w:t>
            </w:r>
          </w:p>
        </w:tc>
        <w:tc>
          <w:tcPr>
            <w:tcW w:type="dxa" w:w="27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w:t>
            </w:r>
          </w:p>
        </w:tc>
        <w:tc>
          <w:tcPr>
            <w:tcW w:type="dxa" w:w="18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identity/models.py:6-15</w:t>
            </w:r>
          </w:p>
        </w:tc>
      </w:tr>
      <w:tr>
        <w:trPr>
          <w:cantSplit/>
        </w:trPr>
        <w:tc>
          <w:tcPr>
            <w:tcW w:type="dxa" w:w="15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Session et sécurité</w:t>
            </w:r>
          </w:p>
        </w:tc>
        <w:tc>
          <w:tcPr>
            <w:tcW w:type="dxa" w:w="36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Session serveur en base ; cookies décrits en 3.3 ; compteurs de limitation de débit.</w:t>
            </w:r>
          </w:p>
        </w:tc>
        <w:tc>
          <w:tcPr>
            <w:tcW w:type="dxa" w:w="27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Durée de session 8 h par défaut ; journaux d’hébergeur non inventoriés.</w:t>
            </w:r>
          </w:p>
        </w:tc>
        <w:tc>
          <w:tcPr>
            <w:tcW w:type="dxa" w:w="18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config/settings.py</w:t>
            </w:r>
          </w:p>
        </w:tc>
      </w:tr>
    </w:tbl>
    <w:p>
      <w:pPr>
        <w:spacing w:after="60"/>
      </w:pPr>
    </w:p>
    <w:p>
      <w:pPr>
        <w:pStyle w:val="Heading2"/>
        <w:keepNext/>
        <w:spacing w:after="100" w:before="240"/>
      </w:pPr>
      <w:r>
        <w:rPr>
          <w:rFonts w:ascii="Calibri" w:cs="Calibri" w:eastAsia="Calibri" w:hAnsi="Calibri"/>
          <w:b/>
          <w:bCs/>
          <w:color w:val="3D7F87"/>
          <w:sz w:val="25"/>
          <w:szCs w:val="25"/>
        </w:rPr>
        <w:t xml:space="preserve">3.2 Tiers et flux à documenter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200"/>
        <w:gridCol w:w="2638"/>
      </w:tblGrid>
      <w:tr>
        <w:trPr>
          <w:cantSplit/>
          <w:tblHeader/>
        </w:trPr>
        <w:tc>
          <w:tcPr>
            <w:tcW w:type="dxa" w:w="15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Acteur</w:t>
            </w:r>
          </w:p>
        </w:tc>
        <w:tc>
          <w:tcPr>
            <w:tcW w:type="dxa" w:w="23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Rôle technique</w:t>
            </w:r>
          </w:p>
        </w:tc>
        <w:tc>
          <w:tcPr>
            <w:tcW w:type="dxa" w:w="32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Données qui peuvent transiter</w:t>
            </w:r>
          </w:p>
        </w:tc>
        <w:tc>
          <w:tcPr>
            <w:tcW w:type="dxa" w:w="2638"/>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À obtenir pour le juriste</w:t>
            </w:r>
          </w:p>
        </w:tc>
      </w:tr>
      <w:tr>
        <w:trPr>
          <w:cantSplit/>
        </w:trPr>
        <w:tc>
          <w:tcPr>
            <w:tcW w:type="dxa" w:w="15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Vercel</w:t>
            </w:r>
          </w:p>
        </w:tc>
        <w:tc>
          <w:tcPr>
            <w:tcW w:type="dxa" w:w="2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Hébergement du frontend (pages publiques et application web).</w:t>
            </w:r>
          </w:p>
        </w:tc>
        <w:tc>
          <w:tcPr>
            <w:tcW w:type="dxa" w:w="32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Journaux d’accès (adresse IP, agent utilisateur), pages servies. Selon le cahier des charges, les espaces privés sont rendus côté navigateur.</w:t>
            </w:r>
          </w:p>
        </w:tc>
        <w:tc>
          <w:tcPr>
            <w:tcW w:type="dxa" w:w="26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Région, contrat, journaux, sous-traitants ultérieurs.</w:t>
            </w:r>
          </w:p>
        </w:tc>
      </w:tr>
      <w:tr>
        <w:trPr>
          <w:cantSplit/>
        </w:trPr>
        <w:tc>
          <w:tcPr>
            <w:tcW w:type="dxa" w:w="15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Render</w:t>
            </w:r>
          </w:p>
        </w:tc>
        <w:tc>
          <w:tcPr>
            <w:tcW w:type="dxa" w:w="2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Hébergement de l’API (plan gratuit dans le fichier de déploiement ; mise en veille possible).</w:t>
            </w:r>
          </w:p>
        </w:tc>
        <w:tc>
          <w:tcPr>
            <w:tcW w:type="dxa" w:w="32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Toutes les requêtes de l’API : identité, déclarations, accès, consultations (en transit et en mémoire).</w:t>
            </w:r>
          </w:p>
        </w:tc>
        <w:tc>
          <w:tcPr>
            <w:tcW w:type="dxa" w:w="26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Région, contrat, plan adapté à des données de santé, journaux, sauvegardes.</w:t>
            </w:r>
          </w:p>
        </w:tc>
      </w:tr>
      <w:tr>
        <w:trPr>
          <w:cantSplit/>
        </w:trPr>
        <w:tc>
          <w:tcPr>
            <w:tcW w:type="dxa" w:w="15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Neon</w:t>
            </w:r>
          </w:p>
        </w:tc>
        <w:tc>
          <w:tcPr>
            <w:tcW w:type="dxa" w:w="2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Base PostgreSQL gérée.</w:t>
            </w:r>
          </w:p>
        </w:tc>
        <w:tc>
          <w:tcPr>
            <w:tcW w:type="dxa" w:w="32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Toutes les données stockées (sections 3.1).</w:t>
            </w:r>
          </w:p>
        </w:tc>
        <w:tc>
          <w:tcPr>
            <w:tcW w:type="dxa" w:w="26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Région non précisée</w:t>
            </w:r>
            <w:r>
              <w:rPr>
                <w:rFonts w:ascii="Calibri" w:cs="Calibri" w:eastAsia="Calibri" w:hAnsi="Calibri"/>
                <w:sz w:val="18"/>
                <w:szCs w:val="18"/>
              </w:rPr>
              <w:t xml:space="preserve">, durée et chiffrement des sauvegardes, localisation des copies (A12).</w:t>
            </w:r>
          </w:p>
        </w:tc>
      </w:tr>
      <w:tr>
        <w:trPr>
          <w:cantSplit/>
        </w:trPr>
        <w:tc>
          <w:tcPr>
            <w:tcW w:type="dxa" w:w="15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Fournisseur d’e-mail (SMTP)</w:t>
            </w:r>
          </w:p>
        </w:tc>
        <w:tc>
          <w:tcPr>
            <w:tcW w:type="dxa" w:w="2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Envoi des invitations d’administrateur d’établissement. </w:t>
            </w:r>
            <w:r>
              <w:rPr>
                <w:rFonts w:ascii="Calibri" w:cs="Calibri" w:eastAsia="Calibri" w:hAnsi="Calibri"/>
                <w:sz w:val="18"/>
                <w:szCs w:val="18"/>
              </w:rPr>
              <w:t xml:space="preserve">Non choisi.</w:t>
            </w:r>
          </w:p>
        </w:tc>
        <w:tc>
          <w:tcPr>
            <w:tcW w:type="dxa" w:w="32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Adresse du destinataire, nom de l’établissement, lien d’invitation.</w:t>
            </w:r>
          </w:p>
        </w:tc>
        <w:tc>
          <w:tcPr>
            <w:tcW w:type="dxa" w:w="26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Choix du fournisseur, lieu de traitement, rétention des messages.</w:t>
            </w:r>
          </w:p>
        </w:tc>
      </w:tr>
      <w:tr>
        <w:trPr>
          <w:cantSplit/>
        </w:trPr>
        <w:tc>
          <w:tcPr>
            <w:tcW w:type="dxa" w:w="15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Google, Facebook, Apple</w:t>
            </w:r>
          </w:p>
        </w:tc>
        <w:tc>
          <w:tcPr>
            <w:tcW w:type="dxa" w:w="2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Connexion sociale (code d’autorisation).</w:t>
            </w:r>
          </w:p>
        </w:tc>
        <w:tc>
          <w:tcPr>
            <w:tcW w:type="dxa" w:w="32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Identifiant, e-mail, nom, URL de photo reçus par l’API ; l’application ne reçoit pas de mot de passe. Apple dépend d’un compte développeur payant (non encore ouvert).</w:t>
            </w:r>
          </w:p>
        </w:tc>
        <w:tc>
          <w:tcPr>
            <w:tcW w:type="dxa" w:w="26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Information à donner à l’utilisateur ; conditions des fournisseurs ; liaison et déliaison.</w:t>
            </w:r>
          </w:p>
        </w:tc>
      </w:tr>
      <w:tr>
        <w:trPr>
          <w:cantSplit/>
        </w:trPr>
        <w:tc>
          <w:tcPr>
            <w:tcW w:type="dxa" w:w="15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Hôtes d’images d’avatar</w:t>
            </w:r>
          </w:p>
        </w:tc>
        <w:tc>
          <w:tcPr>
            <w:tcW w:type="dxa" w:w="2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Le navigateur charge l’image depuis l’URL enregistrée.</w:t>
            </w:r>
          </w:p>
        </w:tc>
        <w:tc>
          <w:tcPr>
            <w:tcW w:type="dxa" w:w="32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Adresse IP et agent utilisateur de la personne vers un hôte tiers, éventuellement quelconque (URL libre).</w:t>
            </w:r>
          </w:p>
        </w:tc>
        <w:tc>
          <w:tcPr>
            <w:tcW w:type="dxa" w:w="26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Acceptabilité ; faut-il restreindre ou héberger l’image ?</w:t>
            </w:r>
          </w:p>
        </w:tc>
      </w:tr>
      <w:tr>
        <w:trPr>
          <w:cantSplit/>
        </w:trPr>
        <w:tc>
          <w:tcPr>
            <w:tcW w:type="dxa" w:w="15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Boîte e-mail de l’équipe</w:t>
            </w:r>
          </w:p>
        </w:tc>
        <w:tc>
          <w:tcPr>
            <w:tcW w:type="dxa" w:w="2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Réception des justificatifs de structure.</w:t>
            </w:r>
          </w:p>
        </w:tc>
        <w:tc>
          <w:tcPr>
            <w:tcW w:type="dxa" w:w="32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Pièces d’établissement et de son responsable.</w:t>
            </w:r>
          </w:p>
        </w:tc>
        <w:tc>
          <w:tcPr>
            <w:tcW w:type="dxa" w:w="26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Accès, sauvegarde, durée, destruction.</w:t>
            </w:r>
          </w:p>
        </w:tc>
      </w:tr>
      <w:tr>
        <w:trPr>
          <w:cantSplit/>
        </w:trPr>
        <w:tc>
          <w:tcPr>
            <w:tcW w:type="dxa" w:w="15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Outils d’analyse / publicité</w:t>
            </w:r>
          </w:p>
        </w:tc>
        <w:tc>
          <w:tcPr>
            <w:tcW w:type="dxa" w:w="2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Aucun</w:t>
            </w:r>
            <w:r>
              <w:rPr>
                <w:rFonts w:ascii="Calibri" w:cs="Calibri" w:eastAsia="Calibri" w:hAnsi="Calibri"/>
                <w:sz w:val="18"/>
                <w:szCs w:val="18"/>
              </w:rPr>
              <w:t xml:space="preserve"> repéré dans le code web (constat de relecture).</w:t>
            </w:r>
          </w:p>
        </w:tc>
        <w:tc>
          <w:tcPr>
            <w:tcW w:type="dxa" w:w="32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w:t>
            </w:r>
          </w:p>
        </w:tc>
        <w:tc>
          <w:tcPr>
            <w:tcW w:type="dxa" w:w="26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À reconfirmer avant lancement.</w:t>
            </w:r>
          </w:p>
        </w:tc>
      </w:tr>
    </w:tbl>
    <w:p>
      <w:pPr>
        <w:spacing w:after="60"/>
      </w:pPr>
    </w:p>
    <w:p>
      <w:pPr>
        <w:pStyle w:val="Heading2"/>
        <w:keepNext/>
        <w:spacing w:after="100" w:before="240"/>
      </w:pPr>
      <w:r>
        <w:rPr>
          <w:rFonts w:ascii="Calibri" w:cs="Calibri" w:eastAsia="Calibri" w:hAnsi="Calibri"/>
          <w:b/>
          <w:bCs/>
          <w:color w:val="3D7F87"/>
          <w:sz w:val="25"/>
          <w:szCs w:val="25"/>
        </w:rPr>
        <w:t xml:space="preserve">3.3 Cookies et stockage dans le navigateur</w:t>
      </w:r>
    </w:p>
    <w:p>
      <w:pPr>
        <w:pStyle w:val="ListParagraph"/>
        <w:numPr>
          <w:ilvl w:val="0"/>
          <w:numId w:val="2"/>
        </w:numPr>
        <w:spacing w:after="60" w:line="270"/>
      </w:pPr>
      <w:r>
        <w:rPr>
          <w:rFonts w:ascii="Calibri" w:cs="Calibri" w:eastAsia="Calibri" w:hAnsi="Calibri"/>
          <w:b/>
          <w:bCs/>
          <w:sz w:val="21"/>
          <w:szCs w:val="21"/>
        </w:rPr>
        <w:t xml:space="preserve">Cookie de session</w:t>
      </w:r>
      <w:r>
        <w:rPr>
          <w:rFonts w:ascii="Calibri" w:cs="Calibri" w:eastAsia="Calibri" w:hAnsi="Calibri"/>
          <w:sz w:val="21"/>
          <w:szCs w:val="21"/>
        </w:rPr>
        <w:t xml:space="preserve"> : serveur, illisible par les scripts, transmis uniquement en HTTPS en production, durée par défaut 8 heures. En production il est configuré en </w:t>
      </w:r>
      <w:r>
        <w:rPr>
          <w:rFonts w:ascii="Consolas" w:cs="Consolas" w:eastAsia="Consolas" w:hAnsi="Consolas"/>
          <w:b w:val="false"/>
          <w:bCs w:val="false"/>
          <w:color w:val="2A4B5D"/>
          <w:sz w:val="21"/>
          <w:szCs w:val="21"/>
        </w:rPr>
        <w:t xml:space="preserve">SameSite=None</w:t>
      </w:r>
      <w:r>
        <w:rPr>
          <w:rFonts w:ascii="Calibri" w:cs="Calibri" w:eastAsia="Calibri" w:hAnsi="Calibri"/>
          <w:sz w:val="21"/>
          <w:szCs w:val="21"/>
        </w:rPr>
        <w:t xml:space="preserve"> car le frontend et l’API sont sur des domaines distincts ; un domaine commun (</w:t>
      </w:r>
      <w:r>
        <w:rPr>
          <w:rFonts w:ascii="Consolas" w:cs="Consolas" w:eastAsia="Consolas" w:hAnsi="Consolas"/>
          <w:b w:val="false"/>
          <w:bCs w:val="false"/>
          <w:color w:val="2A4B5D"/>
          <w:sz w:val="21"/>
          <w:szCs w:val="21"/>
        </w:rPr>
        <w:t xml:space="preserve">app.</w:t>
      </w:r>
      <w:r>
        <w:rPr>
          <w:rFonts w:ascii="Calibri" w:cs="Calibri" w:eastAsia="Calibri" w:hAnsi="Calibri"/>
          <w:sz w:val="21"/>
          <w:szCs w:val="21"/>
        </w:rPr>
        <w:t xml:space="preserve"> et </w:t>
      </w:r>
      <w:r>
        <w:rPr>
          <w:rFonts w:ascii="Consolas" w:cs="Consolas" w:eastAsia="Consolas" w:hAnsi="Consolas"/>
          <w:b w:val="false"/>
          <w:bCs w:val="false"/>
          <w:color w:val="2A4B5D"/>
          <w:sz w:val="21"/>
          <w:szCs w:val="21"/>
        </w:rPr>
        <w:t xml:space="preserve">api.</w:t>
      </w:r>
      <w:r>
        <w:rPr>
          <w:rFonts w:ascii="Calibri" w:cs="Calibri" w:eastAsia="Calibri" w:hAnsi="Calibri"/>
          <w:sz w:val="21"/>
          <w:szCs w:val="21"/>
        </w:rPr>
        <w:t xml:space="preserve">) est prévu dans la documentation de déploiement.</w:t>
      </w:r>
    </w:p>
    <w:p>
      <w:pPr>
        <w:pStyle w:val="ListParagraph"/>
        <w:numPr>
          <w:ilvl w:val="0"/>
          <w:numId w:val="2"/>
        </w:numPr>
        <w:spacing w:after="60" w:line="270"/>
      </w:pPr>
      <w:r>
        <w:rPr>
          <w:rFonts w:ascii="Calibri" w:cs="Calibri" w:eastAsia="Calibri" w:hAnsi="Calibri"/>
          <w:b/>
          <w:bCs/>
          <w:sz w:val="21"/>
          <w:szCs w:val="21"/>
        </w:rPr>
        <w:t xml:space="preserve">Cookie CSRF</w:t>
      </w:r>
      <w:r>
        <w:rPr>
          <w:rFonts w:ascii="Calibri" w:cs="Calibri" w:eastAsia="Calibri" w:hAnsi="Calibri"/>
          <w:sz w:val="21"/>
          <w:szCs w:val="21"/>
        </w:rPr>
        <w:t xml:space="preserve"> : lisible par le navigateur (nécessaire au fonctionnement actuel), transmis en HTTPS en production.</w:t>
      </w:r>
    </w:p>
    <w:p>
      <w:pPr>
        <w:pStyle w:val="ListParagraph"/>
        <w:numPr>
          <w:ilvl w:val="0"/>
          <w:numId w:val="2"/>
        </w:numPr>
        <w:spacing w:after="60" w:line="270"/>
      </w:pPr>
      <w:r>
        <w:rPr>
          <w:rFonts w:ascii="Calibri" w:cs="Calibri" w:eastAsia="Calibri" w:hAnsi="Calibri"/>
          <w:b/>
          <w:bCs/>
          <w:sz w:val="21"/>
          <w:szCs w:val="21"/>
        </w:rPr>
        <w:t xml:space="preserve">Pas de jeton de session dans le stockage local</w:t>
      </w:r>
      <w:r>
        <w:rPr>
          <w:rFonts w:ascii="Calibri" w:cs="Calibri" w:eastAsia="Calibri" w:hAnsi="Calibri"/>
          <w:sz w:val="21"/>
          <w:szCs w:val="21"/>
        </w:rPr>
        <w:t xml:space="preserve"> (aucun usage de </w:t>
      </w:r>
      <w:r>
        <w:rPr>
          <w:rFonts w:ascii="Consolas" w:cs="Consolas" w:eastAsia="Consolas" w:hAnsi="Consolas"/>
          <w:b w:val="false"/>
          <w:bCs w:val="false"/>
          <w:color w:val="2A4B5D"/>
          <w:sz w:val="21"/>
          <w:szCs w:val="21"/>
        </w:rPr>
        <w:t xml:space="preserve">localStorage</w:t>
      </w:r>
      <w:r>
        <w:rPr>
          <w:rFonts w:ascii="Calibri" w:cs="Calibri" w:eastAsia="Calibri" w:hAnsi="Calibri"/>
          <w:sz w:val="21"/>
          <w:szCs w:val="21"/>
        </w:rPr>
        <w:t xml:space="preserve"> / </w:t>
      </w:r>
      <w:r>
        <w:rPr>
          <w:rFonts w:ascii="Consolas" w:cs="Consolas" w:eastAsia="Consolas" w:hAnsi="Consolas"/>
          <w:b w:val="false"/>
          <w:bCs w:val="false"/>
          <w:color w:val="2A4B5D"/>
          <w:sz w:val="21"/>
          <w:szCs w:val="21"/>
        </w:rPr>
        <w:t xml:space="preserve">sessionStorage</w:t>
      </w:r>
      <w:r>
        <w:rPr>
          <w:rFonts w:ascii="Calibri" w:cs="Calibri" w:eastAsia="Calibri" w:hAnsi="Calibri"/>
          <w:sz w:val="21"/>
          <w:szCs w:val="21"/>
        </w:rPr>
        <w:t xml:space="preserve"> repéré) ; le service worker ne met en cache aucune donnée médicale (affirmation de la page Sécurité, à confirmer).</w:t>
      </w:r>
    </w:p>
    <w:p>
      <w:pPr>
        <w:pStyle w:val="ListParagraph"/>
        <w:numPr>
          <w:ilvl w:val="0"/>
          <w:numId w:val="2"/>
        </w:numPr>
        <w:spacing w:after="60" w:line="270"/>
      </w:pPr>
      <w:r>
        <w:rPr>
          <w:rFonts w:ascii="Calibri" w:cs="Calibri" w:eastAsia="Calibri" w:hAnsi="Calibri"/>
          <w:sz w:val="21"/>
          <w:szCs w:val="21"/>
        </w:rPr>
        <w:t xml:space="preserve">Aucune page ni bannière d’information sur les cookies n’a été repérée.</w:t>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4. Textes publics et promesses du produit</w:t>
      </w:r>
    </w:p>
    <w:p>
      <w:pPr>
        <w:pStyle w:val="Heading2"/>
        <w:keepNext/>
        <w:spacing w:after="100" w:before="240"/>
      </w:pPr>
      <w:r>
        <w:rPr>
          <w:rFonts w:ascii="Calibri" w:cs="Calibri" w:eastAsia="Calibri" w:hAnsi="Calibri"/>
          <w:b/>
          <w:bCs/>
          <w:color w:val="3D7F87"/>
          <w:sz w:val="25"/>
          <w:szCs w:val="25"/>
        </w:rPr>
        <w:t xml:space="preserve">4.1 Extraits à examiner mot à mot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338"/>
      </w:tblGrid>
      <w:tr>
        <w:trPr>
          <w:cantSplit/>
          <w:tblHeader/>
        </w:trPr>
        <w:tc>
          <w:tcPr>
            <w:tcW w:type="dxa" w:w="43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Extrait du dépôt</w:t>
            </w:r>
          </w:p>
        </w:tc>
        <w:tc>
          <w:tcPr>
            <w:tcW w:type="dxa" w:w="20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Référence</w:t>
            </w:r>
          </w:p>
        </w:tc>
        <w:tc>
          <w:tcPr>
            <w:tcW w:type="dxa" w:w="3338"/>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Question à trancher</w:t>
            </w:r>
          </w:p>
        </w:tc>
      </w:tr>
      <w:tr>
        <w:trPr>
          <w:cantSplit/>
        </w:trPr>
        <w:tc>
          <w:tcPr>
            <w:tcW w:type="dxa" w:w="4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 Aucun professionnel ne voit votre carnet sans votre accord, donné pour une durée limitée et révocable à tout moment. »</w:t>
            </w:r>
          </w:p>
        </w:tc>
        <w:tc>
          <w:tcPr>
            <w:tcW w:type="dxa" w:w="2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app/page.tsx:16-20</w:t>
            </w:r>
          </w:p>
        </w:tc>
        <w:tc>
          <w:tcPr>
            <w:tcW w:type="dxa" w:w="33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Portée de « aucun », « à tout moment ». Cas d’urgence, représentants.</w:t>
            </w:r>
          </w:p>
        </w:tc>
      </w:tr>
      <w:tr>
        <w:trPr>
          <w:cantSplit/>
        </w:trPr>
        <w:tc>
          <w:tcPr>
            <w:tcW w:type="dxa" w:w="4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 Chaque lecture et chaque décision sont enregistrées. Vous savez qui a accédé à quoi, et quand. »</w:t>
            </w:r>
          </w:p>
        </w:tc>
        <w:tc>
          <w:tcPr>
            <w:tcW w:type="dxa" w:w="2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app/page.tsx:16-20</w:t>
            </w:r>
          </w:p>
        </w:tc>
        <w:tc>
          <w:tcPr>
            <w:tcW w:type="dxa" w:w="33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Exhaustivité de l’audit à garantir (voir 4.2).</w:t>
            </w:r>
          </w:p>
        </w:tc>
      </w:tr>
      <w:tr>
        <w:trPr>
          <w:cantSplit/>
        </w:trPr>
        <w:tc>
          <w:tcPr>
            <w:tcW w:type="dxa" w:w="4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 Ce que vous déclarez n’est jamais présenté comme confirmé tant qu’un médecin ne l’a pas validé lui-même. »</w:t>
            </w:r>
          </w:p>
        </w:tc>
        <w:tc>
          <w:tcPr>
            <w:tcW w:type="dxa" w:w="2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app/page.tsx:16-20</w:t>
            </w:r>
          </w:p>
        </w:tc>
        <w:tc>
          <w:tcPr>
            <w:tcW w:type="dxa" w:w="33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Sens de « validé » ; qui peut confirmer ; trace conservée.</w:t>
            </w:r>
          </w:p>
        </w:tc>
      </w:tr>
      <w:tr>
        <w:trPr>
          <w:cantSplit/>
        </w:trPr>
        <w:tc>
          <w:tcPr>
            <w:tcW w:type="dxa" w:w="4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 Il scanne votre QR à usage unique. Cela envoie une demande : rien n’est ouvert tant que vous n’avez pas répondu. »</w:t>
            </w:r>
          </w:p>
        </w:tc>
        <w:tc>
          <w:tcPr>
            <w:tcW w:type="dxa" w:w="2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app/page.tsx:22-28</w:t>
            </w:r>
          </w:p>
        </w:tc>
        <w:tc>
          <w:tcPr>
            <w:tcW w:type="dxa" w:w="33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Le scan par le professionnel n’est pas intégré à l’interface : le parcours demande encore l’identifiant du patient (docs). Promesse « en un scan » à retirer ou nuancer ?</w:t>
            </w:r>
          </w:p>
        </w:tc>
      </w:tr>
      <w:tr>
        <w:trPr>
          <w:cantSplit/>
        </w:trPr>
        <w:tc>
          <w:tcPr>
            <w:tcW w:type="dxa" w:w="4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 L’autorisation dure deux heures, prolongeable deux fois une heure, et vous pouvez la retirer à tout moment. »</w:t>
            </w:r>
          </w:p>
        </w:tc>
        <w:tc>
          <w:tcPr>
            <w:tcW w:type="dxa" w:w="2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app/page.tsx:22-28</w:t>
            </w:r>
          </w:p>
        </w:tc>
        <w:tc>
          <w:tcPr>
            <w:tcW w:type="dxa" w:w="33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Valeurs paramétrables ; texte à synchroniser avec le code.</w:t>
            </w:r>
          </w:p>
        </w:tc>
      </w:tr>
      <w:tr>
        <w:trPr>
          <w:cantSplit/>
        </w:trPr>
        <w:tc>
          <w:tcPr>
            <w:tcW w:type="dxa" w:w="4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 Le médecin complète à partir de votre préparation et signe. »</w:t>
            </w:r>
          </w:p>
        </w:tc>
        <w:tc>
          <w:tcPr>
            <w:tcW w:type="dxa" w:w="2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app/page.tsx:22-28</w:t>
            </w:r>
          </w:p>
        </w:tc>
        <w:tc>
          <w:tcPr>
            <w:tcW w:type="dxa" w:w="33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 Signe » : voir attestation SVG (point 7).</w:t>
            </w:r>
          </w:p>
        </w:tc>
      </w:tr>
      <w:tr>
        <w:trPr>
          <w:cantSplit/>
        </w:trPr>
        <w:tc>
          <w:tcPr>
            <w:tcW w:type="dxa" w:w="4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Espace professionnel : « Spécialité déclarée, sans pièce ni numéro professionnel » ; établissement : « Aucun accès aux dossiers médicaux. »</w:t>
            </w:r>
          </w:p>
        </w:tc>
        <w:tc>
          <w:tcPr>
            <w:tcW w:type="dxa" w:w="2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app/page.tsx:30-43</w:t>
            </w:r>
          </w:p>
        </w:tc>
        <w:tc>
          <w:tcPr>
            <w:tcW w:type="dxa" w:w="33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Exactitude (l’établissement n’a aucun accès clinique) ; mention du champ historique.</w:t>
            </w:r>
          </w:p>
        </w:tc>
      </w:tr>
      <w:tr>
        <w:trPr>
          <w:cantSplit/>
        </w:trPr>
        <w:tc>
          <w:tcPr>
            <w:tcW w:type="dxa" w:w="4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 L’application est un pilote. Elle ne sera ouverte à de vraies données de santé qu’après validation complète de la sécurité, de l’hébergement et du cadre juridique. »</w:t>
            </w:r>
          </w:p>
        </w:tc>
        <w:tc>
          <w:tcPr>
            <w:tcW w:type="dxa" w:w="2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app/page.tsx:116-120</w:t>
            </w:r>
          </w:p>
        </w:tc>
        <w:tc>
          <w:tcPr>
            <w:tcW w:type="dxa" w:w="33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Formulation à conserver ou à renforcer.</w:t>
            </w:r>
          </w:p>
        </w:tc>
      </w:tr>
      <w:tr>
        <w:trPr>
          <w:cantSplit/>
        </w:trPr>
        <w:tc>
          <w:tcPr>
            <w:tcW w:type="dxa" w:w="4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À propos : un professionnel ne lirait rien sans vérification, rattachement, établissement actif et consentement explicite ; « les corrections sont historisées ».</w:t>
            </w:r>
          </w:p>
        </w:tc>
        <w:tc>
          <w:tcPr>
            <w:tcW w:type="dxa" w:w="2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a-propos/page.tsx:5-8</w:t>
            </w:r>
          </w:p>
        </w:tc>
        <w:tc>
          <w:tcPr>
            <w:tcW w:type="dxa" w:w="33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Mot « vérification » : par qui ? Cohérence avec le point 6.</w:t>
            </w:r>
          </w:p>
        </w:tc>
      </w:tr>
      <w:tr>
        <w:trPr>
          <w:cantSplit/>
        </w:trPr>
        <w:tc>
          <w:tcPr>
            <w:tcW w:type="dxa" w:w="4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Sécurité : « Chaque demande sensible est contrôlée côté serveur » ; « cookies protégés », isolation entre établissements, « audit append-only », aucun cache hors ligne de données médicales ; hébergement ivoirien, revue juridique, restauration testée et contrôles indépendants « à faire ».</w:t>
            </w:r>
          </w:p>
        </w:tc>
        <w:tc>
          <w:tcPr>
            <w:tcW w:type="dxa" w:w="2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securite/page.tsx:5-8</w:t>
            </w:r>
          </w:p>
        </w:tc>
        <w:tc>
          <w:tcPr>
            <w:tcW w:type="dxa" w:w="33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Publier une promesse technique seulement après confirmation de son périmètre réel (voir 4.2).</w:t>
            </w:r>
          </w:p>
        </w:tc>
      </w:tr>
      <w:tr>
        <w:trPr>
          <w:cantSplit/>
        </w:trPr>
        <w:tc>
          <w:tcPr>
            <w:tcW w:type="dxa" w:w="4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FAQ : pas d’accès automatique ; « Vous pouvez révoquer à tout moment » ; aucun compte, rôle ou espace infirmier autonome.</w:t>
            </w:r>
          </w:p>
        </w:tc>
        <w:tc>
          <w:tcPr>
            <w:tcW w:type="dxa" w:w="2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faq/page.tsx:5-10</w:t>
            </w:r>
          </w:p>
        </w:tc>
        <w:tc>
          <w:tcPr>
            <w:tcW w:type="dxa" w:w="33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Place de l’infirmier / personne aidante (saisie avec l’aide d’un tiers non authentifié).</w:t>
            </w:r>
          </w:p>
        </w:tc>
      </w:tr>
      <w:tr>
        <w:trPr>
          <w:cantSplit/>
        </w:trPr>
        <w:tc>
          <w:tcPr>
            <w:tcW w:type="dxa" w:w="4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Pied de page : « Pilote en cours : l’application ne contient aucune donnée de santé réelle. Ce site ne remplace pas un avis médical. »</w:t>
            </w:r>
          </w:p>
        </w:tc>
        <w:tc>
          <w:tcPr>
            <w:tcW w:type="dxa" w:w="2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PublicShell.tsx:26-40</w:t>
            </w:r>
          </w:p>
        </w:tc>
        <w:tc>
          <w:tcPr>
            <w:tcW w:type="dxa" w:w="33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Avertissement suffisant ? Mentions légales et liens manquants.</w:t>
            </w:r>
          </w:p>
        </w:tc>
      </w:tr>
      <w:tr>
        <w:trPr>
          <w:cantSplit/>
        </w:trPr>
        <w:tc>
          <w:tcPr>
            <w:tcW w:type="dxa" w:w="4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 V1 — Cœur sûr et utilisable » ; « V1 stable et utilisable — socle sécurisé ».</w:t>
            </w:r>
          </w:p>
        </w:tc>
        <w:tc>
          <w:tcPr>
            <w:tcW w:type="dxa" w:w="2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v1/page.tsx:4-7, 58-63, 119-121</w:t>
            </w:r>
          </w:p>
        </w:tc>
        <w:tc>
          <w:tcPr>
            <w:tcW w:type="dxa" w:w="33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Contradiction avec le NO-GO : retirer ou corriger avant tout partage.</w:t>
            </w:r>
          </w:p>
        </w:tc>
      </w:tr>
      <w:tr>
        <w:trPr>
          <w:cantSplit/>
        </w:trPr>
        <w:tc>
          <w:tcPr>
            <w:tcW w:type="dxa" w:w="4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Inscription : « Une identité unique. Des accès temporaires, visibles et révocables » ; nom, prénom, e-mail, mot de passe ; aucun lien vers des conditions ou une politique de confidentialité.</w:t>
            </w:r>
          </w:p>
        </w:tc>
        <w:tc>
          <w:tcPr>
            <w:tcW w:type="dxa" w:w="2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AuthForms.tsx:29-45</w:t>
            </w:r>
          </w:p>
        </w:tc>
        <w:tc>
          <w:tcPr>
            <w:tcW w:type="dxa" w:w="33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Information et acceptation avant création de compte.</w:t>
            </w:r>
          </w:p>
        </w:tc>
      </w:tr>
      <w:tr>
        <w:trPr>
          <w:cantSplit/>
        </w:trPr>
        <w:tc>
          <w:tcPr>
            <w:tcW w:type="dxa" w:w="4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Espace établissement : accès réservé à l’administrateur nominatif invité ; justificatifs envoyés par e-mail ; l’équipe vérifie puis crée l’entité ; « aucun accès clinique ». Code unique valable 48 h.</w:t>
            </w:r>
          </w:p>
        </w:tc>
        <w:tc>
          <w:tcPr>
            <w:tcW w:type="dxa" w:w="20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EstablishmentWorkspace.tsx:58-107</w:t>
            </w:r>
            <w:r>
              <w:rPr>
                <w:rFonts w:ascii="Calibri" w:cs="Calibri" w:eastAsia="Calibri" w:hAnsi="Calibri"/>
                <w:sz w:val="18"/>
                <w:szCs w:val="18"/>
              </w:rPr>
              <w:t xml:space="preserve"> ; </w:t>
            </w:r>
            <w:r>
              <w:rPr>
                <w:rFonts w:ascii="Consolas" w:cs="Consolas" w:eastAsia="Consolas" w:hAnsi="Consolas"/>
                <w:b w:val="false"/>
                <w:bCs w:val="false"/>
                <w:sz w:val="18"/>
                <w:szCs w:val="18"/>
              </w:rPr>
              <w:t xml:space="preserve">EstablishmentConsole.tsx:43-136</w:t>
            </w:r>
          </w:p>
        </w:tc>
        <w:tc>
          <w:tcPr>
            <w:tcW w:type="dxa" w:w="33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Qui vérifie quoi et sur quelle base ; relation contractuelle avec l’établissement.</w:t>
            </w:r>
          </w:p>
        </w:tc>
      </w:tr>
      <w:tr>
        <w:trPr>
          <w:cantSplit/>
        </w:trPr>
        <w:tc>
          <w:tcPr>
            <w:tcW w:type="dxa" w:w="4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 E-Carnet ne collecte pas et ne valide pas les justificatifs médicaux individuels » ; la spécialité « est déclarative » et « ne constitue pas une attestation ni une vérification médicale par E-Carnet ».</w:t>
            </w:r>
          </w:p>
        </w:tc>
        <w:tc>
          <w:tcPr>
            <w:tcW w:type="dxa" w:w="20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onsolas" w:cs="Consolas" w:eastAsia="Consolas" w:hAnsi="Consolas"/>
                <w:b w:val="false"/>
                <w:bCs w:val="false"/>
                <w:sz w:val="18"/>
                <w:szCs w:val="18"/>
              </w:rPr>
              <w:t xml:space="preserve">StaffProfessionalVerification.tsx:6-17</w:t>
            </w:r>
          </w:p>
        </w:tc>
        <w:tc>
          <w:tcPr>
            <w:tcW w:type="dxa" w:w="33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À aligner avec le statut « Vérifié » du modèle et le titre de la page staff.</w:t>
            </w:r>
          </w:p>
        </w:tc>
      </w:tr>
    </w:tbl>
    <w:p>
      <w:pPr>
        <w:spacing w:after="60"/>
      </w:pPr>
    </w:p>
    <w:p>
      <w:pPr>
        <w:pStyle w:val="Heading2"/>
        <w:keepNext/>
        <w:spacing w:after="100" w:before="240"/>
      </w:pPr>
      <w:r>
        <w:rPr>
          <w:rFonts w:ascii="Calibri" w:cs="Calibri" w:eastAsia="Calibri" w:hAnsi="Calibri"/>
          <w:b/>
          <w:bCs/>
          <w:color w:val="3D7F87"/>
          <w:sz w:val="25"/>
          <w:szCs w:val="25"/>
        </w:rPr>
        <w:t xml:space="preserve">4.2 Promesses publiques et état réel (constat de relecture, 9 octobre 2026)</w:t>
      </w:r>
    </w:p>
    <w:p>
      <w:pPr>
        <w:spacing w:after="100" w:line="280"/>
      </w:pPr>
      <w:r>
        <w:rPr>
          <w:rFonts w:ascii="Calibri" w:cs="Calibri" w:eastAsia="Calibri" w:hAnsi="Calibri"/>
          <w:sz w:val="21"/>
          <w:szCs w:val="21"/>
        </w:rPr>
        <w:t xml:space="preserve">Ce tableau aide à ne publier que des promesses vérifiées. Les constats proviennent d’une lecture du code et de tests exécutés sur PostgreSQL ; ils ne remplacent pas une recette ni un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538"/>
      </w:tblGrid>
      <w:tr>
        <w:trPr>
          <w:cantSplit/>
          <w:tblHeader/>
        </w:trPr>
        <w:tc>
          <w:tcPr>
            <w:tcW w:type="dxa" w:w="24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Promesse</w:t>
            </w:r>
          </w:p>
        </w:tc>
        <w:tc>
          <w:tcPr>
            <w:tcW w:type="dxa" w:w="37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Ce que le code fait</w:t>
            </w:r>
          </w:p>
        </w:tc>
        <w:tc>
          <w:tcPr>
            <w:tcW w:type="dxa" w:w="3538"/>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Écart ou réserve</w:t>
            </w:r>
          </w:p>
        </w:tc>
      </w:tr>
      <w:tr>
        <w:trPr>
          <w:cantSplit/>
        </w:trPr>
        <w:tc>
          <w:tcPr>
            <w:tcW w:type="dxa" w:w="24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Aucun accès sans accord du patient</w:t>
            </w:r>
          </w:p>
        </w:tc>
        <w:tc>
          <w:tcPr>
            <w:tcW w:type="dxa" w:w="37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Une demande reste en attente ; la lecture exige un accès actif, un contexte professionnel actif, un rattachement actif et un établissement actif.</w:t>
            </w:r>
          </w:p>
        </w:tc>
        <w:tc>
          <w:tcPr>
            <w:tcW w:type="dxa" w:w="35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Aucun écart constaté sur ce point. Le périmètre accordé peut être limité par le patient seulement si l’interface le propose (à confirmer).</w:t>
            </w:r>
          </w:p>
        </w:tc>
      </w:tr>
      <w:tr>
        <w:trPr>
          <w:cantSplit/>
        </w:trPr>
        <w:tc>
          <w:tcPr>
            <w:tcW w:type="dxa" w:w="24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Chaque lecture est enregistrée</w:t>
            </w:r>
          </w:p>
        </w:tc>
        <w:tc>
          <w:tcPr>
            <w:tcW w:type="dxa" w:w="37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La lecture des pré-consultations par un professionnel écrit un événement d’audit visible du patient (constaté).</w:t>
            </w:r>
          </w:p>
        </w:tc>
        <w:tc>
          <w:tcPr>
            <w:tcW w:type="dxa" w:w="35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Les autres lectures cliniques (déclarations, consultations antérieures) sont à confirmer. Dire « chaque lecture » seulement après vérification.</w:t>
            </w:r>
          </w:p>
        </w:tc>
      </w:tr>
      <w:tr>
        <w:trPr>
          <w:cantSplit/>
        </w:trPr>
        <w:tc>
          <w:tcPr>
            <w:tcW w:type="dxa" w:w="24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Audit « append-only »</w:t>
            </w:r>
          </w:p>
        </w:tc>
        <w:tc>
          <w:tcPr>
            <w:tcW w:type="dxa" w:w="37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Un déclencheur en base refuse la modification et la suppression de lignes.</w:t>
            </w:r>
          </w:p>
        </w:tc>
        <w:tc>
          <w:tcPr>
            <w:tcW w:type="dxa" w:w="35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La suppression globale de la table (</w:t>
            </w:r>
            <w:r>
              <w:rPr>
                <w:rFonts w:ascii="Consolas" w:cs="Consolas" w:eastAsia="Consolas" w:hAnsi="Consolas"/>
                <w:b w:val="false"/>
                <w:bCs w:val="false"/>
                <w:sz w:val="18"/>
                <w:szCs w:val="18"/>
              </w:rPr>
              <w:t xml:space="preserve">TRUNCATE</w:t>
            </w:r>
            <w:r>
              <w:rPr>
                <w:rFonts w:ascii="Calibri" w:cs="Calibri" w:eastAsia="Calibri" w:hAnsi="Calibri"/>
                <w:sz w:val="18"/>
                <w:szCs w:val="18"/>
              </w:rPr>
              <w:t xml:space="preserve">) a été acceptée dans notre essai hors transaction ; les documents du dépôt le signalent aussi comme à compléter.</w:t>
            </w:r>
          </w:p>
        </w:tc>
      </w:tr>
      <w:tr>
        <w:trPr>
          <w:cantSplit/>
        </w:trPr>
        <w:tc>
          <w:tcPr>
            <w:tcW w:type="dxa" w:w="24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Isolation entre établissements</w:t>
            </w:r>
          </w:p>
        </w:tc>
        <w:tc>
          <w:tcPr>
            <w:tcW w:type="dxa" w:w="37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La lecture des pré-consultations est limitée à l’établissement de l’accès (constaté).</w:t>
            </w:r>
          </w:p>
        </w:tc>
        <w:tc>
          <w:tcPr>
            <w:tcW w:type="dxa" w:w="35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À confirmer pour chaque autre type de donnée avant d’écrire « isolation » sans réserve.</w:t>
            </w:r>
          </w:p>
        </w:tc>
      </w:tr>
      <w:tr>
        <w:trPr>
          <w:cantSplit/>
        </w:trPr>
        <w:tc>
          <w:tcPr>
            <w:tcW w:type="dxa" w:w="24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Révocation à tout moment</w:t>
            </w:r>
          </w:p>
        </w:tc>
        <w:tc>
          <w:tcPr>
            <w:tcW w:type="dxa" w:w="37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La révocation et la prolongation sont sérialisées par verrou de ligne ; un test de concurrence existe.</w:t>
            </w:r>
          </w:p>
        </w:tc>
        <w:tc>
          <w:tcPr>
            <w:tcW w:type="dxa" w:w="35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Aucun écart constaté.</w:t>
            </w:r>
          </w:p>
        </w:tc>
      </w:tr>
      <w:tr>
        <w:trPr>
          <w:cantSplit/>
        </w:trPr>
        <w:tc>
          <w:tcPr>
            <w:tcW w:type="dxa" w:w="24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QR « à usage unique », 5 minutes</w:t>
            </w:r>
          </w:p>
        </w:tc>
        <w:tc>
          <w:tcPr>
            <w:tcW w:type="dxa" w:w="37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Jeton opaque, haché en base, expiration 300 s, consommé par une seule demande.</w:t>
            </w:r>
          </w:p>
        </w:tc>
        <w:tc>
          <w:tcPr>
            <w:tcW w:type="dxa" w:w="35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Le côté professionnel demande encore l’identifiant du patient, pas le QR.</w:t>
            </w:r>
          </w:p>
        </w:tc>
      </w:tr>
      <w:tr>
        <w:trPr>
          <w:cantSplit/>
        </w:trPr>
        <w:tc>
          <w:tcPr>
            <w:tcW w:type="dxa" w:w="24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Double authentification des professionnels</w:t>
            </w:r>
          </w:p>
        </w:tc>
        <w:tc>
          <w:tcPr>
            <w:tcW w:type="dxa" w:w="37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Reportée en V3 (décision du porteur). Des routes MFA restent exposées dans l’API.</w:t>
            </w:r>
          </w:p>
        </w:tc>
        <w:tc>
          <w:tcPr>
            <w:tcW w:type="dxa" w:w="35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Ne rien promettre publiquement sur ce point ; décision de risque à documenter (point 8).</w:t>
            </w:r>
          </w:p>
        </w:tc>
      </w:tr>
    </w:tbl>
    <w:p>
      <w:pPr>
        <w:pStyle w:val="Heading1"/>
        <w:keepNext/>
        <w:pBdr>
          <w:bottom w:val="single" w:color="3D7F87" w:sz="6" w:space="4"/>
        </w:pBdr>
        <w:spacing w:after="140" w:before="360"/>
      </w:pPr>
      <w:r>
        <w:rPr>
          <w:rFonts w:ascii="Calibri" w:cs="Calibri" w:eastAsia="Calibri" w:hAnsi="Calibri"/>
          <w:b/>
          <w:bCs/>
          <w:color w:val="2A4B5D"/>
          <w:sz w:val="30"/>
          <w:szCs w:val="30"/>
        </w:rPr>
        <w:t xml:space="preserve">5. Consentement patient et accès clinique</w:t>
      </w:r>
    </w:p>
    <w:p>
      <w:pPr>
        <w:spacing w:after="100" w:line="280"/>
      </w:pPr>
      <w:r>
        <w:rPr>
          <w:rFonts w:ascii="Calibri" w:cs="Calibri" w:eastAsia="Calibri" w:hAnsi="Calibri"/>
          <w:b/>
          <w:bCs/>
          <w:sz w:val="21"/>
          <w:szCs w:val="21"/>
        </w:rPr>
        <w:t xml:space="preserve">Ce que l’interface présente au patient</w:t>
      </w:r>
      <w:r>
        <w:rPr>
          <w:rFonts w:ascii="Calibri" w:cs="Calibri" w:eastAsia="Calibri" w:hAnsi="Calibri"/>
          <w:sz w:val="21"/>
          <w:szCs w:val="21"/>
        </w:rPr>
        <w:t xml:space="preserve"> (</w:t>
      </w:r>
      <w:r>
        <w:rPr>
          <w:rFonts w:ascii="Consolas" w:cs="Consolas" w:eastAsia="Consolas" w:hAnsi="Consolas"/>
          <w:b w:val="false"/>
          <w:bCs w:val="false"/>
          <w:sz w:val="21"/>
          <w:szCs w:val="21"/>
        </w:rPr>
        <w:t xml:space="preserve">PatientAccessGrants.tsx:131-173</w:t>
      </w:r>
      <w:r>
        <w:rPr>
          <w:rFonts w:ascii="Calibri" w:cs="Calibri" w:eastAsia="Calibri" w:hAnsi="Calibri"/>
          <w:sz w:val="21"/>
          <w:szCs w:val="21"/>
        </w:rPr>
        <w:t xml:space="preserve">) :</w:t>
      </w:r>
    </w:p>
    <w:p>
      <w:pPr>
        <w:pStyle w:val="ListParagraph"/>
        <w:numPr>
          <w:ilvl w:val="0"/>
          <w:numId w:val="2"/>
        </w:numPr>
        <w:spacing w:after="60" w:line="270"/>
      </w:pPr>
      <w:r>
        <w:rPr>
          <w:rFonts w:ascii="Calibri" w:cs="Calibri" w:eastAsia="Calibri" w:hAnsi="Calibri"/>
          <w:sz w:val="21"/>
          <w:szCs w:val="21"/>
        </w:rPr>
        <w:t xml:space="preserve">« Chaque demande affiche le professionnel, l’établissement, le périmètre et la durée. Aucun accès n’est ouvert avant votre choix. »</w:t>
      </w:r>
    </w:p>
    <w:p>
      <w:pPr>
        <w:pStyle w:val="ListParagraph"/>
        <w:numPr>
          <w:ilvl w:val="0"/>
          <w:numId w:val="2"/>
        </w:numPr>
        <w:spacing w:after="60" w:line="270"/>
      </w:pPr>
      <w:r>
        <w:rPr>
          <w:rFonts w:ascii="Calibri" w:cs="Calibri" w:eastAsia="Calibri" w:hAnsi="Calibri"/>
          <w:sz w:val="21"/>
          <w:szCs w:val="21"/>
        </w:rPr>
        <w:t xml:space="preserve">« Le QR contient uniquement un jeton opaque à usage unique. Il ne contient aucune donnée médicale. » Expiration à cinq minutes, consommation par une seule demande.</w:t>
      </w:r>
    </w:p>
    <w:p>
      <w:pPr>
        <w:pStyle w:val="ListParagraph"/>
        <w:numPr>
          <w:ilvl w:val="0"/>
          <w:numId w:val="2"/>
        </w:numPr>
        <w:spacing w:after="60" w:line="270"/>
      </w:pPr>
      <w:r>
        <w:rPr>
          <w:rFonts w:ascii="Calibri" w:cs="Calibri" w:eastAsia="Calibri" w:hAnsi="Calibri"/>
          <w:sz w:val="21"/>
          <w:szCs w:val="21"/>
        </w:rPr>
        <w:t xml:space="preserve">Durée initiale de 2 h, au plus deux prolongations d’1 h ; commandes « Autoriser 2 h », « Refuser », « Prolonger 1 h », « Révoquer maintenant ».</w:t>
      </w:r>
    </w:p>
    <w:p>
      <w:pPr>
        <w:pStyle w:val="ListParagraph"/>
        <w:numPr>
          <w:ilvl w:val="0"/>
          <w:numId w:val="2"/>
        </w:numPr>
        <w:spacing w:after="60" w:line="270"/>
      </w:pPr>
      <w:r>
        <w:rPr>
          <w:rFonts w:ascii="Calibri" w:cs="Calibri" w:eastAsia="Calibri" w:hAnsi="Calibri"/>
          <w:sz w:val="21"/>
          <w:szCs w:val="21"/>
        </w:rPr>
        <w:t xml:space="preserve">Historique : « Demande créée », « Accès autorisé », « Accès refusé », « Accès prolongé », « Accès révoqué », « Accès expiré ».</w:t>
      </w:r>
    </w:p>
    <w:p>
      <w:pPr>
        <w:spacing w:after="100" w:line="280"/>
      </w:pPr>
      <w:r>
        <w:rPr>
          <w:rFonts w:ascii="Calibri" w:cs="Calibri" w:eastAsia="Calibri" w:hAnsi="Calibri"/>
          <w:b/>
          <w:bCs/>
          <w:sz w:val="21"/>
          <w:szCs w:val="21"/>
        </w:rPr>
        <w:t xml:space="preserve">Ce que l’interface présente au professionnel</w:t>
      </w:r>
      <w:r>
        <w:rPr>
          <w:rFonts w:ascii="Calibri" w:cs="Calibri" w:eastAsia="Calibri" w:hAnsi="Calibri"/>
          <w:sz w:val="21"/>
          <w:szCs w:val="21"/>
        </w:rPr>
        <w:t xml:space="preserve"> (</w:t>
      </w:r>
      <w:r>
        <w:rPr>
          <w:rFonts w:ascii="Consolas" w:cs="Consolas" w:eastAsia="Consolas" w:hAnsi="Consolas"/>
          <w:b w:val="false"/>
          <w:bCs w:val="false"/>
          <w:sz w:val="21"/>
          <w:szCs w:val="21"/>
        </w:rPr>
        <w:t xml:space="preserve">ProfessionalAccessFlow.tsx:93-121</w:t>
      </w:r>
      <w:r>
        <w:rPr>
          <w:rFonts w:ascii="Calibri" w:cs="Calibri" w:eastAsia="Calibri" w:hAnsi="Calibri"/>
          <w:sz w:val="21"/>
          <w:szCs w:val="21"/>
        </w:rPr>
        <w:t xml:space="preserve">, </w:t>
      </w:r>
      <w:r>
        <w:rPr>
          <w:rFonts w:ascii="Consolas" w:cs="Consolas" w:eastAsia="Consolas" w:hAnsi="Consolas"/>
          <w:b w:val="false"/>
          <w:bCs w:val="false"/>
          <w:sz w:val="21"/>
          <w:szCs w:val="21"/>
        </w:rPr>
        <w:t xml:space="preserve">ProfessionalAccessGrants.tsx:74-77</w:t>
      </w:r>
      <w:r>
        <w:rPr>
          <w:rFonts w:ascii="Calibri" w:cs="Calibri" w:eastAsia="Calibri" w:hAnsi="Calibri"/>
          <w:sz w:val="21"/>
          <w:szCs w:val="21"/>
        </w:rPr>
        <w:t xml:space="preserve">) : avant consentement, aucune donnée médicale n’est renvoyée ; le patient valide ou refuse avec durée et périmètre visibles ; le contexte professionnel, le rattachement et l’établissement actif sont contrôlés par l’API.</w:t>
      </w:r>
    </w:p>
    <w:p>
      <w:pPr>
        <w:spacing w:after="100" w:line="280"/>
      </w:pPr>
      <w:r>
        <w:rPr>
          <w:rFonts w:ascii="Calibri" w:cs="Calibri" w:eastAsia="Calibri" w:hAnsi="Calibri"/>
          <w:b/>
          <w:bCs/>
          <w:sz w:val="21"/>
          <w:szCs w:val="21"/>
        </w:rPr>
        <w:t xml:space="preserve">Périmètres techniques :</w:t>
      </w:r>
      <w:r>
        <w:rPr>
          <w:rFonts w:ascii="Calibri" w:cs="Calibri" w:eastAsia="Calibri" w:hAnsi="Calibri"/>
          <w:sz w:val="21"/>
          <w:szCs w:val="21"/>
        </w:rPr>
        <w:t xml:space="preserve"> pré-consultation et déclarations (proposés par défaut), consultations antérieures de l’établissement demandeur (choix explicite du patient). Les documents sont </w:t>
      </w:r>
      <w:r>
        <w:rPr>
          <w:rFonts w:ascii="Calibri" w:cs="Calibri" w:eastAsia="Calibri" w:hAnsi="Calibri"/>
          <w:b/>
          <w:bCs/>
          <w:sz w:val="21"/>
          <w:szCs w:val="21"/>
        </w:rPr>
        <w:t xml:space="preserve">hors V1</w:t>
      </w:r>
      <w:r>
        <w:rPr>
          <w:rFonts w:ascii="Calibri" w:cs="Calibri" w:eastAsia="Calibri" w:hAnsi="Calibri"/>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9CE" w:sz="4"/>
              <w:left w:val="single" w:color="8A6100" w:sz="8"/>
              <w:bottom w:val="single" w:color="B9C9CE" w:sz="4"/>
              <w:right w:val="single" w:color="B9C9CE" w:sz="4"/>
            </w:tcBorders>
            <w:shd w:fill="FFF3D6" w:color="auto" w:val="clear"/>
            <w:tcMar>
              <w:top w:type="dxa" w:w="110"/>
              <w:left w:type="dxa" w:w="180"/>
              <w:bottom w:type="dxa" w:w="90"/>
              <w:right w:type="dxa" w:w="160"/>
            </w:tcMar>
          </w:tcPr>
          <w:p>
            <w:pPr>
              <w:spacing w:after="60"/>
            </w:pPr>
            <w:r>
              <w:rPr>
                <w:rFonts w:ascii="Calibri" w:cs="Calibri" w:eastAsia="Calibri" w:hAnsi="Calibri"/>
                <w:b/>
                <w:bCs/>
                <w:color w:val="8A6100"/>
                <w:sz w:val="21"/>
                <w:szCs w:val="21"/>
              </w:rPr>
              <w:t xml:space="preserve">À faire valider par le juriste avec l’équipe métier</w:t>
            </w:r>
          </w:p>
          <w:p>
            <w:pPr>
              <w:spacing w:after="50" w:line="265"/>
            </w:pPr>
            <w:r>
              <w:rPr>
                <w:rFonts w:ascii="Calibri" w:cs="Calibri" w:eastAsia="Calibri" w:hAnsi="Calibri"/>
                <w:sz w:val="20"/>
                <w:szCs w:val="20"/>
              </w:rPr>
              <w:t xml:space="preserve">L’objet exact du consentement ; les données et périmètres concernés ; les destinataires ; la durée et le renouvellement ; la révocation ; les traces conservées ; les conséquences d’un refus ; les circonstances particulières (patient mineur ou représenté, personne aidante, urgence) ; la relation avec les autres autorisations et obligations de soins.</w:t>
            </w:r>
          </w:p>
          <w:p>
            <w:pPr>
              <w:spacing w:after="50" w:line="265"/>
            </w:pPr>
            <w:r>
              <w:rPr>
                <w:rFonts w:ascii="Calibri" w:cs="Calibri" w:eastAsia="Calibri" w:hAnsi="Calibri"/>
                <w:sz w:val="20"/>
                <w:szCs w:val="20"/>
              </w:rPr>
              <w:t xml:space="preserve">Cette liste formule des questions, pas une conclusion juridique.</w:t>
            </w:r>
          </w:p>
        </w:tc>
      </w:tr>
    </w:tbl>
    <w:p>
      <w:pPr>
        <w:pStyle w:val="Heading2"/>
        <w:keepNext/>
        <w:spacing w:after="100" w:before="240"/>
      </w:pPr>
      <w:r>
        <w:rPr>
          <w:rFonts w:ascii="Calibri" w:cs="Calibri" w:eastAsia="Calibri" w:hAnsi="Calibri"/>
          <w:b/>
          <w:bCs/>
          <w:color w:val="3D7F87"/>
          <w:sz w:val="25"/>
          <w:szCs w:val="25"/>
        </w:rPr>
        <w:t xml:space="preserve">5.1 Pré-consultation, déclarations et consultations</w:t>
      </w:r>
    </w:p>
    <w:p>
      <w:pPr>
        <w:pStyle w:val="ListParagraph"/>
        <w:numPr>
          <w:ilvl w:val="0"/>
          <w:numId w:val="2"/>
        </w:numPr>
        <w:spacing w:after="60" w:line="270"/>
      </w:pPr>
      <w:r>
        <w:rPr>
          <w:rFonts w:ascii="Calibri" w:cs="Calibri" w:eastAsia="Calibri" w:hAnsi="Calibri"/>
          <w:b/>
          <w:bCs/>
          <w:sz w:val="21"/>
          <w:szCs w:val="21"/>
        </w:rPr>
        <w:t xml:space="preserve">Déclarations</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PatientCarnet.tsx:37-58</w:t>
      </w:r>
      <w:r>
        <w:rPr>
          <w:rFonts w:ascii="Calibri" w:cs="Calibri" w:eastAsia="Calibri" w:hAnsi="Calibri"/>
          <w:sz w:val="21"/>
          <w:szCs w:val="21"/>
        </w:rPr>
        <w:t xml:space="preserve">) : allergie, antécédent ou traitement ; chaque information garde sa provenance et n’est pas confirmée avant validation par un médecin ; message « Déclaration ajoutée. Elle reste marquée “déclarée par vous”. »</w:t>
      </w:r>
    </w:p>
    <w:p>
      <w:pPr>
        <w:pStyle w:val="ListParagraph"/>
        <w:numPr>
          <w:ilvl w:val="0"/>
          <w:numId w:val="2"/>
        </w:numPr>
        <w:spacing w:after="60" w:line="270"/>
      </w:pPr>
      <w:r>
        <w:rPr>
          <w:rFonts w:ascii="Calibri" w:cs="Calibri" w:eastAsia="Calibri" w:hAnsi="Calibri"/>
          <w:b/>
          <w:bCs/>
          <w:sz w:val="21"/>
          <w:szCs w:val="21"/>
        </w:rPr>
        <w:t xml:space="preserve">Pré-consultation</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PatientPreconsultations.tsx:64-95</w:t>
      </w:r>
      <w:r>
        <w:rPr>
          <w:rFonts w:ascii="Calibri" w:cs="Calibri" w:eastAsia="Calibri" w:hAnsi="Calibri"/>
          <w:sz w:val="21"/>
          <w:szCs w:val="21"/>
        </w:rPr>
        <w:t xml:space="preserve">) : établissement destinataire, motif, observations et « Saisie aidée par (facultatif) » ; le texte promet qu’un professionnel du même établissement ne peut lire qu’avec autorisation. La personne qui aide n’a pas de compte et n’est pas authentifiée.</w:t>
      </w:r>
    </w:p>
    <w:p>
      <w:pPr>
        <w:pStyle w:val="ListParagraph"/>
        <w:numPr>
          <w:ilvl w:val="0"/>
          <w:numId w:val="2"/>
        </w:numPr>
        <w:spacing w:after="60" w:line="270"/>
      </w:pPr>
      <w:r>
        <w:rPr>
          <w:rFonts w:ascii="Calibri" w:cs="Calibri" w:eastAsia="Calibri" w:hAnsi="Calibri"/>
          <w:b/>
          <w:bCs/>
          <w:sz w:val="21"/>
          <w:szCs w:val="21"/>
        </w:rPr>
        <w:t xml:space="preserve">Consultation</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ProfessionalConsultations.tsx:51-68</w:t>
      </w:r>
      <w:r>
        <w:rPr>
          <w:rFonts w:ascii="Calibri" w:cs="Calibri" w:eastAsia="Calibri" w:hAnsi="Calibri"/>
          <w:sz w:val="21"/>
          <w:szCs w:val="21"/>
        </w:rPr>
        <w:t xml:space="preserve">) : conclusion, conduite à tenir, attestation SVG, historique, validation ; « Consultation validée et conservée dans l’historique. »</w:t>
      </w:r>
    </w:p>
    <w:p>
      <w:pPr>
        <w:spacing w:after="100" w:line="280"/>
      </w:pPr>
      <w:r>
        <w:rPr>
          <w:rFonts w:ascii="Calibri" w:cs="Calibri" w:eastAsia="Calibri" w:hAnsi="Calibri"/>
          <w:b/>
          <w:bCs/>
          <w:sz w:val="21"/>
          <w:szCs w:val="21"/>
        </w:rPr>
        <w:t xml:space="preserve">À faire examiner :</w:t>
      </w:r>
      <w:r>
        <w:rPr>
          <w:rFonts w:ascii="Calibri" w:cs="Calibri" w:eastAsia="Calibri" w:hAnsi="Calibri"/>
          <w:sz w:val="21"/>
          <w:szCs w:val="21"/>
        </w:rPr>
        <w:t xml:space="preserve"> terminologie clinique ; distinction entre déclaration du patient et constat du professionnel ; qui peut corriger, rectifier, compléter ou signer ; portée probante de l’attestation et de l’horodatage ; sens exact de « validation » ; informations de santé traitées. Les décisions A8 et A10 (champs, unités, corrections) restent à valider médicalement (</w:t>
      </w:r>
      <w:r>
        <w:rPr>
          <w:rFonts w:ascii="Consolas" w:cs="Consolas" w:eastAsia="Consolas" w:hAnsi="Consolas"/>
          <w:b w:val="false"/>
          <w:bCs w:val="false"/>
          <w:sz w:val="21"/>
          <w:szCs w:val="21"/>
        </w:rPr>
        <w:t xml:space="preserve">docs/QUESTIONNAIRE-DECISIONS-A1-A16.md:38-41</w:t>
      </w:r>
      <w:r>
        <w:rPr>
          <w:rFonts w:ascii="Calibri" w:cs="Calibri" w:eastAsia="Calibri" w:hAnsi="Calibri"/>
          <w:sz w:val="21"/>
          <w:szCs w:val="21"/>
        </w:rPr>
        <w:t xml:space="preserve">).</w:t>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6. Conditions de rattachement du médecin</w:t>
      </w:r>
    </w:p>
    <w:p>
      <w:pPr>
        <w:spacing w:after="100" w:line="280"/>
      </w:pPr>
      <w:r>
        <w:rPr>
          <w:rFonts w:ascii="Calibri" w:cs="Calibri" w:eastAsia="Calibri" w:hAnsi="Calibri"/>
          <w:sz w:val="21"/>
          <w:szCs w:val="21"/>
        </w:rPr>
        <w:t xml:space="preserve">Texte de référence : </w:t>
      </w:r>
      <w:r>
        <w:rPr>
          <w:rFonts w:ascii="Consolas" w:cs="Consolas" w:eastAsia="Consolas" w:hAnsi="Consolas"/>
          <w:b w:val="false"/>
          <w:bCs w:val="false"/>
          <w:sz w:val="21"/>
          <w:szCs w:val="21"/>
        </w:rPr>
        <w:t xml:space="preserve">docs/CONDITIONS-RATTACHEMENT-MEDECIN.md:1-43</w:t>
      </w:r>
      <w:r>
        <w:rPr>
          <w:rFonts w:ascii="Calibri" w:cs="Calibri" w:eastAsia="Calibri" w:hAnsi="Calibri"/>
          <w:sz w:val="21"/>
          <w:szCs w:val="21"/>
        </w:rPr>
        <w:t xml:space="preserve">, version </w:t>
      </w:r>
      <w:r>
        <w:rPr>
          <w:rFonts w:ascii="Consolas" w:cs="Consolas" w:eastAsia="Consolas" w:hAnsi="Consolas"/>
          <w:b w:val="false"/>
          <w:bCs w:val="false"/>
          <w:sz w:val="21"/>
          <w:szCs w:val="21"/>
        </w:rPr>
        <w:t xml:space="preserve">2026-10-08-v1</w:t>
      </w:r>
      <w:r>
        <w:rPr>
          <w:rFonts w:ascii="Calibri" w:cs="Calibri" w:eastAsia="Calibri" w:hAnsi="Calibri"/>
          <w:sz w:val="21"/>
          <w:szCs w:val="21"/>
        </w:rPr>
        <w:t xml:space="preserve"> ; page d’acceptation : </w:t>
      </w:r>
      <w:r>
        <w:rPr>
          <w:rFonts w:ascii="Consolas" w:cs="Consolas" w:eastAsia="Consolas" w:hAnsi="Consolas"/>
          <w:b w:val="false"/>
          <w:bCs w:val="false"/>
          <w:sz w:val="21"/>
          <w:szCs w:val="21"/>
        </w:rPr>
        <w:t xml:space="preserve">apps/web/src/app/conditions-rattachement/page.tsx:8-28</w:t>
      </w:r>
      <w:r>
        <w:rPr>
          <w:rFonts w:ascii="Calibri" w:cs="Calibri" w:eastAsia="Calibri" w:hAnsi="Calibri"/>
          <w:sz w:val="21"/>
          <w:szCs w:val="21"/>
        </w:rPr>
        <w:t xml:space="preserve">. La page avertit : « Projet fonctionnel à faire valider par un conseil juridique avant tout usage contractuel réel. Ce texte ne remplace pas le contrat complet entre l’établissement et le médecin. »</w:t>
      </w:r>
    </w:p>
    <w:p>
      <w:pPr>
        <w:pStyle w:val="Heading3"/>
        <w:keepNext/>
        <w:spacing w:after="60" w:before="160"/>
      </w:pPr>
      <w:r>
        <w:rPr>
          <w:rFonts w:ascii="Calibri" w:cs="Calibri" w:eastAsia="Calibri" w:hAnsi="Calibri"/>
          <w:b/>
          <w:bCs/>
          <w:color w:val="2A4B5D"/>
          <w:sz w:val="22"/>
          <w:szCs w:val="22"/>
        </w:rPr>
        <w:t xml:space="preserve">Les six engagements présentés au médecin</w:t>
      </w:r>
    </w:p>
    <w:p>
      <w:pPr>
        <w:pStyle w:val="ListParagraph"/>
        <w:numPr>
          <w:ilvl w:val="0"/>
          <w:numId w:val="3"/>
        </w:numPr>
        <w:spacing w:after="70" w:line="270"/>
      </w:pPr>
      <w:r>
        <w:rPr>
          <w:rFonts w:ascii="Calibri" w:cs="Calibri" w:eastAsia="Calibri" w:hAnsi="Calibri"/>
          <w:sz w:val="21"/>
          <w:szCs w:val="21"/>
        </w:rPr>
        <w:t xml:space="preserve">« Protéger les informations non publiques de l’établissement et ne pas les divulguer à des personnes non autorisées, sauf obligation légale ou autorisation documentée. »</w:t>
      </w:r>
    </w:p>
    <w:p>
      <w:pPr>
        <w:pStyle w:val="ListParagraph"/>
        <w:numPr>
          <w:ilvl w:val="0"/>
          <w:numId w:val="3"/>
        </w:numPr>
        <w:spacing w:after="70" w:line="270"/>
      </w:pPr>
      <w:r>
        <w:rPr>
          <w:rFonts w:ascii="Calibri" w:cs="Calibri" w:eastAsia="Calibri" w:hAnsi="Calibri"/>
          <w:sz w:val="21"/>
          <w:szCs w:val="21"/>
        </w:rPr>
        <w:t xml:space="preserve">« Préserver la confidentialité des patients et n’accéder à leurs informations que dans le cadre de ma mission, avec les autorisations et consentements requis. »</w:t>
      </w:r>
    </w:p>
    <w:p>
      <w:pPr>
        <w:pStyle w:val="ListParagraph"/>
        <w:numPr>
          <w:ilvl w:val="0"/>
          <w:numId w:val="3"/>
        </w:numPr>
        <w:spacing w:after="70" w:line="270"/>
      </w:pPr>
      <w:r>
        <w:rPr>
          <w:rFonts w:ascii="Calibri" w:cs="Calibri" w:eastAsia="Calibri" w:hAnsi="Calibri"/>
          <w:sz w:val="21"/>
          <w:szCs w:val="21"/>
        </w:rPr>
        <w:t xml:space="preserve">« Saisir des informations médicales de bonne foi et exactes, distinguer les déclarations du patient des constatations professionnelles, et ne pas inventer, altérer ou falsifier un diagnostic, une consultation, une attestation ou un dossier. »</w:t>
      </w:r>
    </w:p>
    <w:p>
      <w:pPr>
        <w:pStyle w:val="ListParagraph"/>
        <w:numPr>
          <w:ilvl w:val="0"/>
          <w:numId w:val="3"/>
        </w:numPr>
        <w:spacing w:after="70" w:line="270"/>
      </w:pPr>
      <w:r>
        <w:rPr>
          <w:rFonts w:ascii="Calibri" w:cs="Calibri" w:eastAsia="Calibri" w:hAnsi="Calibri"/>
          <w:sz w:val="21"/>
          <w:szCs w:val="21"/>
        </w:rPr>
        <w:t xml:space="preserve">« Protéger mes moyens d’accès, ne pas partager mon compte, mon mot de passe ou mes codes personnels et signaler toute compromission présumée. »</w:t>
      </w:r>
    </w:p>
    <w:p>
      <w:pPr>
        <w:pStyle w:val="ListParagraph"/>
        <w:numPr>
          <w:ilvl w:val="0"/>
          <w:numId w:val="3"/>
        </w:numPr>
        <w:spacing w:after="70" w:line="270"/>
      </w:pPr>
      <w:r>
        <w:rPr>
          <w:rFonts w:ascii="Calibri" w:cs="Calibri" w:eastAsia="Calibri" w:hAnsi="Calibri"/>
          <w:sz w:val="21"/>
          <w:szCs w:val="21"/>
        </w:rPr>
        <w:t xml:space="preserve">« Comprendre que l’établissement peut mettre fin au rattachement et que je peux également y mettre fin depuis mon espace privé. La fin du rattachement bloque les nouveaux accès cliniques dépendant de cette affiliation. »</w:t>
      </w:r>
    </w:p>
    <w:p>
      <w:pPr>
        <w:pStyle w:val="ListParagraph"/>
        <w:numPr>
          <w:ilvl w:val="0"/>
          <w:numId w:val="3"/>
        </w:numPr>
        <w:spacing w:after="70" w:line="270"/>
      </w:pPr>
      <w:r>
        <w:rPr>
          <w:rFonts w:ascii="Calibri" w:cs="Calibri" w:eastAsia="Calibri" w:hAnsi="Calibri"/>
          <w:sz w:val="21"/>
          <w:szCs w:val="21"/>
        </w:rPr>
        <w:t xml:space="preserve">« Comprendre que cette fin n’efface pas les traces d’audit ni les consultations et documents déjà constitués ; leur conservation et leur accès demeurent soumis aux règles applicables et à la politique de conservation à approuver. »</w:t>
      </w:r>
    </w:p>
    <w:p>
      <w:pPr>
        <w:spacing w:after="100" w:line="280"/>
      </w:pPr>
      <w:r>
        <w:rPr>
          <w:rFonts w:ascii="Calibri" w:cs="Calibri" w:eastAsia="Calibri" w:hAnsi="Calibri"/>
          <w:sz w:val="21"/>
          <w:szCs w:val="21"/>
        </w:rPr>
        <w:t xml:space="preserve">Le serveur enregistre le médecin, l’établissement, la version acceptée et l’horodatage UTC. Sans acceptation explicite, le code n’est pas consommé. Accepter ne donne pas, à soi seul, accès aux dossiers.</w:t>
      </w:r>
    </w:p>
    <w:p>
      <w:pPr>
        <w:pStyle w:val="Heading3"/>
        <w:keepNext/>
        <w:spacing w:after="60" w:before="160"/>
      </w:pPr>
      <w:r>
        <w:rPr>
          <w:rFonts w:ascii="Calibri" w:cs="Calibri" w:eastAsia="Calibri" w:hAnsi="Calibri"/>
          <w:b/>
          <w:bCs/>
          <w:color w:val="2A4B5D"/>
          <w:sz w:val="22"/>
          <w:szCs w:val="22"/>
        </w:rPr>
        <w:t xml:space="preserve">Questions propres à ce texte</w:t>
      </w:r>
    </w:p>
    <w:p>
      <w:pPr>
        <w:pStyle w:val="ListParagraph"/>
        <w:numPr>
          <w:ilvl w:val="0"/>
          <w:numId w:val="2"/>
        </w:numPr>
        <w:spacing w:after="60" w:line="270"/>
      </w:pPr>
      <w:r>
        <w:rPr>
          <w:rFonts w:ascii="Calibri" w:cs="Calibri" w:eastAsia="Calibri" w:hAnsi="Calibri"/>
          <w:sz w:val="21"/>
          <w:szCs w:val="21"/>
        </w:rPr>
        <w:t xml:space="preserve">Identité et pouvoir du signataire côté établissement ; articulation avec le contrat de travail ou de prestation et la responsabilité professionnelle.</w:t>
      </w:r>
    </w:p>
    <w:p>
      <w:pPr>
        <w:pStyle w:val="ListParagraph"/>
        <w:numPr>
          <w:ilvl w:val="0"/>
          <w:numId w:val="2"/>
        </w:numPr>
        <w:spacing w:after="60" w:line="270"/>
      </w:pPr>
      <w:r>
        <w:rPr>
          <w:rFonts w:ascii="Calibri" w:cs="Calibri" w:eastAsia="Calibri" w:hAnsi="Calibri"/>
          <w:sz w:val="21"/>
          <w:szCs w:val="21"/>
        </w:rPr>
        <w:t xml:space="preserve">Définition des informations confidentielles, exceptions, durée ; sécurité, notification d’incident, conservation et preuve.</w:t>
      </w:r>
    </w:p>
    <w:p>
      <w:pPr>
        <w:pStyle w:val="ListParagraph"/>
        <w:numPr>
          <w:ilvl w:val="0"/>
          <w:numId w:val="2"/>
        </w:numPr>
        <w:spacing w:after="60" w:line="270"/>
      </w:pPr>
      <w:r>
        <w:rPr>
          <w:rFonts w:ascii="Calibri" w:cs="Calibri" w:eastAsia="Calibri" w:hAnsi="Calibri"/>
          <w:sz w:val="21"/>
          <w:szCs w:val="21"/>
        </w:rPr>
        <w:t xml:space="preserve">Règles applicables en Côte d’Ivoire et dans les autres pays d’exploitation, notamment aux données de santé ; sanctions, responsabilité, litiges ; signature électronique.</w:t>
      </w:r>
    </w:p>
    <w:p>
      <w:pPr>
        <w:spacing w:after="100" w:line="280"/>
      </w:pPr>
      <w:r>
        <w:rPr>
          <w:rFonts w:ascii="Calibri" w:cs="Calibri" w:eastAsia="Calibri" w:hAnsi="Calibri"/>
          <w:sz w:val="21"/>
          <w:szCs w:val="21"/>
        </w:rPr>
        <w:t xml:space="preserve">Le document précise lui-même qu’il </w:t>
      </w:r>
      <w:r>
        <w:rPr>
          <w:rFonts w:ascii="Calibri" w:cs="Calibri" w:eastAsia="Calibri" w:hAnsi="Calibri"/>
          <w:b/>
          <w:bCs/>
          <w:sz w:val="21"/>
          <w:szCs w:val="21"/>
        </w:rPr>
        <w:t xml:space="preserve">n’est pas à lui seul un contrat complet</w:t>
      </w:r>
      <w:r>
        <w:rPr>
          <w:rFonts w:ascii="Calibri" w:cs="Calibri" w:eastAsia="Calibri" w:hAnsi="Calibri"/>
          <w:sz w:val="21"/>
          <w:szCs w:val="21"/>
        </w:rPr>
        <w:t xml:space="preserve">.</w:t>
      </w:r>
    </w:p>
    <w:p>
      <w:pPr>
        <w:pStyle w:val="Heading3"/>
        <w:keepNext/>
        <w:spacing w:after="60" w:before="160"/>
      </w:pPr>
      <w:r>
        <w:rPr>
          <w:rFonts w:ascii="Calibri" w:cs="Calibri" w:eastAsia="Calibri" w:hAnsi="Calibri"/>
          <w:b/>
          <w:bCs/>
          <w:color w:val="2A4B5D"/>
          <w:sz w:val="22"/>
          <w:szCs w:val="22"/>
        </w:rPr>
        <w:t xml:space="preserve">Fin de rattachement et conservation</w:t>
      </w:r>
    </w:p>
    <w:p>
      <w:pPr>
        <w:spacing w:after="100" w:line="280"/>
      </w:pPr>
      <w:r>
        <w:rPr>
          <w:rFonts w:ascii="Calibri" w:cs="Calibri" w:eastAsia="Calibri" w:hAnsi="Calibri"/>
          <w:sz w:val="21"/>
          <w:szCs w:val="21"/>
        </w:rPr>
        <w:t xml:space="preserve">Textes affichés : « Les accès cliniques futurs seront bloqués ; les consultations et l’historique existants ne seront pas supprimés » (médecin) ; « les traces/dossiers existants conservés » (administrateur) ; « L’historique et les dossiers existants restent conservés » (succès). Références : </w:t>
      </w:r>
      <w:r>
        <w:rPr>
          <w:rFonts w:ascii="Consolas" w:cs="Consolas" w:eastAsia="Consolas" w:hAnsi="Consolas"/>
          <w:b w:val="false"/>
          <w:bCs w:val="false"/>
          <w:sz w:val="21"/>
          <w:szCs w:val="21"/>
        </w:rPr>
        <w:t xml:space="preserve">ProfessionalAccess.tsx:71-73</w:t>
      </w:r>
      <w:r>
        <w:rPr>
          <w:rFonts w:ascii="Calibri" w:cs="Calibri" w:eastAsia="Calibri" w:hAnsi="Calibri"/>
          <w:sz w:val="21"/>
          <w:szCs w:val="21"/>
        </w:rPr>
        <w:t xml:space="preserve">, </w:t>
      </w:r>
      <w:r>
        <w:rPr>
          <w:rFonts w:ascii="Consolas" w:cs="Consolas" w:eastAsia="Consolas" w:hAnsi="Consolas"/>
          <w:b w:val="false"/>
          <w:bCs w:val="false"/>
          <w:sz w:val="21"/>
          <w:szCs w:val="21"/>
        </w:rPr>
        <w:t xml:space="preserve">EstablishmentAdminWorkspace.tsx:63-65</w:t>
      </w:r>
      <w:r>
        <w:rPr>
          <w:rFonts w:ascii="Calibri" w:cs="Calibri" w:eastAsia="Calibri" w:hAnsi="Calibri"/>
          <w:sz w:val="21"/>
          <w:szCs w:val="21"/>
        </w:rPr>
        <w:t xml:space="preserve">, </w:t>
      </w:r>
      <w:r>
        <w:rPr>
          <w:rFonts w:ascii="Consolas" w:cs="Consolas" w:eastAsia="Consolas" w:hAnsi="Consolas"/>
          <w:b w:val="false"/>
          <w:bCs w:val="false"/>
          <w:sz w:val="21"/>
          <w:szCs w:val="21"/>
        </w:rPr>
        <w:t xml:space="preserve">EstablishmentConsole.tsx:125-136</w:t>
      </w:r>
      <w:r>
        <w:rPr>
          <w:rFonts w:ascii="Calibri" w:cs="Calibri" w:eastAsia="Calibri" w:hAnsi="Calibri"/>
          <w:sz w:val="21"/>
          <w:szCs w:val="21"/>
        </w:rPr>
        <w:t xml:space="preserve">, </w:t>
      </w:r>
      <w:r>
        <w:rPr>
          <w:rFonts w:ascii="Consolas" w:cs="Consolas" w:eastAsia="Consolas" w:hAnsi="Consolas"/>
          <w:b w:val="false"/>
          <w:bCs w:val="false"/>
          <w:sz w:val="21"/>
          <w:szCs w:val="21"/>
        </w:rPr>
        <w:t xml:space="preserve">docs/FLOW-ETABLISSEMENT.md:27-32, 38-48</w:t>
      </w:r>
      <w:r>
        <w:rPr>
          <w:rFonts w:ascii="Calibri" w:cs="Calibri" w:eastAsia="Calibri" w:hAnsi="Calibri"/>
          <w:sz w:val="21"/>
          <w:szCs w:val="21"/>
        </w:rPr>
        <w:t xml:space="preserve">. Ce sont des </w:t>
      </w:r>
      <w:r>
        <w:rPr>
          <w:rFonts w:ascii="Calibri" w:cs="Calibri" w:eastAsia="Calibri" w:hAnsi="Calibri"/>
          <w:b/>
          <w:bCs/>
          <w:sz w:val="21"/>
          <w:szCs w:val="21"/>
        </w:rPr>
        <w:t xml:space="preserve">assertions de conservation</w:t>
      </w:r>
      <w:r>
        <w:rPr>
          <w:rFonts w:ascii="Calibri" w:cs="Calibri" w:eastAsia="Calibri" w:hAnsi="Calibri"/>
          <w:sz w:val="21"/>
          <w:szCs w:val="21"/>
        </w:rPr>
        <w:t xml:space="preserve"> à confronter à une politique approuvée, qui n’existe pas encore.</w:t>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7. États et libellés utilisés par le produit</w:t>
      </w:r>
    </w:p>
    <w:p>
      <w:pPr>
        <w:spacing w:after="100" w:line="280"/>
      </w:pPr>
      <w:r>
        <w:rPr>
          <w:rFonts w:ascii="Calibri" w:cs="Calibri" w:eastAsia="Calibri" w:hAnsi="Calibri"/>
          <w:sz w:val="21"/>
          <w:szCs w:val="21"/>
        </w:rPr>
        <w:t xml:space="preserve">Valeurs exactes des modèles (constat de relecture) : elles aident le juriste à voir quel mot s’affiche pour quel état, notamment « Vérifié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cantSplit/>
          <w:tblHeader/>
        </w:trPr>
        <w:tc>
          <w:tcPr>
            <w:tcW w:type="dxa" w:w="23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Objet</w:t>
            </w:r>
          </w:p>
        </w:tc>
        <w:tc>
          <w:tcPr>
            <w:tcW w:type="dxa" w:w="43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Valeurs (code = libellé du modèle)</w:t>
            </w:r>
          </w:p>
        </w:tc>
        <w:tc>
          <w:tcPr>
            <w:tcW w:type="dxa" w:w="3038"/>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Point d’attention</w:t>
            </w:r>
          </w:p>
        </w:tc>
      </w:tr>
      <w:tr>
        <w:trPr>
          <w:cantSplit/>
        </w:trPr>
        <w:tc>
          <w:tcPr>
            <w:tcW w:type="dxa" w:w="2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Établissement</w:t>
            </w:r>
          </w:p>
        </w:tc>
        <w:tc>
          <w:tcPr>
            <w:tcW w:type="dxa" w:w="4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pending = En attente · active = Active · rejected = Refusée</w:t>
            </w:r>
          </w:p>
        </w:tc>
        <w:tc>
          <w:tcPr>
            <w:tcW w:type="dxa" w:w="30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L’établissement est créé et activé par l’équipe après réception des justificatifs par e-mail.</w:t>
            </w:r>
          </w:p>
        </w:tc>
      </w:tr>
      <w:tr>
        <w:trPr>
          <w:cantSplit/>
        </w:trPr>
        <w:tc>
          <w:tcPr>
            <w:tcW w:type="dxa" w:w="2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Administrateur d’établissement</w:t>
            </w:r>
          </w:p>
        </w:tc>
        <w:tc>
          <w:tcPr>
            <w:tcW w:type="dxa" w:w="4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active = Actif · revoked = Révoqué · ended = Terminé</w:t>
            </w:r>
          </w:p>
        </w:tc>
        <w:tc>
          <w:tcPr>
            <w:tcW w:type="dxa" w:w="30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Compte nominatif invité par e-mail ; aucun accès clinique.</w:t>
            </w:r>
          </w:p>
        </w:tc>
      </w:tr>
      <w:tr>
        <w:trPr>
          <w:cantSplit/>
        </w:trPr>
        <w:tc>
          <w:tcPr>
            <w:tcW w:type="dxa" w:w="2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Rattachement médecin</w:t>
            </w:r>
          </w:p>
        </w:tc>
        <w:tc>
          <w:tcPr>
            <w:tcW w:type="dxa" w:w="4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pending = En attente · active = Active · refused = Refusée · suspended = Suspendue · terminated = Terminée</w:t>
            </w:r>
          </w:p>
        </w:tc>
        <w:tc>
          <w:tcPr>
            <w:tcW w:type="dxa" w:w="30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Code unique valable 48 h ; acceptation des conditions requise.</w:t>
            </w:r>
          </w:p>
        </w:tc>
      </w:tr>
      <w:tr>
        <w:trPr>
          <w:cantSplit/>
        </w:trPr>
        <w:tc>
          <w:tcPr>
            <w:tcW w:type="dxa" w:w="2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Profil professionnel</w:t>
            </w:r>
          </w:p>
        </w:tc>
        <w:tc>
          <w:tcPr>
            <w:tcW w:type="dxa" w:w="4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pending = À vérifier · verified = </w:t>
            </w:r>
            <w:r>
              <w:rPr>
                <w:rFonts w:ascii="Calibri" w:cs="Calibri" w:eastAsia="Calibri" w:hAnsi="Calibri"/>
                <w:sz w:val="18"/>
                <w:szCs w:val="18"/>
              </w:rPr>
              <w:t xml:space="preserve">Vérifié</w:t>
            </w:r>
            <w:r>
              <w:rPr>
                <w:rFonts w:ascii="Calibri" w:cs="Calibri" w:eastAsia="Calibri" w:hAnsi="Calibri"/>
                <w:sz w:val="18"/>
                <w:szCs w:val="18"/>
              </w:rPr>
              <w:t xml:space="preserve"> · rejected = Refusé</w:t>
            </w:r>
          </w:p>
        </w:tc>
        <w:tc>
          <w:tcPr>
            <w:tcW w:type="dxa" w:w="30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Statut conservé dans le modèle ; l’interface affirme qu’E-Carnet ne vérifie pas (point 6).</w:t>
            </w:r>
          </w:p>
        </w:tc>
      </w:tr>
      <w:tr>
        <w:trPr>
          <w:cantSplit/>
        </w:trPr>
        <w:tc>
          <w:tcPr>
            <w:tcW w:type="dxa" w:w="2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Accès patient–professionnel</w:t>
            </w:r>
          </w:p>
        </w:tc>
        <w:tc>
          <w:tcPr>
            <w:tcW w:type="dxa" w:w="4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pending = En attente · active = Active · refused = Refusée · expired = Expirée · revoked = Révoquée</w:t>
            </w:r>
          </w:p>
        </w:tc>
        <w:tc>
          <w:tcPr>
            <w:tcW w:type="dxa" w:w="30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Durée 2 h + 2 × 1 h ; fermeture par le serveur.</w:t>
            </w:r>
          </w:p>
        </w:tc>
      </w:tr>
      <w:tr>
        <w:trPr>
          <w:cantSplit/>
        </w:trPr>
        <w:tc>
          <w:tcPr>
            <w:tcW w:type="dxa" w:w="2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Pré-consultation</w:t>
            </w:r>
          </w:p>
        </w:tc>
        <w:tc>
          <w:tcPr>
            <w:tcW w:type="dxa" w:w="4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draft = Brouillon · closed = Clôturée</w:t>
            </w:r>
          </w:p>
        </w:tc>
        <w:tc>
          <w:tcPr>
            <w:tcW w:type="dxa" w:w="30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Après clôture, plus de modification silencieuse.</w:t>
            </w:r>
          </w:p>
        </w:tc>
      </w:tr>
      <w:tr>
        <w:trPr>
          <w:cantSplit/>
        </w:trPr>
        <w:tc>
          <w:tcPr>
            <w:tcW w:type="dxa" w:w="2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Déclaration</w:t>
            </w:r>
          </w:p>
        </w:tc>
        <w:tc>
          <w:tcPr>
            <w:tcW w:type="dxa" w:w="4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declared = Déclaré par le patient · cancelled = Annulé avec historique</w:t>
            </w:r>
          </w:p>
        </w:tc>
        <w:tc>
          <w:tcPr>
            <w:tcW w:type="dxa" w:w="30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Types : antécédent, allergie, traitement.</w:t>
            </w:r>
          </w:p>
        </w:tc>
      </w:tr>
      <w:tr>
        <w:trPr>
          <w:cantSplit/>
        </w:trPr>
        <w:tc>
          <w:tcPr>
            <w:tcW w:type="dxa" w:w="2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Rôles de compte</w:t>
            </w:r>
          </w:p>
        </w:tc>
        <w:tc>
          <w:tcPr>
            <w:tcW w:type="dxa" w:w="43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patient · professional · establishment</w:t>
            </w:r>
          </w:p>
        </w:tc>
        <w:tc>
          <w:tcPr>
            <w:tcW w:type="dxa" w:w="303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Aucun rôle infirmier.</w:t>
            </w:r>
          </w:p>
        </w:tc>
      </w:tr>
      <w:tr>
        <w:trPr>
          <w:cantSplit/>
        </w:trPr>
        <w:tc>
          <w:tcPr>
            <w:tcW w:type="dxa" w:w="2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Fournisseurs de connexion</w:t>
            </w:r>
          </w:p>
        </w:tc>
        <w:tc>
          <w:tcPr>
            <w:tcW w:type="dxa" w:w="43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google · facebook · apple</w:t>
            </w:r>
          </w:p>
        </w:tc>
        <w:tc>
          <w:tcPr>
            <w:tcW w:type="dxa" w:w="303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Apple non encore ouvert.</w:t>
            </w:r>
          </w:p>
        </w:tc>
      </w:tr>
    </w:tbl>
    <w:p>
      <w:pPr>
        <w:pStyle w:val="Heading1"/>
        <w:keepNext/>
        <w:pBdr>
          <w:bottom w:val="single" w:color="3D7F87" w:sz="6" w:space="4"/>
        </w:pBdr>
        <w:spacing w:after="140" w:before="360"/>
      </w:pPr>
      <w:r>
        <w:rPr>
          <w:rFonts w:ascii="Calibri" w:cs="Calibri" w:eastAsia="Calibri" w:hAnsi="Calibri"/>
          <w:b/>
          <w:bCs/>
          <w:color w:val="2A4B5D"/>
          <w:sz w:val="30"/>
          <w:szCs w:val="30"/>
        </w:rPr>
        <w:t xml:space="preserve">8. Documents et notices absents de l’archive</w:t>
      </w:r>
    </w:p>
    <w:p>
      <w:pPr>
        <w:spacing w:after="100" w:line="280"/>
      </w:pPr>
      <w:r>
        <w:rPr>
          <w:rFonts w:ascii="Calibri" w:cs="Calibri" w:eastAsia="Calibri" w:hAnsi="Calibri"/>
          <w:sz w:val="21"/>
          <w:szCs w:val="21"/>
        </w:rPr>
        <w:t xml:space="preserve">Dans les routes et le pied de page publics parcourus, les pages </w:t>
      </w:r>
      <w:r>
        <w:rPr>
          <w:rFonts w:ascii="Consolas" w:cs="Consolas" w:eastAsia="Consolas" w:hAnsi="Consolas"/>
          <w:b w:val="false"/>
          <w:bCs w:val="false"/>
          <w:sz w:val="21"/>
          <w:szCs w:val="21"/>
        </w:rPr>
        <w:t xml:space="preserve">/mentions-legales</w:t>
      </w:r>
      <w:r>
        <w:rPr>
          <w:rFonts w:ascii="Calibri" w:cs="Calibri" w:eastAsia="Calibri" w:hAnsi="Calibri"/>
          <w:sz w:val="21"/>
          <w:szCs w:val="21"/>
        </w:rPr>
        <w:t xml:space="preserve">, </w:t>
      </w:r>
      <w:r>
        <w:rPr>
          <w:rFonts w:ascii="Consolas" w:cs="Consolas" w:eastAsia="Consolas" w:hAnsi="Consolas"/>
          <w:b w:val="false"/>
          <w:bCs w:val="false"/>
          <w:sz w:val="21"/>
          <w:szCs w:val="21"/>
        </w:rPr>
        <w:t xml:space="preserve">/confidentialite</w:t>
      </w:r>
      <w:r>
        <w:rPr>
          <w:rFonts w:ascii="Calibri" w:cs="Calibri" w:eastAsia="Calibri" w:hAnsi="Calibri"/>
          <w:sz w:val="21"/>
          <w:szCs w:val="21"/>
        </w:rPr>
        <w:t xml:space="preserve">, </w:t>
      </w:r>
      <w:r>
        <w:rPr>
          <w:rFonts w:ascii="Consolas" w:cs="Consolas" w:eastAsia="Consolas" w:hAnsi="Consolas"/>
          <w:b w:val="false"/>
          <w:bCs w:val="false"/>
          <w:sz w:val="21"/>
          <w:szCs w:val="21"/>
        </w:rPr>
        <w:t xml:space="preserve">/conditions-generales</w:t>
      </w:r>
      <w:r>
        <w:rPr>
          <w:rFonts w:ascii="Calibri" w:cs="Calibri" w:eastAsia="Calibri" w:hAnsi="Calibri"/>
          <w:sz w:val="21"/>
          <w:szCs w:val="21"/>
        </w:rPr>
        <w:t xml:space="preserve"> (CGU) et une page dédiée aux cookies n’ont pas été repérées. Le pied de page ne relie que À propos, Sécurité, FAQ et Connexion (</w:t>
      </w:r>
      <w:r>
        <w:rPr>
          <w:rFonts w:ascii="Consolas" w:cs="Consolas" w:eastAsia="Consolas" w:hAnsi="Consolas"/>
          <w:b w:val="false"/>
          <w:bCs w:val="false"/>
          <w:sz w:val="21"/>
          <w:szCs w:val="21"/>
        </w:rPr>
        <w:t xml:space="preserve">PublicShell.tsx:26-40</w:t>
      </w:r>
      <w:r>
        <w:rPr>
          <w:rFonts w:ascii="Calibri" w:cs="Calibri" w:eastAsia="Calibri" w:hAnsi="Calibri"/>
          <w:sz w:val="21"/>
          <w:szCs w:val="21"/>
        </w:rPr>
        <w:t xml:space="preserve">). Le formulaire d’inscription ne présente aucune acceptation générale (</w:t>
      </w:r>
      <w:r>
        <w:rPr>
          <w:rFonts w:ascii="Consolas" w:cs="Consolas" w:eastAsia="Consolas" w:hAnsi="Consolas"/>
          <w:b w:val="false"/>
          <w:bCs w:val="false"/>
          <w:sz w:val="21"/>
          <w:szCs w:val="21"/>
        </w:rPr>
        <w:t xml:space="preserve">AuthForms.tsx:29-45</w:t>
      </w:r>
      <w:r>
        <w:rPr>
          <w:rFonts w:ascii="Calibri" w:cs="Calibri" w:eastAsia="Calibri" w:hAnsi="Calibri"/>
          <w:sz w:val="21"/>
          <w:szCs w:val="21"/>
        </w:rPr>
        <w:t xml:space="preserve">).</w:t>
      </w:r>
    </w:p>
    <w:p>
      <w:pPr>
        <w:spacing w:after="100" w:line="280"/>
      </w:pPr>
      <w:r>
        <w:rPr>
          <w:rFonts w:ascii="Calibri" w:cs="Calibri" w:eastAsia="Calibri" w:hAnsi="Calibri"/>
          <w:sz w:val="21"/>
          <w:szCs w:val="21"/>
        </w:rPr>
        <w:t xml:space="preserve">C’est un </w:t>
      </w:r>
      <w:r>
        <w:rPr>
          <w:rFonts w:ascii="Calibri" w:cs="Calibri" w:eastAsia="Calibri" w:hAnsi="Calibri"/>
          <w:b/>
          <w:bCs/>
          <w:sz w:val="21"/>
          <w:szCs w:val="21"/>
        </w:rPr>
        <w:t xml:space="preserve">constat de contenu absent</w:t>
      </w:r>
      <w:r>
        <w:rPr>
          <w:rFonts w:ascii="Calibri" w:cs="Calibri" w:eastAsia="Calibri" w:hAnsi="Calibri"/>
          <w:sz w:val="21"/>
          <w:szCs w:val="21"/>
        </w:rPr>
        <w:t xml:space="preserve">, pas une qualification de manquement. Demander au juriste quels documents sont nécessaires, pour quels utilisateurs (patients, professionnels, établissements, administrateurs, personnel interne), où les afficher, à quel moment, dans quelles langues et avec quels mécanismes d’acceptation et de versionnage.</w:t>
      </w:r>
    </w:p>
    <w:p>
      <w:pPr>
        <w:pStyle w:val="Heading3"/>
        <w:keepNext/>
        <w:spacing w:after="60" w:before="160"/>
      </w:pPr>
      <w:r>
        <w:rPr>
          <w:rFonts w:ascii="Calibri" w:cs="Calibri" w:eastAsia="Calibri" w:hAnsi="Calibri"/>
          <w:b/>
          <w:bCs/>
          <w:color w:val="2A4B5D"/>
          <w:sz w:val="22"/>
          <w:szCs w:val="22"/>
        </w:rPr>
        <w:t xml:space="preserve">Décisions explicitement ouvertes dans le journal produit</w:t>
      </w:r>
    </w:p>
    <w:p>
      <w:pPr>
        <w:pStyle w:val="ListParagraph"/>
        <w:numPr>
          <w:ilvl w:val="0"/>
          <w:numId w:val="2"/>
        </w:numPr>
        <w:spacing w:after="60" w:line="270"/>
      </w:pPr>
      <w:r>
        <w:rPr>
          <w:rFonts w:ascii="Calibri" w:cs="Calibri" w:eastAsia="Calibri" w:hAnsi="Calibri"/>
          <w:sz w:val="21"/>
          <w:szCs w:val="21"/>
        </w:rPr>
        <w:t xml:space="preserve">A4 / A11 — conservation des justificatifs d’établissement reçus par e-mail.</w:t>
      </w:r>
    </w:p>
    <w:p>
      <w:pPr>
        <w:pStyle w:val="ListParagraph"/>
        <w:numPr>
          <w:ilvl w:val="0"/>
          <w:numId w:val="2"/>
        </w:numPr>
        <w:spacing w:after="60" w:line="270"/>
      </w:pPr>
      <w:r>
        <w:rPr>
          <w:rFonts w:ascii="Calibri" w:cs="Calibri" w:eastAsia="Calibri" w:hAnsi="Calibri"/>
          <w:sz w:val="21"/>
          <w:szCs w:val="21"/>
        </w:rPr>
        <w:t xml:space="preserve">A12 — région, lieux de traitement, copies et sauvegardes de Vercel, Render et Neon.</w:t>
      </w:r>
    </w:p>
    <w:p>
      <w:pPr>
        <w:pStyle w:val="ListParagraph"/>
        <w:numPr>
          <w:ilvl w:val="0"/>
          <w:numId w:val="2"/>
        </w:numPr>
        <w:spacing w:after="60" w:line="270"/>
      </w:pPr>
      <w:r>
        <w:rPr>
          <w:rFonts w:ascii="Calibri" w:cs="Calibri" w:eastAsia="Calibri" w:hAnsi="Calibri"/>
          <w:sz w:val="21"/>
          <w:szCs w:val="21"/>
        </w:rPr>
        <w:t xml:space="preserve">A13 — exigences d’hébergement ivoirien avant données réelles.</w:t>
      </w:r>
    </w:p>
    <w:p>
      <w:pPr>
        <w:pStyle w:val="ListParagraph"/>
        <w:numPr>
          <w:ilvl w:val="0"/>
          <w:numId w:val="2"/>
        </w:numPr>
        <w:spacing w:after="60" w:line="270"/>
      </w:pPr>
      <w:r>
        <w:rPr>
          <w:rFonts w:ascii="Calibri" w:cs="Calibri" w:eastAsia="Calibri" w:hAnsi="Calibri"/>
          <w:sz w:val="21"/>
          <w:szCs w:val="21"/>
        </w:rPr>
        <w:t xml:space="preserve">A14 — droit local et avis écrit du juriste.</w:t>
      </w:r>
    </w:p>
    <w:p>
      <w:pPr>
        <w:pStyle w:val="ListParagraph"/>
        <w:numPr>
          <w:ilvl w:val="0"/>
          <w:numId w:val="2"/>
        </w:numPr>
        <w:spacing w:after="60" w:line="270"/>
      </w:pPr>
      <w:r>
        <w:rPr>
          <w:rFonts w:ascii="Calibri" w:cs="Calibri" w:eastAsia="Calibri" w:hAnsi="Calibri"/>
          <w:sz w:val="21"/>
          <w:szCs w:val="21"/>
        </w:rPr>
        <w:t xml:space="preserve">A15 — conservation, correction, export, suppression et maintien de l’audit.</w:t>
      </w:r>
    </w:p>
    <w:p>
      <w:pPr>
        <w:pStyle w:val="ListParagraph"/>
        <w:numPr>
          <w:ilvl w:val="0"/>
          <w:numId w:val="2"/>
        </w:numPr>
        <w:spacing w:after="60" w:line="270"/>
      </w:pPr>
      <w:r>
        <w:rPr>
          <w:rFonts w:ascii="Calibri" w:cs="Calibri" w:eastAsia="Calibri" w:hAnsi="Calibri"/>
          <w:sz w:val="21"/>
          <w:szCs w:val="21"/>
        </w:rPr>
        <w:t xml:space="preserve">A16 — responsables, seuils, délais, confinement et notification d’incident.</w:t>
      </w:r>
    </w:p>
    <w:p>
      <w:pPr>
        <w:spacing w:after="100" w:line="280"/>
      </w:pPr>
      <w:r>
        <w:rPr>
          <w:rFonts w:ascii="Calibri" w:cs="Calibri" w:eastAsia="Calibri" w:hAnsi="Calibri"/>
          <w:sz w:val="21"/>
          <w:szCs w:val="21"/>
        </w:rPr>
        <w:t xml:space="preserve">Références : </w:t>
      </w:r>
      <w:r>
        <w:rPr>
          <w:rFonts w:ascii="Consolas" w:cs="Consolas" w:eastAsia="Consolas" w:hAnsi="Consolas"/>
          <w:b w:val="false"/>
          <w:bCs w:val="false"/>
          <w:sz w:val="21"/>
          <w:szCs w:val="21"/>
        </w:rPr>
        <w:t xml:space="preserve">docs/QUESTIONNAIRE-DECISIONS-A1-A16.md:34-46</w:t>
      </w:r>
      <w:r>
        <w:rPr>
          <w:rFonts w:ascii="Calibri" w:cs="Calibri" w:eastAsia="Calibri" w:hAnsi="Calibri"/>
          <w:sz w:val="21"/>
          <w:szCs w:val="21"/>
        </w:rPr>
        <w:t xml:space="preserve">, </w:t>
      </w:r>
      <w:r>
        <w:rPr>
          <w:rFonts w:ascii="Consolas" w:cs="Consolas" w:eastAsia="Consolas" w:hAnsi="Consolas"/>
          <w:b w:val="false"/>
          <w:bCs w:val="false"/>
          <w:sz w:val="21"/>
          <w:szCs w:val="21"/>
        </w:rPr>
        <w:t xml:space="preserve">docs/SECURITY.md:22-27</w:t>
      </w:r>
      <w:r>
        <w:rPr>
          <w:rFonts w:ascii="Calibri" w:cs="Calibri" w:eastAsia="Calibri" w:hAnsi="Calibri"/>
          <w:sz w:val="21"/>
          <w:szCs w:val="21"/>
        </w:rPr>
        <w:t xml:space="preserve">, </w:t>
      </w:r>
      <w:r>
        <w:rPr>
          <w:rFonts w:ascii="Consolas" w:cs="Consolas" w:eastAsia="Consolas" w:hAnsi="Consolas"/>
          <w:b w:val="false"/>
          <w:bCs w:val="false"/>
          <w:sz w:val="21"/>
          <w:szCs w:val="21"/>
        </w:rPr>
        <w:t xml:space="preserve">docs/FLOW-ETABLISSEMENT.md:48</w:t>
      </w:r>
      <w:r>
        <w:rPr>
          <w:rFonts w:ascii="Calibri" w:cs="Calibri" w:eastAsia="Calibri" w:hAnsi="Calibri"/>
          <w:sz w:val="21"/>
          <w:szCs w:val="21"/>
        </w:rPr>
        <w:t xml:space="preserve">.</w:t>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9. Questions à faire trancher</w:t>
      </w:r>
    </w:p>
    <w:p>
      <w:pPr>
        <w:spacing w:after="100" w:line="280"/>
      </w:pPr>
      <w:r>
        <w:rPr>
          <w:rFonts w:ascii="Calibri" w:cs="Calibri" w:eastAsia="Calibri" w:hAnsi="Calibri"/>
          <w:sz w:val="21"/>
          <w:szCs w:val="21"/>
        </w:rPr>
        <w:t xml:space="preserve">Priorités : </w:t>
      </w:r>
      <w:r>
        <w:rPr>
          <w:rFonts w:ascii="Calibri" w:cs="Calibri" w:eastAsia="Calibri" w:hAnsi="Calibri"/>
          <w:b/>
          <w:bCs/>
          <w:sz w:val="21"/>
          <w:szCs w:val="21"/>
        </w:rPr>
        <w:t xml:space="preserve">Bloquant</w:t>
      </w:r>
      <w:r>
        <w:rPr>
          <w:rFonts w:ascii="Calibri" w:cs="Calibri" w:eastAsia="Calibri" w:hAnsi="Calibri"/>
          <w:sz w:val="21"/>
          <w:szCs w:val="21"/>
        </w:rPr>
        <w:t xml:space="preserve"> = à lever avant toute donnée réelle ; </w:t>
      </w:r>
      <w:r>
        <w:rPr>
          <w:rFonts w:ascii="Calibri" w:cs="Calibri" w:eastAsia="Calibri" w:hAnsi="Calibri"/>
          <w:b/>
          <w:bCs/>
          <w:sz w:val="21"/>
          <w:szCs w:val="21"/>
        </w:rPr>
        <w:t xml:space="preserve">Pilote</w:t>
      </w:r>
      <w:r>
        <w:rPr>
          <w:rFonts w:ascii="Calibri" w:cs="Calibri" w:eastAsia="Calibri" w:hAnsi="Calibri"/>
          <w:sz w:val="21"/>
          <w:szCs w:val="21"/>
        </w:rPr>
        <w:t xml:space="preserve"> = avant d’ouvrir le pilote à des utilisateurs réels (données fictives) ; </w:t>
      </w:r>
      <w:r>
        <w:rPr>
          <w:rFonts w:ascii="Calibri" w:cs="Calibri" w:eastAsia="Calibri" w:hAnsi="Calibri"/>
          <w:b/>
          <w:bCs/>
          <w:sz w:val="21"/>
          <w:szCs w:val="21"/>
        </w:rPr>
        <w:t xml:space="preserve">Plus tard</w:t>
      </w:r>
      <w:r>
        <w:rPr>
          <w:rFonts w:ascii="Calibri" w:cs="Calibri" w:eastAsia="Calibri" w:hAnsi="Calibri"/>
          <w:sz w:val="21"/>
          <w:szCs w:val="21"/>
        </w:rPr>
        <w:t xml:space="preserve"> = à planifier.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7388"/>
        <w:gridCol w:w="1800"/>
      </w:tblGrid>
      <w:tr>
        <w:trPr>
          <w:cantSplit/>
          <w:tblHeader/>
        </w:trPr>
        <w:tc>
          <w:tcPr>
            <w:tcW w:type="dxa" w:w="45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w:t>
            </w:r>
          </w:p>
        </w:tc>
        <w:tc>
          <w:tcPr>
            <w:tcW w:type="dxa" w:w="7388"/>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Question</w:t>
            </w:r>
          </w:p>
        </w:tc>
        <w:tc>
          <w:tcPr>
            <w:tcW w:type="dxa" w:w="1800"/>
            <w:tcBorders>
              <w:top w:val="single" w:color="B9C9CE" w:sz="4"/>
              <w:left w:val="single" w:color="B9C9CE" w:sz="4"/>
              <w:bottom w:val="single" w:color="B9C9CE" w:sz="4"/>
              <w:right w:val="single" w:color="B9C9CE" w:sz="4"/>
            </w:tcBorders>
            <w:shd w:fill="2A4B5D" w:color="auto" w:val="clear"/>
            <w:tcMar>
              <w:top w:type="dxa" w:w="70"/>
              <w:left w:type="dxa" w:w="100"/>
              <w:bottom w:type="dxa" w:w="70"/>
              <w:right w:type="dxa" w:w="100"/>
            </w:tcMar>
          </w:tcPr>
          <w:p>
            <w:pPr>
              <w:spacing w:after="40" w:line="250"/>
            </w:pPr>
            <w:r>
              <w:rPr>
                <w:rFonts w:ascii="Calibri" w:cs="Calibri" w:eastAsia="Calibri" w:hAnsi="Calibri"/>
                <w:b/>
                <w:bCs/>
                <w:color w:val="FFFFFF"/>
                <w:sz w:val="18"/>
                <w:szCs w:val="18"/>
              </w:rPr>
              <w:t xml:space="preserve">Priorité</w:t>
            </w:r>
          </w:p>
        </w:tc>
      </w:tr>
      <w:tr>
        <w:trPr>
          <w:cantSplit/>
        </w:trPr>
        <w:tc>
          <w:tcPr>
            <w:tcW w:type="dxa" w:w="45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1</w:t>
            </w:r>
          </w:p>
        </w:tc>
        <w:tc>
          <w:tcPr>
            <w:tcW w:type="dxa" w:w="738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Identité de l’opérateur et des parties</w:t>
            </w:r>
            <w:r>
              <w:rPr>
                <w:rFonts w:ascii="Calibri" w:cs="Calibri" w:eastAsia="Calibri" w:hAnsi="Calibri"/>
                <w:sz w:val="18"/>
                <w:szCs w:val="18"/>
              </w:rPr>
              <w:t xml:space="preserve"> : qui exploite le service, qui est responsable de quoi entre patient, professionnel, établissement et E-Carnet, et quelles informations d’identification et de contact publier ?</w:t>
            </w:r>
          </w:p>
        </w:tc>
        <w:tc>
          <w:tcPr>
            <w:tcW w:type="dxa" w:w="18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Pilote</w:t>
            </w:r>
          </w:p>
        </w:tc>
      </w:tr>
      <w:tr>
        <w:trPr>
          <w:cantSplit/>
        </w:trPr>
        <w:tc>
          <w:tcPr>
            <w:tcW w:type="dxa" w:w="45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2</w:t>
            </w:r>
          </w:p>
        </w:tc>
        <w:tc>
          <w:tcPr>
            <w:tcW w:type="dxa" w:w="738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Textes d’usage</w:t>
            </w:r>
            <w:r>
              <w:rPr>
                <w:rFonts w:ascii="Calibri" w:cs="Calibri" w:eastAsia="Calibri" w:hAnsi="Calibri"/>
                <w:sz w:val="18"/>
                <w:szCs w:val="18"/>
              </w:rPr>
              <w:t xml:space="preserve"> : quelles conditions pour les patients, professionnels, établissements, administrateurs et personnels internes ? Quelles parties relèvent d’un contrat séparé ?</w:t>
            </w:r>
          </w:p>
        </w:tc>
        <w:tc>
          <w:tcPr>
            <w:tcW w:type="dxa" w:w="18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Bloquant</w:t>
            </w:r>
          </w:p>
        </w:tc>
      </w:tr>
      <w:tr>
        <w:trPr>
          <w:cantSplit/>
        </w:trPr>
        <w:tc>
          <w:tcPr>
            <w:tcW w:type="dxa" w:w="45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3</w:t>
            </w:r>
          </w:p>
        </w:tc>
        <w:tc>
          <w:tcPr>
            <w:tcW w:type="dxa" w:w="738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Données de santé</w:t>
            </w:r>
            <w:r>
              <w:rPr>
                <w:rFonts w:ascii="Calibri" w:cs="Calibri" w:eastAsia="Calibri" w:hAnsi="Calibri"/>
                <w:sz w:val="18"/>
                <w:szCs w:val="18"/>
              </w:rPr>
              <w:t xml:space="preserve"> : quelles catégories sont traitées, par qui, pour quelles finalités et sur quel fondement ? Quelles données libres exclure ou limiter ? Quelles formalités préalables ?</w:t>
            </w:r>
          </w:p>
        </w:tc>
        <w:tc>
          <w:tcPr>
            <w:tcW w:type="dxa" w:w="18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Bloquant</w:t>
            </w:r>
          </w:p>
        </w:tc>
      </w:tr>
      <w:tr>
        <w:trPr>
          <w:cantSplit/>
        </w:trPr>
        <w:tc>
          <w:tcPr>
            <w:tcW w:type="dxa" w:w="45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4</w:t>
            </w:r>
          </w:p>
        </w:tc>
        <w:tc>
          <w:tcPr>
            <w:tcW w:type="dxa" w:w="738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Information et consentement</w:t>
            </w:r>
            <w:r>
              <w:rPr>
                <w:rFonts w:ascii="Calibri" w:cs="Calibri" w:eastAsia="Calibri" w:hAnsi="Calibri"/>
                <w:sz w:val="18"/>
                <w:szCs w:val="18"/>
              </w:rPr>
              <w:t xml:space="preserve"> : quelle information avant l’inscription, la saisie clinique, la demande d’accès, l’autorisation, les prolongations, l’usage du QR et la révocation ? Comment traiter mineurs, représentation, aide à la saisie et urgence ?</w:t>
            </w:r>
          </w:p>
        </w:tc>
        <w:tc>
          <w:tcPr>
            <w:tcW w:type="dxa" w:w="18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Bloquant</w:t>
            </w:r>
          </w:p>
        </w:tc>
      </w:tr>
      <w:tr>
        <w:trPr>
          <w:cantSplit/>
        </w:trPr>
        <w:tc>
          <w:tcPr>
            <w:tcW w:type="dxa" w:w="45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5</w:t>
            </w:r>
          </w:p>
        </w:tc>
        <w:tc>
          <w:tcPr>
            <w:tcW w:type="dxa" w:w="738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Durées et fin de relation</w:t>
            </w:r>
            <w:r>
              <w:rPr>
                <w:rFonts w:ascii="Calibri" w:cs="Calibri" w:eastAsia="Calibri" w:hAnsi="Calibri"/>
                <w:sz w:val="18"/>
                <w:szCs w:val="18"/>
              </w:rPr>
              <w:t xml:space="preserve"> : combien de temps garder profils, dossiers, consultations, révisions, audit, rattachements, invitations, codes, preuves reçues par e-mail et sauvegardes ? Que supprimer, rectifier, exporter ou conserver après fermeture d’un compte ou fin d’un rattachement ?</w:t>
            </w:r>
          </w:p>
        </w:tc>
        <w:tc>
          <w:tcPr>
            <w:tcW w:type="dxa" w:w="18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Bloquant</w:t>
            </w:r>
          </w:p>
        </w:tc>
      </w:tr>
      <w:tr>
        <w:trPr>
          <w:cantSplit/>
        </w:trPr>
        <w:tc>
          <w:tcPr>
            <w:tcW w:type="dxa" w:w="45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6</w:t>
            </w:r>
          </w:p>
        </w:tc>
        <w:tc>
          <w:tcPr>
            <w:tcW w:type="dxa" w:w="738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Hébergement et transferts</w:t>
            </w:r>
            <w:r>
              <w:rPr>
                <w:rFonts w:ascii="Calibri" w:cs="Calibri" w:eastAsia="Calibri" w:hAnsi="Calibri"/>
                <w:sz w:val="18"/>
                <w:szCs w:val="18"/>
              </w:rPr>
              <w:t xml:space="preserve"> : quels lieux, fournisseurs et sous-traitants (web, API, base, e-mail, connexion sociale, journaux, sauvegardes), et quelles clauses ou informations conclure ou publier ? Exigence d’hébergement local ?</w:t>
            </w:r>
          </w:p>
        </w:tc>
        <w:tc>
          <w:tcPr>
            <w:tcW w:type="dxa" w:w="18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Bloquant</w:t>
            </w:r>
          </w:p>
        </w:tc>
      </w:tr>
      <w:tr>
        <w:trPr>
          <w:cantSplit/>
        </w:trPr>
        <w:tc>
          <w:tcPr>
            <w:tcW w:type="dxa" w:w="45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7</w:t>
            </w:r>
          </w:p>
        </w:tc>
        <w:tc>
          <w:tcPr>
            <w:tcW w:type="dxa" w:w="738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Vérification professionnelle</w:t>
            </w:r>
            <w:r>
              <w:rPr>
                <w:rFonts w:ascii="Calibri" w:cs="Calibri" w:eastAsia="Calibri" w:hAnsi="Calibri"/>
                <w:sz w:val="18"/>
                <w:szCs w:val="18"/>
              </w:rPr>
              <w:t xml:space="preserve"> : quelle portée attribuer à l’approbation de l’établissement ? Comment éviter que « vérifié », « validé » ou « signé » soit compris comme une vérification ou une certification par E-Carnet ?</w:t>
            </w:r>
          </w:p>
        </w:tc>
        <w:tc>
          <w:tcPr>
            <w:tcW w:type="dxa" w:w="18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Bloquant</w:t>
            </w:r>
          </w:p>
        </w:tc>
      </w:tr>
      <w:tr>
        <w:trPr>
          <w:cantSplit/>
        </w:trPr>
        <w:tc>
          <w:tcPr>
            <w:tcW w:type="dxa" w:w="45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8</w:t>
            </w:r>
          </w:p>
        </w:tc>
        <w:tc>
          <w:tcPr>
            <w:tcW w:type="dxa" w:w="738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Attestation et signature</w:t>
            </w:r>
            <w:r>
              <w:rPr>
                <w:rFonts w:ascii="Calibri" w:cs="Calibri" w:eastAsia="Calibri" w:hAnsi="Calibri"/>
                <w:sz w:val="18"/>
                <w:szCs w:val="18"/>
              </w:rPr>
              <w:t xml:space="preserve"> : portée du SVG, preuve, horodatage, auteur, intégrité, corrections et mentions associées.</w:t>
            </w:r>
          </w:p>
        </w:tc>
        <w:tc>
          <w:tcPr>
            <w:tcW w:type="dxa" w:w="18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Bloquant</w:t>
            </w:r>
          </w:p>
        </w:tc>
      </w:tr>
      <w:tr>
        <w:trPr>
          <w:cantSplit/>
        </w:trPr>
        <w:tc>
          <w:tcPr>
            <w:tcW w:type="dxa" w:w="45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9</w:t>
            </w:r>
          </w:p>
        </w:tc>
        <w:tc>
          <w:tcPr>
            <w:tcW w:type="dxa" w:w="738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Réclamations et incidents</w:t>
            </w:r>
            <w:r>
              <w:rPr>
                <w:rFonts w:ascii="Calibri" w:cs="Calibri" w:eastAsia="Calibri" w:hAnsi="Calibri"/>
                <w:sz w:val="18"/>
                <w:szCs w:val="18"/>
              </w:rPr>
              <w:t xml:space="preserve"> : adresse de contact, traitement des demandes, délais internes, événements de sécurité, communication aux personnes et aux autorités.</w:t>
            </w:r>
          </w:p>
        </w:tc>
        <w:tc>
          <w:tcPr>
            <w:tcW w:type="dxa" w:w="18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Bloquant</w:t>
            </w:r>
          </w:p>
        </w:tc>
      </w:tr>
      <w:tr>
        <w:trPr>
          <w:cantSplit/>
        </w:trPr>
        <w:tc>
          <w:tcPr>
            <w:tcW w:type="dxa" w:w="45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10</w:t>
            </w:r>
          </w:p>
        </w:tc>
        <w:tc>
          <w:tcPr>
            <w:tcW w:type="dxa" w:w="738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Cookies et connexion sociale</w:t>
            </w:r>
            <w:r>
              <w:rPr>
                <w:rFonts w:ascii="Calibri" w:cs="Calibri" w:eastAsia="Calibri" w:hAnsi="Calibri"/>
                <w:sz w:val="18"/>
                <w:szCs w:val="18"/>
              </w:rPr>
              <w:t xml:space="preserve"> : information sur les cookies de session et CSRF et sur les échanges avec Google, Facebook et Apple ; consentement à l’inscription ; liaison d’identité ; image d’avatar chargée depuis un hôte tiers.</w:t>
            </w:r>
          </w:p>
        </w:tc>
        <w:tc>
          <w:tcPr>
            <w:tcW w:type="dxa" w:w="18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Pilote</w:t>
            </w:r>
          </w:p>
        </w:tc>
      </w:tr>
      <w:tr>
        <w:trPr>
          <w:cantSplit/>
        </w:trPr>
        <w:tc>
          <w:tcPr>
            <w:tcW w:type="dxa" w:w="45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11</w:t>
            </w:r>
          </w:p>
        </w:tc>
        <w:tc>
          <w:tcPr>
            <w:tcW w:type="dxa" w:w="7388"/>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Exactitude des promesses</w:t>
            </w:r>
            <w:r>
              <w:rPr>
                <w:rFonts w:ascii="Calibri" w:cs="Calibri" w:eastAsia="Calibri" w:hAnsi="Calibri"/>
                <w:sz w:val="18"/>
                <w:szCs w:val="18"/>
              </w:rPr>
              <w:t xml:space="preserve"> : valider mot à mot les promesses de non-accès, de révocabilité, d’exhaustivité de l’audit, d’isolation, de conservation, d’absence de cache et le statut de pilote (voir 4.2). Faut-il documenter l’absence de double authentification comme risque accepté ?</w:t>
            </w:r>
          </w:p>
        </w:tc>
        <w:tc>
          <w:tcPr>
            <w:tcW w:type="dxa" w:w="1800"/>
            <w:tcBorders>
              <w:top w:val="single" w:color="B9C9CE" w:sz="4"/>
              <w:left w:val="single" w:color="B9C9CE" w:sz="4"/>
              <w:bottom w:val="single" w:color="B9C9CE" w:sz="4"/>
              <w:right w:val="single" w:color="B9C9CE" w:sz="4"/>
            </w:tcBorders>
            <w:tcMar>
              <w:top w:type="dxa" w:w="70"/>
              <w:left w:type="dxa" w:w="100"/>
              <w:bottom w:type="dxa" w:w="70"/>
              <w:right w:type="dxa" w:w="100"/>
            </w:tcMar>
          </w:tcPr>
          <w:p>
            <w:pPr>
              <w:spacing w:after="40" w:line="250"/>
            </w:pPr>
            <w:r>
              <w:rPr>
                <w:rFonts w:ascii="Calibri" w:cs="Calibri" w:eastAsia="Calibri" w:hAnsi="Calibri"/>
                <w:sz w:val="18"/>
                <w:szCs w:val="18"/>
              </w:rPr>
              <w:t xml:space="preserve">Bloquant</w:t>
            </w:r>
          </w:p>
        </w:tc>
      </w:tr>
      <w:tr>
        <w:trPr>
          <w:cantSplit/>
        </w:trPr>
        <w:tc>
          <w:tcPr>
            <w:tcW w:type="dxa" w:w="45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12</w:t>
            </w:r>
          </w:p>
        </w:tc>
        <w:tc>
          <w:tcPr>
            <w:tcW w:type="dxa" w:w="7388"/>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Versions et preuve</w:t>
            </w:r>
            <w:r>
              <w:rPr>
                <w:rFonts w:ascii="Calibri" w:cs="Calibri" w:eastAsia="Calibri" w:hAnsi="Calibri"/>
                <w:sz w:val="18"/>
                <w:szCs w:val="18"/>
              </w:rPr>
              <w:t xml:space="preserve"> : valider le texte de rattachement, sa version, le moment d’acceptation, la preuve serveur et la procédure en cas de changement de version.</w:t>
            </w:r>
          </w:p>
        </w:tc>
        <w:tc>
          <w:tcPr>
            <w:tcW w:type="dxa" w:w="1800"/>
            <w:tcBorders>
              <w:top w:val="single" w:color="B9C9CE" w:sz="4"/>
              <w:left w:val="single" w:color="B9C9CE" w:sz="4"/>
              <w:bottom w:val="single" w:color="B9C9CE" w:sz="4"/>
              <w:right w:val="single" w:color="B9C9CE" w:sz="4"/>
            </w:tcBorders>
            <w:shd w:fill="F6FAFB" w:color="auto" w:val="clear"/>
            <w:tcMar>
              <w:top w:type="dxa" w:w="70"/>
              <w:left w:type="dxa" w:w="100"/>
              <w:bottom w:type="dxa" w:w="70"/>
              <w:right w:type="dxa" w:w="100"/>
            </w:tcMar>
          </w:tcPr>
          <w:p>
            <w:pPr>
              <w:spacing w:after="40" w:line="250"/>
            </w:pPr>
            <w:r>
              <w:rPr>
                <w:rFonts w:ascii="Calibri" w:cs="Calibri" w:eastAsia="Calibri" w:hAnsi="Calibri"/>
                <w:sz w:val="18"/>
                <w:szCs w:val="18"/>
              </w:rPr>
              <w:t xml:space="preserve">Pilote</w:t>
            </w:r>
          </w:p>
        </w:tc>
      </w:tr>
    </w:tbl>
    <w:p>
      <w:pPr>
        <w:pStyle w:val="Heading1"/>
        <w:keepNext/>
        <w:pBdr>
          <w:bottom w:val="single" w:color="3D7F87" w:sz="6" w:space="4"/>
        </w:pBdr>
        <w:spacing w:after="140" w:before="360"/>
      </w:pPr>
      <w:r>
        <w:rPr>
          <w:rFonts w:ascii="Calibri" w:cs="Calibri" w:eastAsia="Calibri" w:hAnsi="Calibri"/>
          <w:b/>
          <w:bCs/>
          <w:color w:val="2A4B5D"/>
          <w:sz w:val="30"/>
          <w:szCs w:val="30"/>
        </w:rPr>
        <w:t xml:space="preserve">10. Repères à vérifier par le juriste (liste non exhaustive)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9CE" w:sz="4"/>
              <w:left w:val="single" w:color="8A6100" w:sz="8"/>
              <w:bottom w:val="single" w:color="B9C9CE" w:sz="4"/>
              <w:right w:val="single" w:color="B9C9CE" w:sz="4"/>
            </w:tcBorders>
            <w:shd w:fill="FFF3D6" w:color="auto" w:val="clear"/>
            <w:tcMar>
              <w:top w:type="dxa" w:w="110"/>
              <w:left w:type="dxa" w:w="180"/>
              <w:bottom w:type="dxa" w:w="90"/>
              <w:right w:type="dxa" w:w="160"/>
            </w:tcMar>
          </w:tcPr>
          <w:p>
            <w:pPr>
              <w:spacing w:after="60"/>
            </w:pPr>
            <w:r>
              <w:rPr>
                <w:rFonts w:ascii="Calibri" w:cs="Calibri" w:eastAsia="Calibri" w:hAnsi="Calibri"/>
                <w:b/>
                <w:bCs/>
                <w:color w:val="8A6100"/>
                <w:sz w:val="21"/>
                <w:szCs w:val="21"/>
              </w:rPr>
              <w:t xml:space="preserve">À lire avec prudence</w:t>
            </w:r>
          </w:p>
          <w:p>
            <w:pPr>
              <w:spacing w:after="50" w:line="265"/>
            </w:pPr>
            <w:r>
              <w:rPr>
                <w:rFonts w:ascii="Calibri" w:cs="Calibri" w:eastAsia="Calibri" w:hAnsi="Calibri"/>
                <w:sz w:val="20"/>
                <w:szCs w:val="20"/>
              </w:rPr>
              <w:t xml:space="preserve">Ces repères orientent la recherche. </w:t>
            </w:r>
            <w:r>
              <w:rPr>
                <w:rFonts w:ascii="Calibri" w:cs="Calibri" w:eastAsia="Calibri" w:hAnsi="Calibri"/>
                <w:b/>
                <w:bCs/>
                <w:sz w:val="20"/>
                <w:szCs w:val="20"/>
              </w:rPr>
              <w:t xml:space="preserve">Aucun n’a été analysé</w:t>
            </w:r>
            <w:r>
              <w:rPr>
                <w:rFonts w:ascii="Calibri" w:cs="Calibri" w:eastAsia="Calibri" w:hAnsi="Calibri"/>
                <w:sz w:val="20"/>
                <w:szCs w:val="20"/>
              </w:rPr>
              <w:t xml:space="preserve"> dans ce dossier. Le juriste confirme les textes réellement applicables, y compris pour les autres pays d’exploitation visés en Afrique francophone.</w:t>
            </w:r>
          </w:p>
        </w:tc>
      </w:tr>
    </w:tbl>
    <w:p>
      <w:pPr>
        <w:spacing w:after="60"/>
      </w:pPr>
    </w:p>
    <w:p>
      <w:pPr>
        <w:pStyle w:val="ListParagraph"/>
        <w:numPr>
          <w:ilvl w:val="0"/>
          <w:numId w:val="2"/>
        </w:numPr>
        <w:spacing w:after="60" w:line="270"/>
      </w:pPr>
      <w:r>
        <w:rPr>
          <w:rFonts w:ascii="Calibri" w:cs="Calibri" w:eastAsia="Calibri" w:hAnsi="Calibri"/>
          <w:sz w:val="21"/>
          <w:szCs w:val="21"/>
        </w:rPr>
        <w:t xml:space="preserve">Loi ivoirienne relative à la protection des données à caractère personnel (loi n° 2013-450 du 19 juin 2013, à confirmer) et son autorité de régulation (ARTCI) : formalités préalables, traitement de données de santé, transferts hors du pays.</w:t>
      </w:r>
    </w:p>
    <w:p>
      <w:pPr>
        <w:pStyle w:val="ListParagraph"/>
        <w:numPr>
          <w:ilvl w:val="0"/>
          <w:numId w:val="2"/>
        </w:numPr>
        <w:spacing w:after="60" w:line="270"/>
      </w:pPr>
      <w:r>
        <w:rPr>
          <w:rFonts w:ascii="Calibri" w:cs="Calibri" w:eastAsia="Calibri" w:hAnsi="Calibri"/>
          <w:sz w:val="21"/>
          <w:szCs w:val="21"/>
        </w:rPr>
        <w:t xml:space="preserve">Cadre régional de la CEDEAO sur la protection des données (acte additionnel de 2010, à confirmer).</w:t>
      </w:r>
    </w:p>
    <w:p>
      <w:pPr>
        <w:pStyle w:val="ListParagraph"/>
        <w:numPr>
          <w:ilvl w:val="0"/>
          <w:numId w:val="2"/>
        </w:numPr>
        <w:spacing w:after="60" w:line="270"/>
      </w:pPr>
      <w:r>
        <w:rPr>
          <w:rFonts w:ascii="Calibri" w:cs="Calibri" w:eastAsia="Calibri" w:hAnsi="Calibri"/>
          <w:sz w:val="21"/>
          <w:szCs w:val="21"/>
        </w:rPr>
        <w:t xml:space="preserve">Règles de déontologie et de secret professionnel applicables aux médecins ; exigences éventuelles sur l’hébergement et le partage de données de santé.</w:t>
      </w:r>
    </w:p>
    <w:p>
      <w:pPr>
        <w:pStyle w:val="ListParagraph"/>
        <w:numPr>
          <w:ilvl w:val="0"/>
          <w:numId w:val="2"/>
        </w:numPr>
        <w:spacing w:after="60" w:line="270"/>
      </w:pPr>
      <w:r>
        <w:rPr>
          <w:rFonts w:ascii="Calibri" w:cs="Calibri" w:eastAsia="Calibri" w:hAnsi="Calibri"/>
          <w:sz w:val="21"/>
          <w:szCs w:val="21"/>
        </w:rPr>
        <w:t xml:space="preserve">Textes sur les transactions électroniques, la preuve et la signature électronique (portée de l’attestation SVG).</w:t>
      </w:r>
    </w:p>
    <w:p>
      <w:pPr>
        <w:pStyle w:val="ListParagraph"/>
        <w:numPr>
          <w:ilvl w:val="0"/>
          <w:numId w:val="2"/>
        </w:numPr>
        <w:spacing w:after="60" w:line="270"/>
      </w:pPr>
      <w:r>
        <w:rPr>
          <w:rFonts w:ascii="Calibri" w:cs="Calibri" w:eastAsia="Calibri" w:hAnsi="Calibri"/>
          <w:sz w:val="21"/>
          <w:szCs w:val="21"/>
        </w:rPr>
        <w:t xml:space="preserve">Règles de cybersécurité et de notification d’incident ; durées de conservation des dossiers médicaux.</w:t>
      </w:r>
    </w:p>
    <w:p>
      <w:pPr>
        <w:pStyle w:val="Heading1"/>
        <w:keepNext/>
        <w:pBdr>
          <w:bottom w:val="single" w:color="3D7F87" w:sz="6" w:space="4"/>
        </w:pBdr>
        <w:spacing w:after="140" w:before="360"/>
      </w:pPr>
      <w:r>
        <w:rPr>
          <w:rFonts w:ascii="Calibri" w:cs="Calibri" w:eastAsia="Calibri" w:hAnsi="Calibri"/>
          <w:b/>
          <w:bCs/>
          <w:color w:val="2A4B5D"/>
          <w:sz w:val="30"/>
          <w:szCs w:val="30"/>
        </w:rPr>
        <w:t xml:space="preserve">11. Modalités de remise et sources</w:t>
      </w:r>
    </w:p>
    <w:p>
      <w:pPr>
        <w:spacing w:after="100" w:line="280"/>
      </w:pPr>
      <w:r>
        <w:rPr>
          <w:rFonts w:ascii="Calibri" w:cs="Calibri" w:eastAsia="Calibri" w:hAnsi="Calibri"/>
          <w:sz w:val="21"/>
          <w:szCs w:val="21"/>
        </w:rPr>
        <w:t xml:space="preserve">Remettre au juriste ce dossier </w:t>
      </w:r>
      <w:r>
        <w:rPr>
          <w:rFonts w:ascii="Calibri" w:cs="Calibri" w:eastAsia="Calibri" w:hAnsi="Calibri"/>
          <w:b/>
          <w:bCs/>
          <w:sz w:val="21"/>
          <w:szCs w:val="21"/>
        </w:rPr>
        <w:t xml:space="preserve">avec l’archive source</w:t>
      </w:r>
      <w:r>
        <w:rPr>
          <w:rFonts w:ascii="Calibri" w:cs="Calibri" w:eastAsia="Calibri" w:hAnsi="Calibri"/>
          <w:sz w:val="21"/>
          <w:szCs w:val="21"/>
        </w:rPr>
        <w:t xml:space="preserve"> et lui demander de marquer chaque extrait (conserver / modifier / retirer / déplacer / décision requise), de fournir les textes finaux et leurs conditions d’affichage et d’acceptation. Les propositions finales sont validées par l’équipe produit et technique avant publication.</w:t>
      </w:r>
    </w:p>
    <w:p>
      <w:pPr>
        <w:pStyle w:val="Heading3"/>
        <w:keepNext/>
        <w:spacing w:after="60" w:before="160"/>
      </w:pPr>
      <w:r>
        <w:rPr>
          <w:rFonts w:ascii="Calibri" w:cs="Calibri" w:eastAsia="Calibri" w:hAnsi="Calibri"/>
          <w:b/>
          <w:bCs/>
          <w:color w:val="2A4B5D"/>
          <w:sz w:val="22"/>
          <w:szCs w:val="22"/>
        </w:rPr>
        <w:t xml:space="preserve">Sources principales du dépôt</w:t>
      </w:r>
    </w:p>
    <w:p>
      <w:pPr>
        <w:pStyle w:val="ListParagraph"/>
        <w:numPr>
          <w:ilvl w:val="0"/>
          <w:numId w:val="2"/>
        </w:numPr>
        <w:spacing w:after="60" w:line="270"/>
      </w:pPr>
      <w:r>
        <w:rPr>
          <w:rFonts w:ascii="Consolas" w:cs="Consolas" w:eastAsia="Consolas" w:hAnsi="Consolas"/>
          <w:b w:val="false"/>
          <w:bCs w:val="false"/>
          <w:color w:val="2A4B5D"/>
          <w:sz w:val="21"/>
          <w:szCs w:val="21"/>
        </w:rPr>
        <w:t xml:space="preserve">apps/web/src/app/page.tsx</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a-propos</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faq</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securite</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v1</w:t>
      </w:r>
      <w:r>
        <w:rPr>
          <w:rFonts w:ascii="Calibri" w:cs="Calibri" w:eastAsia="Calibri" w:hAnsi="Calibri"/>
          <w:sz w:val="21"/>
          <w:szCs w:val="21"/>
        </w:rPr>
        <w:t xml:space="preserve"> — pages publiques et promesses.</w:t>
      </w:r>
    </w:p>
    <w:p>
      <w:pPr>
        <w:pStyle w:val="ListParagraph"/>
        <w:numPr>
          <w:ilvl w:val="0"/>
          <w:numId w:val="2"/>
        </w:numPr>
        <w:spacing w:after="60" w:line="270"/>
      </w:pPr>
      <w:r>
        <w:rPr>
          <w:rFonts w:ascii="Consolas" w:cs="Consolas" w:eastAsia="Consolas" w:hAnsi="Consolas"/>
          <w:b w:val="false"/>
          <w:bCs w:val="false"/>
          <w:color w:val="2A4B5D"/>
          <w:sz w:val="21"/>
          <w:szCs w:val="21"/>
        </w:rPr>
        <w:t xml:space="preserve">apps/web/src/components/public/PublicShell.tsx</w:t>
      </w:r>
      <w:r>
        <w:rPr>
          <w:rFonts w:ascii="Calibri" w:cs="Calibri" w:eastAsia="Calibri" w:hAnsi="Calibri"/>
          <w:sz w:val="21"/>
          <w:szCs w:val="21"/>
        </w:rPr>
        <w:t xml:space="preserve"> — navigation, pied de page, avertissement.</w:t>
      </w:r>
    </w:p>
    <w:p>
      <w:pPr>
        <w:pStyle w:val="ListParagraph"/>
        <w:numPr>
          <w:ilvl w:val="0"/>
          <w:numId w:val="2"/>
        </w:numPr>
        <w:spacing w:after="60" w:line="270"/>
      </w:pPr>
      <w:r>
        <w:rPr>
          <w:rFonts w:ascii="Consolas" w:cs="Consolas" w:eastAsia="Consolas" w:hAnsi="Consolas"/>
          <w:b w:val="false"/>
          <w:bCs w:val="false"/>
          <w:color w:val="2A4B5D"/>
          <w:sz w:val="21"/>
          <w:szCs w:val="21"/>
        </w:rPr>
        <w:t xml:space="preserve">apps/web/src/app/conditions-rattachement/page.tsx</w:t>
      </w:r>
      <w:r>
        <w:rPr>
          <w:rFonts w:ascii="Calibri" w:cs="Calibri" w:eastAsia="Calibri" w:hAnsi="Calibri"/>
          <w:sz w:val="21"/>
          <w:szCs w:val="21"/>
        </w:rPr>
        <w:t xml:space="preserve"> et </w:t>
      </w:r>
      <w:r>
        <w:rPr>
          <w:rFonts w:ascii="Consolas" w:cs="Consolas" w:eastAsia="Consolas" w:hAnsi="Consolas"/>
          <w:b w:val="false"/>
          <w:bCs w:val="false"/>
          <w:color w:val="2A4B5D"/>
          <w:sz w:val="21"/>
          <w:szCs w:val="21"/>
        </w:rPr>
        <w:t xml:space="preserve">ProfessionalAccess.tsx</w:t>
      </w:r>
      <w:r>
        <w:rPr>
          <w:rFonts w:ascii="Calibri" w:cs="Calibri" w:eastAsia="Calibri" w:hAnsi="Calibri"/>
          <w:sz w:val="21"/>
          <w:szCs w:val="21"/>
        </w:rPr>
        <w:t xml:space="preserve"> — texte versionné et acceptation.</w:t>
      </w:r>
    </w:p>
    <w:p>
      <w:pPr>
        <w:pStyle w:val="ListParagraph"/>
        <w:numPr>
          <w:ilvl w:val="0"/>
          <w:numId w:val="2"/>
        </w:numPr>
        <w:spacing w:after="60" w:line="270"/>
      </w:pPr>
      <w:r>
        <w:rPr>
          <w:rFonts w:ascii="Consolas" w:cs="Consolas" w:eastAsia="Consolas" w:hAnsi="Consolas"/>
          <w:b w:val="false"/>
          <w:bCs w:val="false"/>
          <w:color w:val="2A4B5D"/>
          <w:sz w:val="21"/>
          <w:szCs w:val="21"/>
        </w:rPr>
        <w:t xml:space="preserve">PatientAccessGrants.tsx</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ProfessionalAccessFlow.tsx</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ProfessionalAccessGrants.tsx</w:t>
      </w:r>
      <w:r>
        <w:rPr>
          <w:rFonts w:ascii="Calibri" w:cs="Calibri" w:eastAsia="Calibri" w:hAnsi="Calibri"/>
          <w:sz w:val="21"/>
          <w:szCs w:val="21"/>
        </w:rPr>
        <w:t xml:space="preserve"> — consentement, QR, accès.</w:t>
      </w:r>
    </w:p>
    <w:p>
      <w:pPr>
        <w:pStyle w:val="ListParagraph"/>
        <w:numPr>
          <w:ilvl w:val="0"/>
          <w:numId w:val="2"/>
        </w:numPr>
        <w:spacing w:after="60" w:line="270"/>
      </w:pPr>
      <w:r>
        <w:rPr>
          <w:rFonts w:ascii="Consolas" w:cs="Consolas" w:eastAsia="Consolas" w:hAnsi="Consolas"/>
          <w:b w:val="false"/>
          <w:bCs w:val="false"/>
          <w:color w:val="2A4B5D"/>
          <w:sz w:val="21"/>
          <w:szCs w:val="21"/>
        </w:rPr>
        <w:t xml:space="preserve">PatientCarnet.tsx</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PatientPreconsultations.tsx</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ProfessionalConsultations.tsx</w:t>
      </w:r>
      <w:r>
        <w:rPr>
          <w:rFonts w:ascii="Calibri" w:cs="Calibri" w:eastAsia="Calibri" w:hAnsi="Calibri"/>
          <w:sz w:val="21"/>
          <w:szCs w:val="21"/>
        </w:rPr>
        <w:t xml:space="preserve"> — données et textes cliniques.</w:t>
      </w:r>
    </w:p>
    <w:p>
      <w:pPr>
        <w:pStyle w:val="ListParagraph"/>
        <w:numPr>
          <w:ilvl w:val="0"/>
          <w:numId w:val="2"/>
        </w:numPr>
        <w:spacing w:after="60" w:line="270"/>
      </w:pPr>
      <w:r>
        <w:rPr>
          <w:rFonts w:ascii="Consolas" w:cs="Consolas" w:eastAsia="Consolas" w:hAnsi="Consolas"/>
          <w:b w:val="false"/>
          <w:bCs w:val="false"/>
          <w:color w:val="2A4B5D"/>
          <w:sz w:val="21"/>
          <w:szCs w:val="21"/>
        </w:rPr>
        <w:t xml:space="preserve">EstablishmentWorkspace.tsx</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EstablishmentConsole.tsx</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EstablishmentAdminWorkspace.tsx</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StaffProfessionalVerification.tsx</w:t>
      </w:r>
      <w:r>
        <w:rPr>
          <w:rFonts w:ascii="Calibri" w:cs="Calibri" w:eastAsia="Calibri" w:hAnsi="Calibri"/>
          <w:sz w:val="21"/>
          <w:szCs w:val="21"/>
        </w:rPr>
        <w:t xml:space="preserve"> — obligations côté établissement.</w:t>
      </w:r>
    </w:p>
    <w:p>
      <w:pPr>
        <w:pStyle w:val="ListParagraph"/>
        <w:numPr>
          <w:ilvl w:val="0"/>
          <w:numId w:val="2"/>
        </w:numPr>
        <w:spacing w:after="60" w:line="270"/>
      </w:pPr>
      <w:r>
        <w:rPr>
          <w:rFonts w:ascii="Consolas" w:cs="Consolas" w:eastAsia="Consolas" w:hAnsi="Consolas"/>
          <w:b w:val="false"/>
          <w:bCs w:val="false"/>
          <w:color w:val="2A4B5D"/>
          <w:sz w:val="21"/>
          <w:szCs w:val="21"/>
        </w:rPr>
        <w:t xml:space="preserve">apps/api/apps/*/models.py</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config/settings.py</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render.yaml</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docs/prod.md</w:t>
      </w:r>
      <w:r>
        <w:rPr>
          <w:rFonts w:ascii="Calibri" w:cs="Calibri" w:eastAsia="Calibri" w:hAnsi="Calibri"/>
          <w:sz w:val="21"/>
          <w:szCs w:val="21"/>
        </w:rPr>
        <w:t xml:space="preserve"> — données, configuration, hébergement.</w:t>
      </w:r>
    </w:p>
    <w:p>
      <w:pPr>
        <w:pStyle w:val="ListParagraph"/>
        <w:numPr>
          <w:ilvl w:val="0"/>
          <w:numId w:val="2"/>
        </w:numPr>
        <w:spacing w:after="60" w:line="270"/>
      </w:pPr>
      <w:r>
        <w:rPr>
          <w:rFonts w:ascii="Consolas" w:cs="Consolas" w:eastAsia="Consolas" w:hAnsi="Consolas"/>
          <w:b w:val="false"/>
          <w:bCs w:val="false"/>
          <w:color w:val="2A4B5D"/>
          <w:sz w:val="21"/>
          <w:szCs w:val="21"/>
        </w:rPr>
        <w:t xml:space="preserve">docs/CONDITIONS-RATTACHEMENT-MEDECIN.md</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QUESTIONNAIRE-DECISIONS-A1-A16.md</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SECURITY.md</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FLOW-ETABLISSEMENT.md</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ETAT-REEL-V1.md</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RECETTE-V1.md</w:t>
      </w:r>
      <w:r>
        <w:rPr>
          <w:rFonts w:ascii="Calibri" w:cs="Calibri" w:eastAsia="Calibri" w:hAnsi="Calibri"/>
          <w:sz w:val="21"/>
          <w:szCs w:val="21"/>
        </w:rPr>
        <w:t xml:space="preserve">, </w:t>
      </w:r>
      <w:r>
        <w:rPr>
          <w:rFonts w:ascii="Consolas" w:cs="Consolas" w:eastAsia="Consolas" w:hAnsi="Consolas"/>
          <w:b w:val="false"/>
          <w:bCs w:val="false"/>
          <w:color w:val="2A4B5D"/>
          <w:sz w:val="21"/>
          <w:szCs w:val="21"/>
        </w:rPr>
        <w:t xml:space="preserve">GO-NO-GO-2026-10-05.md</w:t>
      </w:r>
      <w:r>
        <w:rPr>
          <w:rFonts w:ascii="Calibri" w:cs="Calibri" w:eastAsia="Calibri" w:hAnsi="Calibri"/>
          <w:sz w:val="21"/>
          <w:szCs w:val="21"/>
        </w:rPr>
        <w:t xml:space="preserve"> — textes de référence et décisions ouvertes.</w:t>
      </w:r>
    </w:p>
    <w:sectPr>
      <w:headerReference w:type="default" r:id="rId7"/>
      <w:footerReference w:type="default" r:id="rId8"/>
      <w:pgSz w:w="11906" w:h="16838" w:orient="portrait"/>
      <w:pgMar w:top="125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C93"/>
        <w:sz w:val="16"/>
        <w:szCs w:val="16"/>
      </w:rPr>
      <w:t xml:space="preserve">Dossier de revue juridique — page </w:t>
    </w:r>
    <w:r>
      <w:rPr>
        <w:rFonts w:ascii="Calibri" w:cs="Calibri" w:eastAsia="Calibri" w:hAnsi="Calibri"/>
        <w:color w:val="7A8C93"/>
        <w:sz w:val="16"/>
        <w:szCs w:val="16"/>
      </w:rPr>
      <w:fldChar w:fldCharType="begin"/>
      <w:instrText xml:space="preserve">PAGE</w:instrText>
      <w:fldChar w:fldCharType="separate"/>
      <w:fldChar w:fldCharType="end"/>
    </w:r>
    <w:r>
      <w:rPr>
        <w:rFonts w:ascii="Calibri" w:cs="Calibri" w:eastAsia="Calibri" w:hAnsi="Calibri"/>
        <w:color w:val="7A8C93"/>
        <w:sz w:val="16"/>
        <w:szCs w:val="16"/>
      </w:rPr>
      <w:t xml:space="preserve"> / </w:t>
    </w:r>
    <w:r>
      <w:rPr>
        <w:rFonts w:ascii="Calibri" w:cs="Calibri" w:eastAsia="Calibri" w:hAnsi="Calibri"/>
        <w:color w:val="7A8C9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8C93"/>
        <w:sz w:val="16"/>
        <w:szCs w:val="16"/>
      </w:rPr>
      <w:t xml:space="preserve">Mon Carnet Numérique — confidentiel — document de travail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2A4B5D"/>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3D7F87"/>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2A4B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revue juridique</dc:title>
  <dc:creator>Mon Carnet Numérique</dc:creator>
  <cp:lastModifiedBy>Un-named</cp:lastModifiedBy>
  <cp:revision>1</cp:revision>
  <dcterms:created xsi:type="dcterms:W3CDTF">2026-10-09T08:56:56.039Z</dcterms:created>
  <dcterms:modified xsi:type="dcterms:W3CDTF">2026-10-09T08:56:56.039Z</dcterms:modified>
</cp:coreProperties>
</file>

<file path=docProps/custom.xml><?xml version="1.0" encoding="utf-8"?>
<Properties xmlns="http://schemas.openxmlformats.org/officeDocument/2006/custom-properties" xmlns:vt="http://schemas.openxmlformats.org/officeDocument/2006/docPropsVTypes"/>
</file>