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pPr>
      <w:r>
        <w:rPr>
          <w:b/>
          <w:bCs/>
          <w:color w:val="5F6B63"/>
          <w:spacing w:val="40"/>
          <w:sz w:val="20"/>
          <w:szCs w:val="20"/>
        </w:rPr>
        <w:t xml:space="preserve">CAHIER DES CHARGES  •  PRODUIT  •  FONCTIONNEL  •  TECHNIQUE</w:t>
      </w:r>
    </w:p>
    <w:p>
      <w:pPr>
        <w:spacing w:after="120"/>
      </w:pPr>
      <w:r>
        <w:rPr>
          <w:b/>
          <w:bCs/>
          <w:color w:val="2F4A3A"/>
          <w:sz w:val="80"/>
          <w:szCs w:val="80"/>
        </w:rPr>
        <w:t xml:space="preserve">MON CARNET</w:t>
      </w:r>
    </w:p>
    <w:p>
      <w:pPr>
        <w:pBdr>
          <w:bottom w:val="single" w:color="3E5C4A" w:sz="18" w:space="12"/>
        </w:pBdr>
        <w:spacing w:after="240"/>
      </w:pPr>
      <w:r>
        <w:rPr>
          <w:b/>
          <w:bCs/>
          <w:color w:val="3E5C4A"/>
          <w:sz w:val="80"/>
          <w:szCs w:val="80"/>
        </w:rPr>
        <w:t xml:space="preserve">NUMÉRIQUE</w:t>
      </w:r>
    </w:p>
    <w:p>
      <w:pPr>
        <w:spacing w:after="80" w:before="200"/>
      </w:pPr>
      <w:r>
        <w:rPr>
          <w:b/>
          <w:bCs/>
          <w:color w:val="2F4A3A"/>
          <w:sz w:val="36"/>
          <w:szCs w:val="36"/>
        </w:rPr>
        <w:t xml:space="preserve">V8 — refonte consolidée</w:t>
      </w:r>
    </w:p>
    <w:p>
      <w:pPr>
        <w:spacing w:after="400"/>
      </w:pPr>
      <w:r>
        <w:rPr>
          <w:color w:val="5F6B63"/>
          <w:sz w:val="28"/>
          <w:szCs w:val="28"/>
        </w:rPr>
        <w:t xml:space="preserve">03 octobre 2026</w:t>
      </w:r>
    </w:p>
    <w:p>
      <w:pPr>
        <w:spacing w:after="120"/>
      </w:pPr>
      <w:r>
        <w:rPr>
          <w:color w:val="2F4A3A"/>
          <w:sz w:val="22"/>
          <w:szCs w:val="22"/>
        </w:rPr>
        <w:t xml:space="preserve">Web / PWA  •  V1 / V2 / V3  •  Architecture  •  Sécurité  •  Modèle économique</w:t>
      </w:r>
    </w:p>
    <w:p>
      <w:pPr>
        <w:spacing w:after="600"/>
      </w:pPr>
      <w:r>
        <w:rPr>
          <w:color w:val="5F6B63"/>
          <w:sz w:val="22"/>
          <w:szCs w:val="22"/>
        </w:rPr>
        <w:t xml:space="preserve">Nom de code technique : E-CARNE</w:t>
      </w:r>
    </w:p>
    <w:p>
      <w:pPr>
        <w:spacing w:after="0" w:line="276"/>
      </w:pPr>
      <w:r>
        <w:rPr>
          <w:i/>
          <w:iCs/>
          <w:color w:val="5F6B63"/>
          <w:sz w:val="21"/>
          <w:szCs w:val="21"/>
        </w:rPr>
        <w:t xml:space="preserve">Document de référence pour le fondateur, l'UI / UX, le développement, le médecin référent, le branding, l'exploitation et le conseil juridique. Les décisions du fondateur priment sur toute formulation antérieure.</w:t>
      </w:r>
    </w:p>
    <w:p>
      <w:pPr>
        <w:pStyle w:val="Heading1"/>
        <w:pageBreakBefore/>
      </w:pPr>
      <w:r>
        <w:t xml:space="preserve">Fiche du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Référence</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Mon Carnet Numérique — Cahier des charges V8</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Date</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03/10/2026</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Remplace</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V7 consolidée du 02/10/2026 (révision infirmier)</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Statut</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Document de référence pour le cadrage, l'UX / UI, le développement, le pilote et la validation métier</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Périmètre</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Web / PWA ; V1 détaillée, V2 et V3 cadrées</w:t>
            </w:r>
          </w:p>
        </w:tc>
      </w:tr>
    </w:tbl>
    <w:p>
      <w:pPr>
        <w:spacing w:after="120"/>
      </w:pPr>
    </w:p>
    <w:p>
      <w:pPr>
        <w:pStyle w:val="Heading2"/>
      </w:pPr>
      <w:r>
        <w:t xml:space="preserve">Ce qui change entre la V7 et la V8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Sujet</w:t>
            </w:r>
          </w:p>
        </w:tc>
        <w:tc>
          <w:tcPr>
            <w:tcW w:type="dxa" w:w="72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Changement</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Budget (section 20)</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Chiffré directement en FCFA, avec tarifs 2026 relevés, scénarios et coûts hors enveloppe. Vercel Pro, staging et OTP ajoutés ; Redis retiré du budget de départ.</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Décisions</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Le tableau « Décisions verrouillées » (ancienne section 27) est supprimé : chaque décision figure dans la section qu'elle concerne.</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Points ouverts</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Les points de l'ancienne section 28 sont signalés dans leur section ; l'annexe A en donne l'index.</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Architecture (section 14)</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Réécrite : Django / DRF sur Render à la place de NestJS / Prisma ; base en région UE puis bascule ivoirienne ; sessions serveur sans JWT ; MFA TOTP obligatoire ; modules, environnements, Go / No-Go.</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MFA (section 4.3)</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Passe de « recommandé » à obligatoire pour les comptes professionnels et les administrateurs lisant des dossiers.</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Incohérences corrigées</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Le médecin a bien un compte en V1 (la V7 le niait en 16.1 et 27 tout en le décrivant en 7). L'infirmier n'a ni compte, ni écran, ni rattachement : sections 8, 16 et 21 alignées. Numérotation des listes et titres mal placés corrigés.</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Nouveautés</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Matrice rôles / permissions, exigences non fonctionnelles, critères d'acceptation numérotés et reliés aux invariants, risques, routes et SEO des pages publiques, glossaire.</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Roadmap (section 24)</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Le pilote tourne sur données fictives en UE ; l'usage réel commence après le Go / No-Go et la bascule ivoirienne.</w:t>
            </w:r>
          </w:p>
        </w:tc>
      </w:tr>
    </w:tbl>
    <w:p>
      <w:pPr>
        <w:spacing w:after="120"/>
      </w:pPr>
    </w:p>
    <w:p>
      <w:pPr>
        <w:pStyle w:val="Heading2"/>
      </w:pPr>
      <w:r>
        <w:t xml:space="preserve">Comment lire ce document</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sz w:val="20"/>
          <w:szCs w:val="20"/>
        </w:rPr>
        <w:t xml:space="preserve">Décision tranchée par le fondateur, avec sa date. Elle ne se rediscute pas sans changement de version.</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sz w:val="20"/>
          <w:szCs w:val="20"/>
        </w:rPr>
        <w:t xml:space="preserve">Point ouvert. Il ne doit pas être inventé dans le code ni dans le devis ; il est repris dans l'annexe A.</w:t>
      </w:r>
    </w:p>
    <w:p>
      <w:pPr>
        <w:keepNext/>
        <w:pBdr>
          <w:left w:val="single" w:color="3B6EA5" w:sz="24" w:space="8"/>
        </w:pBdr>
        <w:shd w:fill="E8F0F8" w:color="auto" w:val="clear"/>
        <w:spacing w:after="0" w:before="140"/>
        <w:ind w:left="200" w:right="100"/>
      </w:pPr>
      <w:r>
        <w:rPr>
          <w:b/>
          <w:bCs/>
          <w:color w:val="3B6EA5"/>
          <w:sz w:val="17"/>
          <w:szCs w:val="17"/>
        </w:rPr>
        <w:t xml:space="preserve">PROPOSITION DE TRAVAIL</w:t>
      </w:r>
    </w:p>
    <w:p>
      <w:pPr>
        <w:keepNext w:val="false"/>
        <w:pBdr>
          <w:left w:val="single" w:color="3B6EA5" w:sz="24" w:space="8"/>
        </w:pBdr>
        <w:shd w:fill="E8F0F8" w:color="auto" w:val="clear"/>
        <w:spacing w:after="180" w:before="40" w:line="264"/>
        <w:ind w:left="200" w:right="100"/>
      </w:pPr>
      <w:r>
        <w:rPr>
          <w:sz w:val="20"/>
          <w:szCs w:val="20"/>
        </w:rPr>
        <w:t xml:space="preserve">Hypothèse de cadrage proposée par ce document pour combler un manque. À confirmer ou à écarter.</w:t>
      </w:r>
    </w:p>
    <w:p>
      <w:pPr>
        <w:pStyle w:val="Heading1"/>
        <w:pageBreakBefore/>
      </w:pPr>
      <w:r>
        <w:t xml:space="preserve">Sommaire</w:t>
      </w:r>
    </w:p>
    <w:p>
      <w:pPr>
        <w:spacing w:after="50"/>
      </w:pPr>
      <w:hyperlink w:history="1" w:anchor="sec1">
        <w:r>
          <w:rPr>
            <w:color w:val="2F4A3A"/>
            <w:sz w:val="21"/>
            <w:szCs w:val="21"/>
          </w:rPr>
          <w:t xml:space="preserve">1. Résumé exécutif</w:t>
        </w:r>
      </w:hyperlink>
    </w:p>
    <w:p>
      <w:pPr>
        <w:spacing w:after="50"/>
      </w:pPr>
      <w:hyperlink w:history="1" w:anchor="sec2">
        <w:r>
          <w:rPr>
            <w:color w:val="2F4A3A"/>
            <w:sz w:val="21"/>
            <w:szCs w:val="21"/>
          </w:rPr>
          <w:t xml:space="preserve">2. Problème à résoudre</w:t>
        </w:r>
      </w:hyperlink>
    </w:p>
    <w:p>
      <w:pPr>
        <w:spacing w:after="50"/>
      </w:pPr>
      <w:hyperlink w:history="1" w:anchor="sec3">
        <w:r>
          <w:rPr>
            <w:color w:val="2F4A3A"/>
            <w:sz w:val="21"/>
            <w:szCs w:val="21"/>
          </w:rPr>
          <w:t xml:space="preserve">3. Solution proposée</w:t>
        </w:r>
      </w:hyperlink>
    </w:p>
    <w:p>
      <w:pPr>
        <w:spacing w:after="50"/>
      </w:pPr>
      <w:hyperlink w:history="1" w:anchor="sec4">
        <w:r>
          <w:rPr>
            <w:color w:val="2F4A3A"/>
            <w:sz w:val="21"/>
            <w:szCs w:val="21"/>
          </w:rPr>
          <w:t xml:space="preserve">4. Modèle utilisateurs et comptes</w:t>
        </w:r>
      </w:hyperlink>
    </w:p>
    <w:p>
      <w:pPr>
        <w:spacing w:after="50"/>
      </w:pPr>
      <w:hyperlink w:history="1" w:anchor="sec5">
        <w:r>
          <w:rPr>
            <w:color w:val="2F4A3A"/>
            <w:sz w:val="21"/>
            <w:szCs w:val="21"/>
          </w:rPr>
          <w:t xml:space="preserve">5. Parcours patient</w:t>
        </w:r>
      </w:hyperlink>
    </w:p>
    <w:p>
      <w:pPr>
        <w:spacing w:after="50"/>
      </w:pPr>
      <w:hyperlink w:history="1" w:anchor="sec6">
        <w:r>
          <w:rPr>
            <w:color w:val="2F4A3A"/>
            <w:sz w:val="21"/>
            <w:szCs w:val="21"/>
          </w:rPr>
          <w:t xml:space="preserve">6. Création et administration d'un établissement</w:t>
        </w:r>
      </w:hyperlink>
    </w:p>
    <w:p>
      <w:pPr>
        <w:spacing w:after="50"/>
      </w:pPr>
      <w:hyperlink w:history="1" w:anchor="sec7">
        <w:r>
          <w:rPr>
            <w:color w:val="2F4A3A"/>
            <w:sz w:val="21"/>
            <w:szCs w:val="21"/>
          </w:rPr>
          <w:t xml:space="preserve">7. Rattachement médecin / établissement</w:t>
        </w:r>
      </w:hyperlink>
    </w:p>
    <w:p>
      <w:pPr>
        <w:spacing w:after="50"/>
      </w:pPr>
      <w:hyperlink w:history="1" w:anchor="sec8">
        <w:r>
          <w:rPr>
            <w:color w:val="2F4A3A"/>
            <w:sz w:val="21"/>
            <w:szCs w:val="21"/>
          </w:rPr>
          <w:t xml:space="preserve">8. Pré-consultation et rôle de l'infirmier</w:t>
        </w:r>
      </w:hyperlink>
    </w:p>
    <w:p>
      <w:pPr>
        <w:spacing w:after="50"/>
      </w:pPr>
      <w:hyperlink w:history="1" w:anchor="sec9">
        <w:r>
          <w:rPr>
            <w:color w:val="2F4A3A"/>
            <w:sz w:val="21"/>
            <w:szCs w:val="21"/>
          </w:rPr>
          <w:t xml:space="preserve">9. Accès médecin et AccessGrant</w:t>
        </w:r>
      </w:hyperlink>
    </w:p>
    <w:p>
      <w:pPr>
        <w:spacing w:after="50"/>
      </w:pPr>
      <w:hyperlink w:history="1" w:anchor="sec10">
        <w:r>
          <w:rPr>
            <w:color w:val="2F4A3A"/>
            <w:sz w:val="21"/>
            <w:szCs w:val="21"/>
          </w:rPr>
          <w:t xml:space="preserve">10. Consultation médicale</w:t>
        </w:r>
      </w:hyperlink>
    </w:p>
    <w:p>
      <w:pPr>
        <w:spacing w:after="50"/>
      </w:pPr>
      <w:hyperlink w:history="1" w:anchor="sec11">
        <w:r>
          <w:rPr>
            <w:color w:val="2F4A3A"/>
            <w:sz w:val="21"/>
            <w:szCs w:val="21"/>
          </w:rPr>
          <w:t xml:space="preserve">11. Antécédents, provenance et signature</w:t>
        </w:r>
      </w:hyperlink>
    </w:p>
    <w:p>
      <w:pPr>
        <w:spacing w:after="50"/>
      </w:pPr>
      <w:hyperlink w:history="1" w:anchor="sec12">
        <w:r>
          <w:rPr>
            <w:color w:val="2F4A3A"/>
            <w:sz w:val="21"/>
            <w:szCs w:val="21"/>
          </w:rPr>
          <w:t xml:space="preserve">12. Documents, historique et continuité</w:t>
        </w:r>
      </w:hyperlink>
    </w:p>
    <w:p>
      <w:pPr>
        <w:spacing w:after="50"/>
      </w:pPr>
      <w:hyperlink w:history="1" w:anchor="sec13">
        <w:r>
          <w:rPr>
            <w:color w:val="2F4A3A"/>
            <w:sz w:val="21"/>
            <w:szCs w:val="21"/>
          </w:rPr>
          <w:t xml:space="preserve">13. Isolation et sécurité</w:t>
        </w:r>
      </w:hyperlink>
    </w:p>
    <w:p>
      <w:pPr>
        <w:spacing w:after="50"/>
      </w:pPr>
      <w:hyperlink w:history="1" w:anchor="sec14">
        <w:r>
          <w:rPr>
            <w:color w:val="2F4A3A"/>
            <w:sz w:val="21"/>
            <w:szCs w:val="21"/>
          </w:rPr>
          <w:t xml:space="preserve">14. Architecture technique</w:t>
        </w:r>
      </w:hyperlink>
    </w:p>
    <w:p>
      <w:pPr>
        <w:spacing w:after="50"/>
      </w:pPr>
      <w:hyperlink w:history="1" w:anchor="sec15">
        <w:r>
          <w:rPr>
            <w:color w:val="2F4A3A"/>
            <w:sz w:val="21"/>
            <w:szCs w:val="21"/>
          </w:rPr>
          <w:t xml:space="preserve">15. Modèle de données fonctionnel</w:t>
        </w:r>
      </w:hyperlink>
    </w:p>
    <w:p>
      <w:pPr>
        <w:spacing w:after="50"/>
      </w:pPr>
      <w:hyperlink w:history="1" w:anchor="sec16">
        <w:r>
          <w:rPr>
            <w:color w:val="2F4A3A"/>
            <w:sz w:val="21"/>
            <w:szCs w:val="21"/>
          </w:rPr>
          <w:t xml:space="preserve">16. Périmètre V1</w:t>
        </w:r>
      </w:hyperlink>
    </w:p>
    <w:p>
      <w:pPr>
        <w:spacing w:after="50"/>
      </w:pPr>
      <w:hyperlink w:history="1" w:anchor="sec17">
        <w:r>
          <w:rPr>
            <w:color w:val="2F4A3A"/>
            <w:sz w:val="21"/>
            <w:szCs w:val="21"/>
          </w:rPr>
          <w:t xml:space="preserve">17. V2 — consolidation</w:t>
        </w:r>
      </w:hyperlink>
    </w:p>
    <w:p>
      <w:pPr>
        <w:spacing w:after="50"/>
      </w:pPr>
      <w:hyperlink w:history="1" w:anchor="sec18">
        <w:r>
          <w:rPr>
            <w:color w:val="2F4A3A"/>
            <w:sz w:val="21"/>
            <w:szCs w:val="21"/>
          </w:rPr>
          <w:t xml:space="preserve">18. V3 — inter-établissements et réseau</w:t>
        </w:r>
      </w:hyperlink>
    </w:p>
    <w:p>
      <w:pPr>
        <w:spacing w:after="50"/>
      </w:pPr>
      <w:hyperlink w:history="1" w:anchor="sec19">
        <w:r>
          <w:rPr>
            <w:color w:val="2F4A3A"/>
            <w:sz w:val="21"/>
            <w:szCs w:val="21"/>
          </w:rPr>
          <w:t xml:space="preserve">19. Modèle économique</w:t>
        </w:r>
      </w:hyperlink>
    </w:p>
    <w:p>
      <w:pPr>
        <w:spacing w:after="50"/>
      </w:pPr>
      <w:hyperlink w:history="1" w:anchor="sec20">
        <w:r>
          <w:rPr>
            <w:color w:val="2F4A3A"/>
            <w:sz w:val="21"/>
            <w:szCs w:val="21"/>
          </w:rPr>
          <w:t xml:space="preserve">20. Budget technique et exploitation</w:t>
        </w:r>
      </w:hyperlink>
    </w:p>
    <w:p>
      <w:pPr>
        <w:spacing w:after="50"/>
      </w:pPr>
      <w:hyperlink w:history="1" w:anchor="sec21">
        <w:r>
          <w:rPr>
            <w:color w:val="2F4A3A"/>
            <w:sz w:val="21"/>
            <w:szCs w:val="21"/>
          </w:rPr>
          <w:t xml:space="preserve">21. UX / UI, branding et pages publiques</w:t>
        </w:r>
      </w:hyperlink>
    </w:p>
    <w:p>
      <w:pPr>
        <w:spacing w:after="50"/>
      </w:pPr>
      <w:hyperlink w:history="1" w:anchor="sec22">
        <w:r>
          <w:rPr>
            <w:color w:val="2F4A3A"/>
            <w:sz w:val="21"/>
            <w:szCs w:val="21"/>
          </w:rPr>
          <w:t xml:space="preserve">22. Protection des données et conformité</w:t>
        </w:r>
      </w:hyperlink>
    </w:p>
    <w:p>
      <w:pPr>
        <w:spacing w:after="50"/>
      </w:pPr>
      <w:hyperlink w:history="1" w:anchor="sec23">
        <w:r>
          <w:rPr>
            <w:color w:val="2F4A3A"/>
            <w:sz w:val="21"/>
            <w:szCs w:val="21"/>
          </w:rPr>
          <w:t xml:space="preserve">23. Tests et recette</w:t>
        </w:r>
      </w:hyperlink>
    </w:p>
    <w:p>
      <w:pPr>
        <w:spacing w:after="50"/>
      </w:pPr>
      <w:hyperlink w:history="1" w:anchor="sec24">
        <w:r>
          <w:rPr>
            <w:color w:val="2F4A3A"/>
            <w:sz w:val="21"/>
            <w:szCs w:val="21"/>
          </w:rPr>
          <w:t xml:space="preserve">24. Roadmap de livraison</w:t>
        </w:r>
      </w:hyperlink>
    </w:p>
    <w:p>
      <w:pPr>
        <w:spacing w:after="50"/>
      </w:pPr>
      <w:hyperlink w:history="1" w:anchor="sec25">
        <w:r>
          <w:rPr>
            <w:color w:val="2F4A3A"/>
            <w:sz w:val="21"/>
            <w:szCs w:val="21"/>
          </w:rPr>
          <w:t xml:space="preserve">25. Livrables par rôle</w:t>
        </w:r>
      </w:hyperlink>
    </w:p>
    <w:p>
      <w:pPr>
        <w:spacing w:after="50"/>
      </w:pPr>
      <w:hyperlink w:history="1" w:anchor="sec26">
        <w:r>
          <w:rPr>
            <w:color w:val="2F4A3A"/>
            <w:sz w:val="21"/>
            <w:szCs w:val="21"/>
          </w:rPr>
          <w:t xml:space="preserve">26. Critères d'acceptation V1</w:t>
        </w:r>
      </w:hyperlink>
    </w:p>
    <w:p>
      <w:pPr>
        <w:spacing w:after="50"/>
      </w:pPr>
      <w:hyperlink w:history="1" w:anchor="sec27">
        <w:r>
          <w:rPr>
            <w:color w:val="2F4A3A"/>
            <w:sz w:val="21"/>
            <w:szCs w:val="21"/>
          </w:rPr>
          <w:t xml:space="preserve">27. Principe final du produit</w:t>
        </w:r>
      </w:hyperlink>
    </w:p>
    <w:p>
      <w:pPr>
        <w:spacing w:after="50"/>
      </w:pPr>
      <w:hyperlink w:history="1" w:anchor="secx1">
        <w:r>
          <w:rPr>
            <w:color w:val="2F4A3A"/>
            <w:sz w:val="21"/>
            <w:szCs w:val="21"/>
          </w:rPr>
          <w:t xml:space="preserve">Annexe A — Index des points à valider</w:t>
        </w:r>
      </w:hyperlink>
    </w:p>
    <w:p>
      <w:pPr>
        <w:spacing w:after="50"/>
      </w:pPr>
      <w:hyperlink w:history="1" w:anchor="secx2">
        <w:r>
          <w:rPr>
            <w:color w:val="2F4A3A"/>
            <w:sz w:val="21"/>
            <w:szCs w:val="21"/>
          </w:rPr>
          <w:t xml:space="preserve">Annexe B — Glossaire</w:t>
        </w:r>
      </w:hyperlink>
    </w:p>
    <w:p>
      <w:pPr>
        <w:pStyle w:val="Heading1"/>
        <w:pageBreakBefore/>
      </w:pPr>
      <w:bookmarkStart w:name="sec1" w:id="1"/>
      <w:r>
        <w:t xml:space="preserve">1. Résumé exécutif</w:t>
      </w:r>
      <w:bookmarkEnd w:id="1"/>
    </w:p>
    <w:p>
      <w:pPr>
        <w:spacing w:after="120" w:line="276"/>
      </w:pPr>
      <w:r>
        <w:t xml:space="preserve">Mon Carnet Numérique est une plateforme de carnet médical personnel </w:t>
      </w:r>
      <w:r>
        <w:rPr>
          <w:b/>
          <w:bCs/>
        </w:rPr>
        <w:t xml:space="preserve">centrée sur le patient</w:t>
      </w:r>
      <w:r>
        <w:t xml:space="preserve">. Elle est lancée sous la forme d'une </w:t>
      </w:r>
      <w:r>
        <w:rPr>
          <w:b/>
          <w:bCs/>
        </w:rPr>
        <w:t xml:space="preserve">application web responsive / PWA</w:t>
      </w:r>
      <w:r>
        <w:t xml:space="preserve"> unique, avec plusieurs contextes d'utilisation : Patient, Médecin / Professionnel et Établissement. Un même compte peut porter plusieurs contextes : un médecin peut aussi disposer d'un carnet personnel comme patient.</w:t>
      </w:r>
    </w:p>
    <w:p>
      <w:pPr>
        <w:spacing w:after="120" w:line="276"/>
      </w:pPr>
      <w:r>
        <w:rPr>
          <w:b/>
          <w:bCs/>
        </w:rPr>
        <w:t xml:space="preserve">Principe central.</w:t>
      </w:r>
      <w:r>
        <w:t xml:space="preserve"> Le patient reste titulaire de son carnet et contrôle l'accès à ses données ; l'établissement encadre les professionnels qui le traitent ; la pré-consultation prépare la prise en charge ; le médecin complète la consultation après autorisation du patient ; chaque action sensible est autorisée, contextualisée et tracée.</w:t>
      </w:r>
    </w:p>
    <w:p>
      <w:pPr>
        <w:pStyle w:val="Heading3"/>
      </w:pPr>
      <w:r>
        <w:t xml:space="preserve">Les dix choix qui structurent la V1</w:t>
      </w:r>
    </w:p>
    <w:p>
      <w:pPr>
        <w:pStyle w:val="ListParagraph"/>
        <w:numPr>
          <w:ilvl w:val="0"/>
          <w:numId w:val="2"/>
        </w:numPr>
        <w:spacing w:after="60" w:line="264"/>
      </w:pPr>
      <w:r>
        <w:rPr>
          <w:b/>
          <w:bCs/>
        </w:rPr>
        <w:t xml:space="preserve">Une seule application</w:t>
      </w:r>
      <w:r>
        <w:t xml:space="preserve"> web / PWA, trois espaces : Patient, Professionnel, Établissement.</w:t>
      </w:r>
    </w:p>
    <w:p>
      <w:pPr>
        <w:pStyle w:val="ListParagraph"/>
        <w:numPr>
          <w:ilvl w:val="0"/>
          <w:numId w:val="2"/>
        </w:numPr>
        <w:spacing w:after="60" w:line="264"/>
      </w:pPr>
      <w:r>
        <w:rPr>
          <w:b/>
          <w:bCs/>
        </w:rPr>
        <w:t xml:space="preserve">Compte unique</w:t>
      </w:r>
      <w:r>
        <w:t xml:space="preserve"> par personne, plusieurs méthodes de connexion sans doublon.</w:t>
      </w:r>
    </w:p>
    <w:p>
      <w:pPr>
        <w:pStyle w:val="ListParagraph"/>
        <w:numPr>
          <w:ilvl w:val="0"/>
          <w:numId w:val="2"/>
        </w:numPr>
        <w:spacing w:after="60" w:line="264"/>
      </w:pPr>
      <w:r>
        <w:rPr>
          <w:b/>
          <w:bCs/>
        </w:rPr>
        <w:t xml:space="preserve">Établissement</w:t>
      </w:r>
      <w:r>
        <w:t xml:space="preserve"> créé librement par son responsable, activé après validation par la startup ; le créateur devient </w:t>
      </w:r>
      <w:r>
        <w:rPr>
          <w:b/>
          <w:bCs/>
        </w:rPr>
        <w:t xml:space="preserve">Root</w:t>
      </w:r>
      <w:r>
        <w:t xml:space="preserve">.</w:t>
      </w:r>
    </w:p>
    <w:p>
      <w:pPr>
        <w:pStyle w:val="ListParagraph"/>
        <w:numPr>
          <w:ilvl w:val="0"/>
          <w:numId w:val="2"/>
        </w:numPr>
        <w:spacing w:after="60" w:line="264"/>
      </w:pPr>
      <w:r>
        <w:rPr>
          <w:b/>
          <w:bCs/>
        </w:rPr>
        <w:t xml:space="preserve">Médecin</w:t>
      </w:r>
      <w:r>
        <w:t xml:space="preserve"> : compte professionnel, MFA TOTP obligatoire, rattachement par code établissement confirmé par le Root.</w:t>
      </w:r>
    </w:p>
    <w:p>
      <w:pPr>
        <w:pStyle w:val="ListParagraph"/>
        <w:numPr>
          <w:ilvl w:val="0"/>
          <w:numId w:val="2"/>
        </w:numPr>
        <w:spacing w:after="60" w:line="264"/>
      </w:pPr>
      <w:r>
        <w:rPr>
          <w:b/>
          <w:bCs/>
        </w:rPr>
        <w:t xml:space="preserve">Infirmier</w:t>
      </w:r>
      <w:r>
        <w:t xml:space="preserve"> : aucun compte, espace ni rôle d'authentification en V1 ; la pré-consultation est saisie dans le compte du patient.</w:t>
      </w:r>
    </w:p>
    <w:p>
      <w:pPr>
        <w:pStyle w:val="ListParagraph"/>
        <w:numPr>
          <w:ilvl w:val="0"/>
          <w:numId w:val="2"/>
        </w:numPr>
        <w:spacing w:after="60" w:line="264"/>
      </w:pPr>
      <w:r>
        <w:rPr>
          <w:b/>
          <w:bCs/>
        </w:rPr>
        <w:t xml:space="preserve">AccessGrant</w:t>
      </w:r>
      <w:r>
        <w:t xml:space="preserve"> : objet serveur central du partage ; 2 h + 2 prolongations d'1 h (4 h maximum) ; révocable ; audité.</w:t>
      </w:r>
    </w:p>
    <w:p>
      <w:pPr>
        <w:pStyle w:val="ListParagraph"/>
        <w:numPr>
          <w:ilvl w:val="0"/>
          <w:numId w:val="2"/>
        </w:numPr>
        <w:spacing w:after="60" w:line="264"/>
      </w:pPr>
      <w:r>
        <w:rPr>
          <w:b/>
          <w:bCs/>
        </w:rPr>
        <w:t xml:space="preserve">Isolation stricte</w:t>
      </w:r>
      <w:r>
        <w:t xml:space="preserve"> entre établissements ; historique conservé après le départ d'un professionnel.</w:t>
      </w:r>
    </w:p>
    <w:p>
      <w:pPr>
        <w:pStyle w:val="ListParagraph"/>
        <w:numPr>
          <w:ilvl w:val="0"/>
          <w:numId w:val="2"/>
        </w:numPr>
        <w:spacing w:after="60" w:line="264"/>
      </w:pPr>
      <w:r>
        <w:rPr>
          <w:b/>
          <w:bCs/>
        </w:rPr>
        <w:t xml:space="preserve">Architecture</w:t>
      </w:r>
      <w:r>
        <w:t xml:space="preserve"> : Next.js (PWA) sur Vercel, Django / DRF sur Render, PostgreSQL managé en région UE pendant le pilote, bascule ivoirienne avant toute donnée réelle.</w:t>
      </w:r>
    </w:p>
    <w:p>
      <w:pPr>
        <w:pStyle w:val="ListParagraph"/>
        <w:numPr>
          <w:ilvl w:val="0"/>
          <w:numId w:val="2"/>
        </w:numPr>
        <w:spacing w:after="60" w:line="264"/>
      </w:pPr>
      <w:r>
        <w:rPr>
          <w:b/>
          <w:bCs/>
        </w:rPr>
        <w:t xml:space="preserve">Modèle économique</w:t>
      </w:r>
      <w:r>
        <w:t xml:space="preserve"> : B2B établissement ; unité et montant à valider commercialement ; l'État n'est pas un financeur acquis.</w:t>
      </w:r>
    </w:p>
    <w:p>
      <w:pPr>
        <w:pStyle w:val="ListParagraph"/>
        <w:numPr>
          <w:ilvl w:val="0"/>
          <w:numId w:val="2"/>
        </w:numPr>
        <w:spacing w:after="60" w:line="264"/>
      </w:pPr>
      <w:r>
        <w:rPr>
          <w:b/>
          <w:bCs/>
        </w:rPr>
        <w:t xml:space="preserve">Planification</w:t>
      </w:r>
      <w:r>
        <w:t xml:space="preserve"> : hors-ligne, ordonnance structurée, administration avancée en V2 ; échanges inter-établissements en V3.</w:t>
      </w:r>
    </w:p>
    <w:p>
      <w:pPr>
        <w:spacing w:after="120" w:line="276"/>
      </w:pPr>
      <w:r>
        <w:t xml:space="preserve">Les décisions verrouillées et les points ouverts sont indiqués </w:t>
      </w:r>
      <w:r>
        <w:rPr>
          <w:b/>
          <w:bCs/>
        </w:rPr>
        <w:t xml:space="preserve">directement dans les sections concernées</w:t>
      </w:r>
      <w:r>
        <w:t xml:space="preserve"> (voir la légende en début de document) ; l'annexe A en donne un index.</w:t>
      </w:r>
    </w:p>
    <w:p>
      <w:pPr>
        <w:pStyle w:val="Heading1"/>
      </w:pPr>
      <w:bookmarkStart w:name="sec2" w:id="1"/>
      <w:r>
        <w:t xml:space="preserve">2. Problème à résoudre</w:t>
      </w:r>
      <w:bookmarkEnd w:id="1"/>
    </w:p>
    <w:p>
      <w:pPr>
        <w:pStyle w:val="Heading2"/>
      </w:pPr>
      <w:r>
        <w:t xml:space="preserve">2.1 Problème utilisateur</w:t>
      </w:r>
    </w:p>
    <w:p>
      <w:pPr>
        <w:spacing w:after="120" w:line="276"/>
      </w:pPr>
      <w:r>
        <w:t xml:space="preserve">Le parcours de soins laisse des informations dispersées entre carnets papier, photos, ordonnances, téléphones, établissements différents et mémoire du patient. Celui-ci doit répéter ses antécédents, ses traitements déclarés, ses allergies et l'historique de ses consultations. Le professionnel qui n'a pas accès à un historique fiable et autorisé manque de contexte.</w:t>
      </w:r>
    </w:p>
    <w:p>
      <w:pPr>
        <w:pStyle w:val="Heading2"/>
      </w:pPr>
      <w:r>
        <w:t xml:space="preserve">2.2 Problème organisationnel</w:t>
      </w:r>
    </w:p>
    <w:p>
      <w:pPr>
        <w:spacing w:after="120" w:line="276"/>
      </w:pPr>
      <w:r>
        <w:t xml:space="preserve">Un établissement doit pouvoir savoir : quels professionnels lui sont rattachés ; quel professionnel a réalisé quelle action ; dans quel établissement ; pour quel patient ; sous quelle autorisation ; à quel moment.</w:t>
      </w:r>
    </w:p>
    <w:p>
      <w:pPr>
        <w:pStyle w:val="Heading2"/>
      </w:pPr>
      <w:r>
        <w:t xml:space="preserve">2.3 Problème de confiance</w:t>
      </w:r>
    </w:p>
    <w:p>
      <w:pPr>
        <w:spacing w:after="120" w:line="276"/>
      </w:pPr>
      <w:r>
        <w:t xml:space="preserve">Une information déclarée par le patient ne doit pas être présentée comme médicalement confirmée. Le produit conserve donc la </w:t>
      </w:r>
      <w:r>
        <w:rPr>
          <w:b/>
          <w:bCs/>
        </w:rPr>
        <w:t xml:space="preserve">provenance</w:t>
      </w:r>
      <w:r>
        <w:t xml:space="preserve"> et le </w:t>
      </w:r>
      <w:r>
        <w:rPr>
          <w:b/>
          <w:bCs/>
        </w:rPr>
        <w:t xml:space="preserve">statut</w:t>
      </w:r>
      <w:r>
        <w:t xml:space="preserve"> de chaque donnée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Statut affiché</w:t>
            </w:r>
          </w:p>
        </w:tc>
        <w:tc>
          <w:tcPr>
            <w:tcW w:type="dxa" w:w="66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Signification</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Déclaré par le patient</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Information saisie par le patient dans son carnet.</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Relevé en pré-consultation</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Constante ou observation recueillie lors de la pré-consultation, saisie dans le compte du patient.</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Confirmé par un professionnel</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Un médecin vérifié a confirmé l'information (motif, attestation, date, établissement actif).</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Non confirmé / contesté</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Le médecin conteste ou ne confirme pas, avec motif ; l'original n'est pas écrasé.</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Consultation validée et signée</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Consultation médicale validée par le médecin, avec attestation SVG.</w:t>
            </w:r>
          </w:p>
        </w:tc>
      </w:tr>
    </w:tbl>
    <w:p>
      <w:pPr>
        <w:spacing w:after="120"/>
      </w:pPr>
    </w:p>
    <w:p>
      <w:pPr>
        <w:pStyle w:val="Heading2"/>
      </w:pPr>
      <w:r>
        <w:t xml:space="preserve">2.4 Problème d'accès</w:t>
      </w:r>
    </w:p>
    <w:p>
      <w:pPr>
        <w:spacing w:after="120" w:line="276"/>
      </w:pPr>
      <w:r>
        <w:t xml:space="preserve">L'objectif n'est pas un carnet ouvert à tout professionnel. Le partage doit être explicite, lié au professionnel concerné, limité à un périmètre, limité dans le temps, révocable et journalisé.</w:t>
      </w:r>
    </w:p>
    <w:p>
      <w:pPr>
        <w:pStyle w:val="Heading1"/>
      </w:pPr>
      <w:bookmarkStart w:name="sec3" w:id="1"/>
      <w:r>
        <w:t xml:space="preserve">3. Solution proposée</w:t>
      </w:r>
      <w:bookmarkEnd w:id="1"/>
    </w:p>
    <w:p>
      <w:pPr>
        <w:pStyle w:val="Heading2"/>
      </w:pPr>
      <w:r>
        <w:t xml:space="preserve">3.1 Produit</w:t>
      </w:r>
    </w:p>
    <w:p>
      <w:pPr>
        <w:spacing w:after="120" w:line="276"/>
      </w:pPr>
      <w:r>
        <w:t xml:space="preserve">Une seule application web / PWA avec trois espaces opérationnels : </w:t>
      </w:r>
      <w:r>
        <w:rPr>
          <w:b/>
          <w:bCs/>
        </w:rPr>
        <w:t xml:space="preserve">Patient</w:t>
      </w:r>
      <w:r>
        <w:t xml:space="preserve">, </w:t>
      </w:r>
      <w:r>
        <w:rPr>
          <w:b/>
          <w:bCs/>
        </w:rPr>
        <w:t xml:space="preserve">Professionnel</w:t>
      </w:r>
      <w:r>
        <w:t xml:space="preserve"> et </w:t>
      </w:r>
      <w:r>
        <w:rPr>
          <w:b/>
          <w:bCs/>
        </w:rPr>
        <w:t xml:space="preserve">Établissement</w:t>
      </w:r>
      <w:r>
        <w:t xml:space="preserve">. Les privilèges internes de la startup ne constituent pas un espace produit librement accessible en V1.</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sz w:val="20"/>
          <w:szCs w:val="20"/>
        </w:rPr>
        <w:t xml:space="preserve">Produit : </w:t>
      </w:r>
      <w:r>
        <w:rPr>
          <w:b/>
          <w:bCs/>
          <w:sz w:val="20"/>
          <w:szCs w:val="20"/>
        </w:rPr>
        <w:t xml:space="preserve">une seule application</w:t>
      </w:r>
      <w:r>
        <w:rPr>
          <w:sz w:val="20"/>
          <w:szCs w:val="20"/>
        </w:rPr>
        <w:t xml:space="preserve">. Distribution : </w:t>
      </w:r>
      <w:r>
        <w:rPr>
          <w:b/>
          <w:bCs/>
          <w:sz w:val="20"/>
          <w:szCs w:val="20"/>
        </w:rPr>
        <w:t xml:space="preserve">web responsive / PWA</w:t>
      </w:r>
      <w:r>
        <w:rPr>
          <w:sz w:val="20"/>
          <w:szCs w:val="20"/>
        </w:rPr>
        <w:t xml:space="preserve">. Pas d'application native en V1.</w:t>
      </w:r>
    </w:p>
    <w:p>
      <w:pPr>
        <w:pStyle w:val="Heading2"/>
      </w:pPr>
      <w:r>
        <w:t xml:space="preserve">3.2 Le Core</w:t>
      </w:r>
    </w:p>
    <w:p>
      <w:pPr>
        <w:spacing w:after="120" w:line="276"/>
      </w:pPr>
      <w:r>
        <w:t xml:space="preserve">Le Core gère : identité et comptes ; profils patients et professionnels ; établissements et rattachements ; établissement actif ; pré-consultations et consultations ; documents ; AccessGrant ; signatures et attestations ; audit ; isolation ; facturation et mesure d'usage selon le modèle économique futur.</w:t>
      </w:r>
    </w:p>
    <w:p>
      <w:pPr>
        <w:pStyle w:val="Heading2"/>
      </w:pPr>
      <w:r>
        <w:t xml:space="preserve">3.3 Invariants du produit</w:t>
      </w:r>
    </w:p>
    <w:p>
      <w:pPr>
        <w:spacing w:after="120" w:line="276"/>
      </w:pPr>
      <w:r>
        <w:t xml:space="preserve">Les invariants ne se négocient pas en cours de développement. Chacun est rattaché à un ou plusieurs critères d'acceptation (section 26) qui le vérifient.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100"/>
        <w:gridCol w:w="1538"/>
      </w:tblGrid>
      <w:tr>
        <w:trPr>
          <w:cantSplit/>
          <w:tblHeader/>
        </w:trPr>
        <w:tc>
          <w:tcPr>
            <w:tcW w:type="dxa" w:w="10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Id</w:t>
            </w:r>
          </w:p>
        </w:tc>
        <w:tc>
          <w:tcPr>
            <w:tcW w:type="dxa" w:w="71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Invariant</w:t>
            </w:r>
          </w:p>
        </w:tc>
        <w:tc>
          <w:tcPr>
            <w:tcW w:type="dxa" w:w="15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Vérifié par</w:t>
            </w:r>
          </w:p>
        </w:tc>
      </w:tr>
      <w:tr>
        <w:trPr>
          <w:cantSplit/>
        </w:trPr>
        <w:tc>
          <w:tcPr>
            <w:tcW w:type="dxa" w:w="1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INV-01</w:t>
            </w:r>
          </w:p>
        </w:tc>
        <w:tc>
          <w:tcPr>
            <w:tcW w:type="dxa" w:w="71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Un utilisateur n'est jamais dupliqué lorsqu'il relie plusieurs méthodes de connexion.</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CA-01</w:t>
            </w:r>
          </w:p>
        </w:tc>
      </w:tr>
      <w:tr>
        <w:trPr>
          <w:cantSplit/>
        </w:trPr>
        <w:tc>
          <w:tcPr>
            <w:tcW w:type="dxa" w:w="10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INV-02</w:t>
            </w:r>
          </w:p>
        </w:tc>
        <w:tc>
          <w:tcPr>
            <w:tcW w:type="dxa" w:w="71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Un établissement n'accède jamais au contenu d'un autre établissement sans mécanisme explicitement prévu.</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CA-19</w:t>
            </w:r>
          </w:p>
        </w:tc>
      </w:tr>
      <w:tr>
        <w:trPr>
          <w:cantSplit/>
        </w:trPr>
        <w:tc>
          <w:tcPr>
            <w:tcW w:type="dxa" w:w="1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INV-03</w:t>
            </w:r>
          </w:p>
        </w:tc>
        <w:tc>
          <w:tcPr>
            <w:tcW w:type="dxa" w:w="71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Une consultation a un auteur et un établissement imposés côté serveur.</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CA-15</w:t>
            </w:r>
          </w:p>
        </w:tc>
      </w:tr>
      <w:tr>
        <w:trPr>
          <w:cantSplit/>
        </w:trPr>
        <w:tc>
          <w:tcPr>
            <w:tcW w:type="dxa" w:w="10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INV-04</w:t>
            </w:r>
          </w:p>
        </w:tc>
        <w:tc>
          <w:tcPr>
            <w:tcW w:type="dxa" w:w="71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Une pré-consultation terminée n'est jamais modifiée silencieusement.</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CA-08</w:t>
            </w:r>
          </w:p>
        </w:tc>
      </w:tr>
      <w:tr>
        <w:trPr>
          <w:cantSplit/>
        </w:trPr>
        <w:tc>
          <w:tcPr>
            <w:tcW w:type="dxa" w:w="1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INV-05</w:t>
            </w:r>
          </w:p>
        </w:tc>
        <w:tc>
          <w:tcPr>
            <w:tcW w:type="dxa" w:w="71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Le QR ne transporte pas le dossier médical : il déclenche un mécanisme d'accès.</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CA-09</w:t>
            </w:r>
          </w:p>
        </w:tc>
      </w:tr>
      <w:tr>
        <w:trPr>
          <w:cantSplit/>
        </w:trPr>
        <w:tc>
          <w:tcPr>
            <w:tcW w:type="dxa" w:w="10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INV-06</w:t>
            </w:r>
          </w:p>
        </w:tc>
        <w:tc>
          <w:tcPr>
            <w:tcW w:type="dxa" w:w="71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Un identifiant seul ne doit jamais ouvrir un carnet.</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CA-09, CA-19</w:t>
            </w:r>
          </w:p>
        </w:tc>
      </w:tr>
      <w:tr>
        <w:trPr>
          <w:cantSplit/>
        </w:trPr>
        <w:tc>
          <w:tcPr>
            <w:tcW w:type="dxa" w:w="1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INV-07</w:t>
            </w:r>
          </w:p>
        </w:tc>
        <w:tc>
          <w:tcPr>
            <w:tcW w:type="dxa" w:w="71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Les événements sensibles sont append-only, ou équivalents avec conservation de l'historique.</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CA-18</w:t>
            </w:r>
          </w:p>
        </w:tc>
      </w:tr>
      <w:tr>
        <w:trPr>
          <w:cantSplit/>
        </w:trPr>
        <w:tc>
          <w:tcPr>
            <w:tcW w:type="dxa" w:w="10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INV-08</w:t>
            </w:r>
          </w:p>
        </w:tc>
        <w:tc>
          <w:tcPr>
            <w:tcW w:type="dxa" w:w="71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Quitter un établissement ne supprime pas les traces historiques.</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CA-20</w:t>
            </w:r>
          </w:p>
        </w:tc>
      </w:tr>
      <w:tr>
        <w:trPr>
          <w:cantSplit/>
        </w:trPr>
        <w:tc>
          <w:tcPr>
            <w:tcW w:type="dxa" w:w="1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INV-09</w:t>
            </w:r>
          </w:p>
        </w:tc>
        <w:tc>
          <w:tcPr>
            <w:tcW w:type="dxa" w:w="71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Le patient voit les accès sensibles qui le concernent.</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CA-10, CA-18</w:t>
            </w:r>
          </w:p>
        </w:tc>
      </w:tr>
      <w:tr>
        <w:trPr>
          <w:cantSplit/>
        </w:trPr>
        <w:tc>
          <w:tcPr>
            <w:tcW w:type="dxa" w:w="10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INV-10</w:t>
            </w:r>
          </w:p>
        </w:tc>
        <w:tc>
          <w:tcPr>
            <w:tcW w:type="dxa" w:w="71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Aucune donnée médicale réelle n'est confiée à des outils IA externes de développement, ni placée dans les jeux de données de test, les journaux ou les captures.</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Revue de processus</w:t>
            </w:r>
          </w:p>
        </w:tc>
      </w:tr>
      <w:tr>
        <w:trPr>
          <w:cantSplit/>
        </w:trPr>
        <w:tc>
          <w:tcPr>
            <w:tcW w:type="dxa" w:w="1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INV-11</w:t>
            </w:r>
          </w:p>
        </w:tc>
        <w:tc>
          <w:tcPr>
            <w:tcW w:type="dxa" w:w="71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Tout compte professionnel, et tout administrateur lisant des dossiers, utilise le MFA TOTP.</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CA-04, CA-21</w:t>
            </w:r>
          </w:p>
        </w:tc>
      </w:tr>
      <w:tr>
        <w:trPr>
          <w:cantSplit/>
        </w:trPr>
        <w:tc>
          <w:tcPr>
            <w:tcW w:type="dxa" w:w="10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INV-12</w:t>
            </w:r>
          </w:p>
        </w:tc>
        <w:tc>
          <w:tcPr>
            <w:tcW w:type="dxa" w:w="71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L'infirmier n'a ni compte, ni espace, ni rôle d'authentification en V1.</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CA-24</w:t>
            </w:r>
          </w:p>
        </w:tc>
      </w:tr>
    </w:tbl>
    <w:p>
      <w:pPr>
        <w:spacing w:after="120"/>
      </w:pPr>
    </w:p>
    <w:p>
      <w:pPr>
        <w:pStyle w:val="Heading1"/>
      </w:pPr>
      <w:bookmarkStart w:name="sec4" w:id="1"/>
      <w:r>
        <w:t xml:space="preserve">4. Modèle utilisateurs et comptes</w:t>
      </w:r>
      <w:bookmarkEnd w:id="1"/>
    </w:p>
    <w:p>
      <w:pPr>
        <w:pStyle w:val="Heading2"/>
      </w:pPr>
      <w:r>
        <w:t xml:space="preserve">4.1 Compte utilisateur unique</w:t>
      </w:r>
    </w:p>
    <w:p>
      <w:pPr>
        <w:spacing w:after="120" w:line="276"/>
      </w:pPr>
      <w:r>
        <w:t xml:space="preserve">Le système dispose d'une identité utilisateur centrale. Une même personne peut associer, selon les parcours activés : Google, Facebook, Apple, un numéro de téléphone / WhatsApp, et un mot de passe. Lorsque le fournisseur les communique, l'avatar, le nom et les prénoms sont récupérés. La liaison d'une nouvelle méthode ne crée jamais de doublon.</w:t>
      </w:r>
    </w:p>
    <w:p>
      <w:pPr>
        <w:keepNext/>
        <w:keepLines/>
        <w:shd w:fill="F3F6F4" w:color="auto" w:val="clear"/>
        <w:spacing w:after="0" w:before="80" w:line="240"/>
        <w:ind w:left="120"/>
      </w:pPr>
      <w:r>
        <w:rPr>
          <w:rFonts w:ascii="Courier New" w:cs="Courier New" w:eastAsia="Courier New" w:hAnsi="Courier New"/>
          <w:sz w:val="17"/>
          <w:szCs w:val="17"/>
        </w:rPr>
        <w:t xml:space="preserve">  Utilisateur #U123</w:t>
      </w:r>
    </w:p>
    <w:p>
      <w:pPr>
        <w:keepNext/>
        <w:keepLines/>
        <w:shd w:fill="F3F6F4" w:color="auto" w:val="clear"/>
        <w:spacing w:after="0" w:before="0" w:line="240"/>
        <w:ind w:left="120"/>
      </w:pPr>
      <w:r>
        <w:rPr>
          <w:rFonts w:ascii="Courier New" w:cs="Courier New" w:eastAsia="Courier New" w:hAnsi="Courier New"/>
          <w:sz w:val="17"/>
          <w:szCs w:val="17"/>
        </w:rPr>
        <w:t xml:space="preserve">  ├── Google · Facebook · Apple</w:t>
      </w:r>
    </w:p>
    <w:p>
      <w:pPr>
        <w:keepNext/>
        <w:keepLines/>
        <w:shd w:fill="F3F6F4" w:color="auto" w:val="clear"/>
        <w:spacing w:after="0" w:before="0" w:line="240"/>
        <w:ind w:left="120"/>
      </w:pPr>
      <w:r>
        <w:rPr>
          <w:rFonts w:ascii="Courier New" w:cs="Courier New" w:eastAsia="Courier New" w:hAnsi="Courier New"/>
          <w:sz w:val="17"/>
          <w:szCs w:val="17"/>
        </w:rPr>
        <w:t xml:space="preserve">  ├── Téléphone / WhatsApp (coordonnée, OTP)</w:t>
      </w:r>
    </w:p>
    <w:p>
      <w:pPr>
        <w:keepNext/>
        <w:keepLines/>
        <w:shd w:fill="F3F6F4" w:color="auto" w:val="clear"/>
        <w:spacing w:after="0" w:before="0" w:line="240"/>
        <w:ind w:left="120"/>
      </w:pPr>
      <w:r>
        <w:rPr>
          <w:rFonts w:ascii="Courier New" w:cs="Courier New" w:eastAsia="Courier New" w:hAnsi="Courier New"/>
          <w:sz w:val="17"/>
          <w:szCs w:val="17"/>
        </w:rPr>
        <w:t xml:space="preserve">  ├── Mot de passe (si activé, hash Argon2id)</w:t>
      </w:r>
    </w:p>
    <w:p>
      <w:pPr>
        <w:keepNext/>
        <w:keepLines/>
        <w:shd w:fill="F3F6F4" w:color="auto" w:val="clear"/>
        <w:spacing w:after="0" w:before="0" w:line="240"/>
        <w:ind w:left="120"/>
      </w:pPr>
      <w:r>
        <w:rPr>
          <w:rFonts w:ascii="Courier New" w:cs="Courier New" w:eastAsia="Courier New" w:hAnsi="Courier New"/>
          <w:sz w:val="17"/>
          <w:szCs w:val="17"/>
        </w:rPr>
        <w:t xml:space="preserve">  ├── Appareil MFA TOTP (obligatoire pour les profils professionnels)</w:t>
      </w:r>
    </w:p>
    <w:p>
      <w:pPr>
        <w:keepNext/>
        <w:keepLines/>
        <w:shd w:fill="F3F6F4" w:color="auto" w:val="clear"/>
        <w:spacing w:after="0" w:before="0" w:line="240"/>
        <w:ind w:left="120"/>
      </w:pPr>
      <w:r>
        <w:rPr>
          <w:rFonts w:ascii="Courier New" w:cs="Courier New" w:eastAsia="Courier New" w:hAnsi="Courier New"/>
          <w:sz w:val="17"/>
          <w:szCs w:val="17"/>
        </w:rPr>
        <w:t xml:space="preserve">  └── Contextes</w:t>
      </w:r>
    </w:p>
    <w:p>
      <w:pPr>
        <w:keepNext/>
        <w:keepLines/>
        <w:shd w:fill="F3F6F4" w:color="auto" w:val="clear"/>
        <w:spacing w:after="0" w:before="0" w:line="240"/>
        <w:ind w:left="120"/>
      </w:pPr>
      <w:r>
        <w:rPr>
          <w:rFonts w:ascii="Courier New" w:cs="Courier New" w:eastAsia="Courier New" w:hAnsi="Courier New"/>
          <w:sz w:val="17"/>
          <w:szCs w:val="17"/>
        </w:rPr>
        <w:t xml:space="preserve">      ├── Patient</w:t>
      </w:r>
    </w:p>
    <w:p>
      <w:pPr>
        <w:keepNext/>
        <w:keepLines/>
        <w:shd w:fill="F3F6F4" w:color="auto" w:val="clear"/>
        <w:spacing w:after="0" w:before="0" w:line="240"/>
        <w:ind w:left="120"/>
      </w:pPr>
      <w:r>
        <w:rPr>
          <w:rFonts w:ascii="Courier New" w:cs="Courier New" w:eastAsia="Courier New" w:hAnsi="Courier New"/>
          <w:sz w:val="17"/>
          <w:szCs w:val="17"/>
        </w:rPr>
        <w:t xml:space="preserve">      ├── Professionnel ── rattachements établissement</w:t>
      </w:r>
    </w:p>
    <w:p>
      <w:pPr>
        <w:keepNext w:val="false"/>
        <w:keepLines/>
        <w:shd w:fill="F3F6F4" w:color="auto" w:val="clear"/>
        <w:spacing w:after="160" w:before="0" w:line="240"/>
        <w:ind w:left="120"/>
      </w:pPr>
      <w:r>
        <w:rPr>
          <w:rFonts w:ascii="Courier New" w:cs="Courier New" w:eastAsia="Courier New" w:hAnsi="Courier New"/>
          <w:sz w:val="17"/>
          <w:szCs w:val="17"/>
        </w:rPr>
        <w:t xml:space="preserve">      └── Établissement (Root)</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b/>
          <w:bCs/>
          <w:sz w:val="20"/>
          <w:szCs w:val="20"/>
        </w:rPr>
        <w:t xml:space="preserve">Compte</w:t>
      </w:r>
      <w:r>
        <w:rPr>
          <w:sz w:val="20"/>
          <w:szCs w:val="20"/>
        </w:rPr>
        <w:t xml:space="preserve"> : identité utilisateur unique, sans doublon entre méthodes de connexion.</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pBdr>
          <w:left w:val="single" w:color="C98A00" w:sz="24" w:space="8"/>
        </w:pBdr>
        <w:shd w:fill="FFF4DC" w:color="auto" w:val="clear"/>
        <w:spacing w:after="0" w:before="40" w:line="264"/>
        <w:ind w:left="200" w:right="100"/>
      </w:pPr>
      <w:r>
        <w:rPr>
          <w:b/>
          <w:bCs/>
          <w:sz w:val="20"/>
          <w:szCs w:val="20"/>
        </w:rPr>
        <w:t xml:space="preserve">Fournisseur et nature de l'intégration de l'OTP WhatsApp</w:t>
      </w:r>
      <w:r>
        <w:rPr>
          <w:sz w:val="20"/>
          <w:szCs w:val="20"/>
        </w:rPr>
        <w:t xml:space="preserve"> (API officielle, agrégateur, repli SMS).</w:t>
      </w:r>
    </w:p>
    <w:p>
      <w:pPr>
        <w:keepNext w:val="false"/>
        <w:pBdr>
          <w:left w:val="single" w:color="C98A00" w:sz="24" w:space="8"/>
        </w:pBdr>
        <w:shd w:fill="FFF4DC" w:color="auto" w:val="clear"/>
        <w:spacing w:after="180" w:before="40" w:line="264"/>
        <w:ind w:left="200" w:right="100"/>
      </w:pPr>
      <w:r>
        <w:rPr>
          <w:b/>
          <w:bCs/>
          <w:sz w:val="20"/>
          <w:szCs w:val="20"/>
        </w:rPr>
        <w:t xml:space="preserve">Méthodes d'authentification finales et ordre d'activation</w:t>
      </w:r>
      <w:r>
        <w:rPr>
          <w:sz w:val="20"/>
          <w:szCs w:val="20"/>
        </w:rPr>
        <w:t xml:space="preserve"> (Google, Facebook, Apple, WhatsApp, mot de passe).</w:t>
      </w:r>
    </w:p>
    <w:p>
      <w:pPr>
        <w:pStyle w:val="Heading2"/>
      </w:pPr>
      <w:r>
        <w:t xml:space="preserve">4.2 Comptes disponibles en V1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238"/>
      </w:tblGrid>
      <w:tr>
        <w:trPr>
          <w:cantSplit/>
          <w:tblHeader/>
        </w:trPr>
        <w:tc>
          <w:tcPr>
            <w:tcW w:type="dxa" w:w="2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Contexte</w:t>
            </w:r>
          </w:p>
        </w:tc>
        <w:tc>
          <w:tcPr>
            <w:tcW w:type="dxa" w:w="20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Compte V1</w:t>
            </w:r>
          </w:p>
        </w:tc>
        <w:tc>
          <w:tcPr>
            <w:tcW w:type="dxa" w:w="2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MFA TOTP</w:t>
            </w:r>
          </w:p>
        </w:tc>
        <w:tc>
          <w:tcPr>
            <w:tcW w:type="dxa" w:w="32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Remarque</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Patient</w:t>
            </w:r>
          </w:p>
        </w:tc>
        <w:tc>
          <w:tcPr>
            <w:tcW w:type="dxa" w:w="2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Oui</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Optionnel</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Titulaire de son carnet ; peut aussi être professionnel.</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Médecin / Professionnel</w:t>
            </w:r>
          </w:p>
        </w:tc>
        <w:tc>
          <w:tcPr>
            <w:tcW w:type="dxa" w:w="2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Oui</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Obligatoire</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Compte professionnel, rattachement par code établissement.</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Établissement (Root)</w:t>
            </w:r>
          </w:p>
        </w:tc>
        <w:tc>
          <w:tcPr>
            <w:tcW w:type="dxa" w:w="2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Oui</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Obligatoire dès la lecture de dossiers</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Créateur de l'établissement après validation startup.</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Administration startup</w:t>
            </w:r>
          </w:p>
        </w:tc>
        <w:tc>
          <w:tcPr>
            <w:tcW w:type="dxa" w:w="2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Accès internes, pas d'espace produit libre</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Obligatoire</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Accès clinique exceptionnel, motivé et journalisé.</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Infirmier</w:t>
            </w:r>
          </w:p>
        </w:tc>
        <w:tc>
          <w:tcPr>
            <w:tcW w:type="dxa" w:w="2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Aucun en V1</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Pas de compte, d'espace ni de rôle d'authentification (section 8).</w:t>
            </w:r>
          </w:p>
        </w:tc>
      </w:tr>
    </w:tbl>
    <w:p>
      <w:pPr>
        <w:spacing w:after="120"/>
      </w:pPr>
    </w:p>
    <w:p>
      <w:pPr>
        <w:pStyle w:val="Heading2"/>
      </w:pPr>
      <w:r>
        <w:t xml:space="preserve">4.3 MFA</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03/10/2026</w:t>
      </w:r>
    </w:p>
    <w:p>
      <w:pPr>
        <w:keepNext w:val="false"/>
        <w:pBdr>
          <w:left w:val="single" w:color="2E7D4F" w:sz="24" w:space="8"/>
        </w:pBdr>
        <w:shd w:fill="E6F0E8" w:color="auto" w:val="clear"/>
        <w:spacing w:after="180" w:before="40" w:line="264"/>
        <w:ind w:left="200" w:right="100"/>
      </w:pPr>
      <w:r>
        <w:rPr>
          <w:b/>
          <w:bCs/>
          <w:sz w:val="20"/>
          <w:szCs w:val="20"/>
        </w:rPr>
        <w:t xml:space="preserve">MFA par TOTP obligatoire pour tout compte professionnel et pour l'administrateur dès qu'il lit des dossiers.</w:t>
      </w:r>
      <w:r>
        <w:rPr>
          <w:sz w:val="20"/>
          <w:szCs w:val="20"/>
        </w:rPr>
        <w:t xml:space="preserve"> Aucun accès clinique n'est possible tant que le MFA n'est pas actif sur le compte concerné.</w:t>
      </w:r>
    </w:p>
    <w:p>
      <w:pPr>
        <w:keepNext/>
        <w:pBdr>
          <w:left w:val="single" w:color="3B6EA5" w:sz="24" w:space="8"/>
        </w:pBdr>
        <w:shd w:fill="E8F0F8" w:color="auto" w:val="clear"/>
        <w:spacing w:after="0" w:before="140"/>
        <w:ind w:left="200" w:right="100"/>
      </w:pPr>
      <w:r>
        <w:rPr>
          <w:b/>
          <w:bCs/>
          <w:color w:val="3B6EA5"/>
          <w:sz w:val="17"/>
          <w:szCs w:val="17"/>
        </w:rPr>
        <w:t xml:space="preserve">PROPOSITION DE TRAVAIL</w:t>
      </w:r>
    </w:p>
    <w:p>
      <w:pPr>
        <w:keepNext/>
        <w:pBdr>
          <w:left w:val="single" w:color="3B6EA5" w:sz="24" w:space="8"/>
        </w:pBdr>
        <w:shd w:fill="E8F0F8" w:color="auto" w:val="clear"/>
        <w:spacing w:after="0" w:before="40" w:line="264"/>
        <w:ind w:left="200" w:right="100"/>
      </w:pPr>
      <w:r>
        <w:rPr>
          <w:sz w:val="20"/>
          <w:szCs w:val="20"/>
        </w:rPr>
        <w:t xml:space="preserve">Le MFA est imposé au Root </w:t>
      </w:r>
      <w:r>
        <w:rPr>
          <w:b/>
          <w:bCs/>
          <w:sz w:val="20"/>
          <w:szCs w:val="20"/>
        </w:rPr>
        <w:t xml:space="preserve">dès l'activation de son rôle</w:t>
      </w:r>
      <w:r>
        <w:rPr>
          <w:sz w:val="20"/>
          <w:szCs w:val="20"/>
        </w:rPr>
        <w:t xml:space="preserve">, et non au premier accès clinique, pour éviter un blocage au moment du besoin.</w:t>
      </w:r>
    </w:p>
    <w:p>
      <w:pPr>
        <w:keepNext w:val="false"/>
        <w:pBdr>
          <w:left w:val="single" w:color="3B6EA5" w:sz="24" w:space="8"/>
        </w:pBdr>
        <w:shd w:fill="E8F0F8" w:color="auto" w:val="clear"/>
        <w:spacing w:after="180" w:before="40" w:line="264"/>
        <w:ind w:left="200" w:right="100"/>
      </w:pPr>
      <w:r>
        <w:rPr>
          <w:sz w:val="20"/>
          <w:szCs w:val="20"/>
        </w:rPr>
        <w:t xml:space="preserve">Des codes de secours à usage unique sont remis à l'activation ; la réinitialisation du MFA passe par l'administration startup après vérification d'identité hors bande, avec journalisation.</w:t>
      </w:r>
    </w:p>
    <w:p>
      <w:pPr>
        <w:pStyle w:val="Heading2"/>
      </w:pPr>
      <w:r>
        <w:t xml:space="preserve">4.4 Récupération de compte</w:t>
      </w:r>
    </w:p>
    <w:p>
      <w:pPr>
        <w:spacing w:after="120" w:line="276"/>
      </w:pPr>
      <w:r>
        <w:t xml:space="preserve">En V1, la récupération repose sur les méthodes de connexion déjà liées au compte. La récupération avancée d'un compte social perdu est reportée en V2.</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b/>
          <w:bCs/>
          <w:sz w:val="20"/>
          <w:szCs w:val="20"/>
        </w:rPr>
        <w:t xml:space="preserve">Récupération avancée</w:t>
      </w:r>
      <w:r>
        <w:rPr>
          <w:sz w:val="20"/>
          <w:szCs w:val="20"/>
        </w:rPr>
        <w:t xml:space="preserve"> des comptes : V2.</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Règles précises de récupération</w:t>
      </w:r>
      <w:r>
        <w:rPr>
          <w:sz w:val="20"/>
          <w:szCs w:val="20"/>
        </w:rPr>
        <w:t xml:space="preserve"> des comptes et du MFA (justificatifs demandés, délais, responsable de la décision).</w:t>
      </w:r>
    </w:p>
    <w:p>
      <w:pPr>
        <w:pStyle w:val="Heading1"/>
      </w:pPr>
      <w:bookmarkStart w:name="sec5" w:id="1"/>
      <w:r>
        <w:t xml:space="preserve">5. Parcours patient</w:t>
      </w:r>
      <w:bookmarkEnd w:id="1"/>
    </w:p>
    <w:p>
      <w:pPr>
        <w:pStyle w:val="Heading2"/>
      </w:pPr>
      <w:r>
        <w:t xml:space="preserve">5.1 Création et ouverture du carnet</w:t>
      </w:r>
    </w:p>
    <w:p>
      <w:pPr>
        <w:keepNext/>
        <w:keepLines/>
        <w:shd w:fill="F3F6F4" w:color="auto" w:val="clear"/>
        <w:spacing w:after="0" w:before="80" w:line="240"/>
        <w:ind w:left="120"/>
      </w:pPr>
      <w:r>
        <w:rPr>
          <w:rFonts w:ascii="Courier New" w:cs="Courier New" w:eastAsia="Courier New" w:hAnsi="Courier New"/>
          <w:sz w:val="17"/>
          <w:szCs w:val="17"/>
        </w:rPr>
        <w:t xml:space="preserve">  Accueil ─► Créer / ouvrir mon carnet ─► Authentification</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val="false"/>
        <w:keepLines/>
        <w:shd w:fill="F3F6F4" w:color="auto" w:val="clear"/>
        <w:spacing w:after="160" w:before="0" w:line="240"/>
        <w:ind w:left="120"/>
      </w:pPr>
      <w:r>
        <w:rPr>
          <w:rFonts w:ascii="Courier New" w:cs="Courier New" w:eastAsia="Courier New" w:hAnsi="Courier New"/>
          <w:sz w:val="17"/>
          <w:szCs w:val="17"/>
        </w:rPr>
        <w:t xml:space="preserve">  Profil patient ─► Couverture du carnet ─► Historique · consultations · accès</w:t>
      </w:r>
    </w:p>
    <w:p>
      <w:pPr>
        <w:pStyle w:val="Heading2"/>
      </w:pPr>
      <w:r>
        <w:t xml:space="preserve">5.2 Couverture</w:t>
      </w:r>
    </w:p>
    <w:p>
      <w:pPr>
        <w:spacing w:after="120" w:line="276"/>
      </w:pPr>
      <w:r>
        <w:t xml:space="preserve">La couverture peut afficher : nom, prénom, groupe sanguin, antécédents synthétiques et identifiant du carnet. Ces informations appartiennent au patient.</w:t>
      </w:r>
    </w:p>
    <w:p>
      <w:pPr>
        <w:pStyle w:val="Heading2"/>
      </w:pPr>
      <w:r>
        <w:t xml:space="preserve">5.3 Contenu du carnet</w:t>
      </w:r>
    </w:p>
    <w:p>
      <w:pPr>
        <w:pStyle w:val="ListParagraph"/>
        <w:numPr>
          <w:ilvl w:val="0"/>
          <w:numId w:val="2"/>
        </w:numPr>
        <w:spacing w:after="60" w:line="264"/>
      </w:pPr>
      <w:r>
        <w:t xml:space="preserve">consultations et pré-consultations ;</w:t>
      </w:r>
    </w:p>
    <w:p>
      <w:pPr>
        <w:pStyle w:val="ListParagraph"/>
        <w:numPr>
          <w:ilvl w:val="0"/>
          <w:numId w:val="2"/>
        </w:numPr>
        <w:spacing w:after="60" w:line="264"/>
      </w:pPr>
      <w:r>
        <w:t xml:space="preserve">documents associés aux prises en charge ;</w:t>
      </w:r>
    </w:p>
    <w:p>
      <w:pPr>
        <w:pStyle w:val="ListParagraph"/>
        <w:numPr>
          <w:ilvl w:val="0"/>
          <w:numId w:val="2"/>
        </w:numPr>
        <w:spacing w:after="60" w:line="264"/>
      </w:pPr>
      <w:r>
        <w:t xml:space="preserve">traitements et allergies déclarés ;</w:t>
      </w:r>
    </w:p>
    <w:p>
      <w:pPr>
        <w:pStyle w:val="ListParagraph"/>
        <w:numPr>
          <w:ilvl w:val="0"/>
          <w:numId w:val="2"/>
        </w:numPr>
        <w:spacing w:after="60" w:line="264"/>
      </w:pPr>
      <w:r>
        <w:t xml:space="preserve">historique des accès et du partage, autorisations en cours.</w:t>
      </w:r>
    </w:p>
    <w:p>
      <w:pPr>
        <w:pStyle w:val="Heading2"/>
      </w:pPr>
      <w:r>
        <w:t xml:space="preserve">5.4 Contrôle du patient avant tout accès médical</w:t>
      </w:r>
    </w:p>
    <w:p>
      <w:pPr>
        <w:spacing w:after="120" w:line="276"/>
      </w:pPr>
      <w:r>
        <w:t xml:space="preserve">Avant qu'un professionnel ne voie la moindre donnée, l'écran d'approbation affiche : le médecin identifié, l'établissement, le périmètre demandé et la durée. Le patient accepte ou refuse. Il peut ensuite prolonger (deux fois) ou révoquer à tout moment.</w:t>
      </w:r>
    </w:p>
    <w:p>
      <w:pPr>
        <w:pStyle w:val="Heading1"/>
      </w:pPr>
      <w:bookmarkStart w:name="sec6" w:id="1"/>
      <w:r>
        <w:t xml:space="preserve">6. Création et administration d'un établissement</w:t>
      </w:r>
      <w:bookmarkEnd w:id="1"/>
    </w:p>
    <w:p>
      <w:pPr>
        <w:pStyle w:val="Heading2"/>
      </w:pPr>
      <w:r>
        <w:t xml:space="preserve">6.1 Création libre</w:t>
      </w:r>
    </w:p>
    <w:p>
      <w:pPr>
        <w:spacing w:after="120" w:line="276"/>
      </w:pPr>
      <w:r>
        <w:t xml:space="preserve">Le responsable crée librement son établissement. Informations minimales : nom, type, ville, adresse, téléphone, e-mail, responsable et informations d'identification complémentaires.</w:t>
      </w:r>
    </w:p>
    <w:p>
      <w:pPr>
        <w:pStyle w:val="Heading2"/>
      </w:pPr>
      <w:r>
        <w:t xml:space="preserve">6.2 Activation</w:t>
      </w:r>
    </w:p>
    <w:p>
      <w:pPr>
        <w:keepNext/>
        <w:keepLines/>
        <w:shd w:fill="F3F6F4" w:color="auto" w:val="clear"/>
        <w:spacing w:after="0" w:before="80" w:line="240"/>
        <w:ind w:left="120"/>
      </w:pPr>
      <w:r>
        <w:rPr>
          <w:rFonts w:ascii="Courier New" w:cs="Courier New" w:eastAsia="Courier New" w:hAnsi="Courier New"/>
          <w:sz w:val="17"/>
          <w:szCs w:val="17"/>
        </w:rPr>
        <w:t xml:space="preserve">  Responsable ─► Créer l'établissement ─► Soumission</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keepLines/>
        <w:shd w:fill="F3F6F4" w:color="auto" w:val="clear"/>
        <w:spacing w:after="0" w:before="0" w:line="240"/>
        <w:ind w:left="120"/>
      </w:pPr>
      <w:r>
        <w:rPr>
          <w:rFonts w:ascii="Courier New" w:cs="Courier New" w:eastAsia="Courier New" w:hAnsi="Courier New"/>
          <w:sz w:val="17"/>
          <w:szCs w:val="17"/>
        </w:rPr>
        <w:t xml:space="preserve">                                    Validation startup</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val="false"/>
        <w:keepLines/>
        <w:shd w:fill="F3F6F4" w:color="auto" w:val="clear"/>
        <w:spacing w:after="160" w:before="0" w:line="240"/>
        <w:ind w:left="120"/>
      </w:pPr>
      <w:r>
        <w:rPr>
          <w:rFonts w:ascii="Courier New" w:cs="Courier New" w:eastAsia="Courier New" w:hAnsi="Courier New"/>
          <w:sz w:val="17"/>
          <w:szCs w:val="17"/>
        </w:rPr>
        <w:t xml:space="preserve">  Établissement actif ─► Créateur = Root ─► Code établissement interne</w:t>
      </w:r>
    </w:p>
    <w:p>
      <w:pPr>
        <w:spacing w:after="120" w:line="276"/>
      </w:pPr>
      <w:r>
        <w:t xml:space="preserve">La validation par la startup est une étape d'activation. Elle ne doit pas être confondue avec une certification médicale générale.</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pBdr>
          <w:left w:val="single" w:color="2E7D4F" w:sz="24" w:space="8"/>
        </w:pBdr>
        <w:shd w:fill="E6F0E8" w:color="auto" w:val="clear"/>
        <w:spacing w:after="0" w:before="40" w:line="264"/>
        <w:ind w:left="200" w:right="100"/>
      </w:pPr>
      <w:r>
        <w:rPr>
          <w:b/>
          <w:bCs/>
          <w:sz w:val="20"/>
          <w:szCs w:val="20"/>
        </w:rPr>
        <w:t xml:space="preserve">Établissement</w:t>
      </w:r>
      <w:r>
        <w:rPr>
          <w:sz w:val="20"/>
          <w:szCs w:val="20"/>
        </w:rPr>
        <w:t xml:space="preserve"> : création libre par son responsable, puis validation par la startup.</w:t>
      </w:r>
    </w:p>
    <w:p>
      <w:pPr>
        <w:keepNext w:val="false"/>
        <w:pBdr>
          <w:left w:val="single" w:color="2E7D4F" w:sz="24" w:space="8"/>
        </w:pBdr>
        <w:shd w:fill="E6F0E8" w:color="auto" w:val="clear"/>
        <w:spacing w:after="180" w:before="40" w:line="264"/>
        <w:ind w:left="200" w:right="100"/>
      </w:pPr>
      <w:r>
        <w:rPr>
          <w:b/>
          <w:bCs/>
          <w:sz w:val="20"/>
          <w:szCs w:val="20"/>
        </w:rPr>
        <w:t xml:space="preserve">Root</w:t>
      </w:r>
      <w:r>
        <w:rPr>
          <w:sz w:val="20"/>
          <w:szCs w:val="20"/>
        </w:rPr>
        <w:t xml:space="preserve"> : le créateur, une fois l'établissement validé.</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Procédure exacte de validation startup</w:t>
      </w:r>
      <w:r>
        <w:rPr>
          <w:sz w:val="20"/>
          <w:szCs w:val="20"/>
        </w:rPr>
        <w:t xml:space="preserve"> d'un établissement (pièces demandées, vérifications, délai, responsable de la validation).</w:t>
      </w:r>
    </w:p>
    <w:p>
      <w:pPr>
        <w:pStyle w:val="Heading2"/>
      </w:pPr>
      <w:r>
        <w:t xml:space="preserve">6.3 Root / administrateur de l'établissement</w:t>
      </w:r>
    </w:p>
    <w:p>
      <w:pPr>
        <w:spacing w:after="120" w:line="276"/>
      </w:pPr>
      <w:r>
        <w:t xml:space="preserve">Le Root peut : gérer la fiche de la structure ; voir les membres ; confirmer ou refuser les demandes de rattachement ; gérer les départs ; gérer les droits organisationnels prévus ; consulter les éléments organisationnels. Il ne consulte des données cliniques que si le périmètre d'accès l'autorise explicitement ; toute consultation administrative sensible est motivée et journalisée.</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Périmètre exact de l'administrateur d'établissement sur les dossiers traités</w:t>
      </w:r>
      <w:r>
        <w:rPr>
          <w:sz w:val="20"/>
          <w:szCs w:val="20"/>
        </w:rPr>
        <w:t xml:space="preserve"> (quelles données, sur quels motifs, avec quelle autorisation du patient). Tant que ce point est ouvert, le Root n'a aucun accès clinique.</w:t>
      </w:r>
    </w:p>
    <w:p>
      <w:pPr>
        <w:pStyle w:val="Heading1"/>
      </w:pPr>
      <w:bookmarkStart w:name="sec7" w:id="1"/>
      <w:r>
        <w:t xml:space="preserve">7. Rattachement médecin / établissement</w:t>
      </w:r>
      <w:bookmarkEnd w:id="1"/>
    </w:p>
    <w:p>
      <w:pPr>
        <w:pStyle w:val="Heading2"/>
      </w:pPr>
      <w:r>
        <w:t xml:space="preserve">7.1 Parcours</w:t>
      </w:r>
    </w:p>
    <w:p>
      <w:pPr>
        <w:keepNext/>
        <w:keepLines/>
        <w:shd w:fill="F3F6F4" w:color="auto" w:val="clear"/>
        <w:spacing w:after="0" w:before="80" w:line="240"/>
        <w:ind w:left="120"/>
      </w:pPr>
      <w:r>
        <w:rPr>
          <w:rFonts w:ascii="Courier New" w:cs="Courier New" w:eastAsia="Courier New" w:hAnsi="Courier New"/>
          <w:sz w:val="17"/>
          <w:szCs w:val="17"/>
        </w:rPr>
        <w:t xml:space="preserve">  Médecin ─► Créer compte professionnel ─► Activer le MFA TOTP</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keepLines/>
        <w:shd w:fill="F3F6F4" w:color="auto" w:val="clear"/>
        <w:spacing w:after="0" w:before="0" w:line="240"/>
        <w:ind w:left="120"/>
      </w:pPr>
      <w:r>
        <w:rPr>
          <w:rFonts w:ascii="Courier New" w:cs="Courier New" w:eastAsia="Courier New" w:hAnsi="Courier New"/>
          <w:sz w:val="17"/>
          <w:szCs w:val="17"/>
        </w:rPr>
        <w:t xml:space="preserve">  Identité + informations professionnelles + justificatifs</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keepLines/>
        <w:shd w:fill="F3F6F4" w:color="auto" w:val="clear"/>
        <w:spacing w:after="0" w:before="0" w:line="240"/>
        <w:ind w:left="120"/>
      </w:pPr>
      <w:r>
        <w:rPr>
          <w:rFonts w:ascii="Courier New" w:cs="Courier New" w:eastAsia="Courier New" w:hAnsi="Courier New"/>
          <w:sz w:val="17"/>
          <w:szCs w:val="17"/>
        </w:rPr>
        <w:t xml:space="preserve">  Saisir le code établissement ─► Demande de rattachement</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val="false"/>
        <w:keepLines/>
        <w:shd w:fill="F3F6F4" w:color="auto" w:val="clear"/>
        <w:spacing w:after="160" w:before="0" w:line="240"/>
        <w:ind w:left="120"/>
      </w:pPr>
      <w:r>
        <w:rPr>
          <w:rFonts w:ascii="Courier New" w:cs="Courier New" w:eastAsia="Courier New" w:hAnsi="Courier New"/>
          <w:sz w:val="17"/>
          <w:szCs w:val="17"/>
        </w:rPr>
        <w:t xml:space="preserve">  Root confirme / refuse ─► Vérification professionnelle ─► Rattachement actif</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pBdr>
          <w:left w:val="single" w:color="2E7D4F" w:sz="24" w:space="8"/>
        </w:pBdr>
        <w:shd w:fill="E6F0E8" w:color="auto" w:val="clear"/>
        <w:spacing w:after="0" w:before="40" w:line="264"/>
        <w:ind w:left="200" w:right="100"/>
      </w:pPr>
      <w:r>
        <w:rPr>
          <w:b/>
          <w:bCs/>
          <w:sz w:val="20"/>
          <w:szCs w:val="20"/>
        </w:rPr>
        <w:t xml:space="preserve">Médecin</w:t>
      </w:r>
      <w:r>
        <w:rPr>
          <w:sz w:val="20"/>
          <w:szCs w:val="20"/>
        </w:rPr>
        <w:t xml:space="preserve"> : compte professionnel en V1, créé par le médecin lui-même.</w:t>
      </w:r>
    </w:p>
    <w:p>
      <w:pPr>
        <w:keepNext w:val="false"/>
        <w:pBdr>
          <w:left w:val="single" w:color="2E7D4F" w:sz="24" w:space="8"/>
        </w:pBdr>
        <w:shd w:fill="E6F0E8" w:color="auto" w:val="clear"/>
        <w:spacing w:after="180" w:before="40" w:line="264"/>
        <w:ind w:left="200" w:right="100"/>
      </w:pPr>
      <w:r>
        <w:rPr>
          <w:b/>
          <w:bCs/>
          <w:sz w:val="20"/>
          <w:szCs w:val="20"/>
        </w:rPr>
        <w:t xml:space="preserve">Code établissement</w:t>
      </w:r>
      <w:r>
        <w:rPr>
          <w:sz w:val="20"/>
          <w:szCs w:val="20"/>
        </w:rPr>
        <w:t xml:space="preserve"> : clé de rattachement interne. Ce n'est pas une preuve autonome de qualification professionnelle.</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Niveau exact de vérification professionnelle</w:t>
      </w:r>
      <w:r>
        <w:rPr>
          <w:sz w:val="20"/>
          <w:szCs w:val="20"/>
        </w:rPr>
        <w:t xml:space="preserve"> (documents, ordre professionnel, vérification manuelle ou croisée) et responsable de cette vérification.</w:t>
      </w:r>
    </w:p>
    <w:p>
      <w:pPr>
        <w:pStyle w:val="Heading2"/>
      </w:pPr>
      <w:r>
        <w:t xml:space="preserve">7.2 Multi-établissements</w:t>
      </w:r>
    </w:p>
    <w:p>
      <w:pPr>
        <w:spacing w:after="120" w:line="276"/>
      </w:pPr>
      <w:r>
        <w:t xml:space="preserve">Un professionnel peut être rattaché à plusieurs établissements. Avant toute action clinique, il choisit son </w:t>
      </w:r>
      <w:r>
        <w:rPr>
          <w:b/>
          <w:bCs/>
        </w:rPr>
        <w:t xml:space="preserve">établissement actif</w:t>
      </w:r>
      <w:r>
        <w:t xml:space="preserve"> parmi ses rattachements. L'établissement actif est ensuite figé sur la prise en charge concernée.</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b/>
          <w:bCs/>
          <w:sz w:val="20"/>
          <w:szCs w:val="20"/>
        </w:rPr>
        <w:t xml:space="preserve">Multi-établissements</w:t>
      </w:r>
      <w:r>
        <w:rPr>
          <w:sz w:val="20"/>
          <w:szCs w:val="20"/>
        </w:rPr>
        <w:t xml:space="preserve"> : sélecteur d'établissement actif, figé sur la prise en charge.</w:t>
      </w:r>
    </w:p>
    <w:p>
      <w:pPr>
        <w:pStyle w:val="Heading2"/>
      </w:pPr>
      <w:r>
        <w:t xml:space="preserve">7.3 Départ d'un professionnel</w:t>
      </w:r>
    </w:p>
    <w:p>
      <w:pPr>
        <w:pStyle w:val="ListParagraph"/>
        <w:numPr>
          <w:ilvl w:val="0"/>
          <w:numId w:val="2"/>
        </w:numPr>
        <w:spacing w:after="60" w:line="264"/>
      </w:pPr>
      <w:r>
        <w:t xml:space="preserve">le rattachement actif est suspendu ou supprimé ;</w:t>
      </w:r>
    </w:p>
    <w:p>
      <w:pPr>
        <w:pStyle w:val="ListParagraph"/>
        <w:numPr>
          <w:ilvl w:val="0"/>
          <w:numId w:val="2"/>
        </w:numPr>
        <w:spacing w:after="60" w:line="264"/>
      </w:pPr>
      <w:r>
        <w:t xml:space="preserve">ses droits futurs dans cet établissement sont bloqués immédiatement ;</w:t>
      </w:r>
    </w:p>
    <w:p>
      <w:pPr>
        <w:pStyle w:val="ListParagraph"/>
        <w:numPr>
          <w:ilvl w:val="0"/>
          <w:numId w:val="2"/>
        </w:numPr>
        <w:spacing w:after="60" w:line="264"/>
      </w:pPr>
      <w:r>
        <w:t xml:space="preserve">ses consultations passées restent dans leur contexte et leurs traces d'audit sont conservées (section 12.2).</w:t>
      </w:r>
    </w:p>
    <w:p>
      <w:pPr>
        <w:pStyle w:val="Heading1"/>
      </w:pPr>
      <w:bookmarkStart w:name="sec8" w:id="1"/>
      <w:r>
        <w:t xml:space="preserve">8. Pré-consultation et rôle de l'infirmier</w:t>
      </w:r>
      <w:bookmarkEnd w:id="1"/>
    </w:p>
    <w:p>
      <w:pPr>
        <w:pStyle w:val="Heading2"/>
      </w:pPr>
      <w:r>
        <w:t xml:space="preserve">8.1 Principe : pas de compte infirmier en V1</w:t>
      </w:r>
    </w:p>
    <w:p>
      <w:pPr>
        <w:spacing w:after="120" w:line="276"/>
      </w:pPr>
      <w:r>
        <w:t xml:space="preserve">La pré-consultation est une contribution distincte de la consultation médicale, liée à la même prise en charge. Elle est saisie </w:t>
      </w:r>
      <w:r>
        <w:rPr>
          <w:b/>
          <w:bCs/>
        </w:rPr>
        <w:t xml:space="preserve">directement dans le compte du patient</w:t>
      </w:r>
      <w:r>
        <w:t xml:space="preserve">, sur le téléphone du patient, avec l'aide d'un infirmier lorsque l'établissement en dispose. L'infirmier n'a pas d'identité numérique dans le produit en V1.</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pBdr>
          <w:left w:val="single" w:color="2E7D4F" w:sz="24" w:space="8"/>
        </w:pBdr>
        <w:shd w:fill="E6F0E8" w:color="auto" w:val="clear"/>
        <w:spacing w:after="0" w:before="40" w:line="264"/>
        <w:ind w:left="200" w:right="100"/>
      </w:pPr>
      <w:r>
        <w:rPr>
          <w:b/>
          <w:bCs/>
          <w:sz w:val="20"/>
          <w:szCs w:val="20"/>
        </w:rPr>
        <w:t xml:space="preserve">Infirmier</w:t>
      </w:r>
      <w:r>
        <w:rPr>
          <w:sz w:val="20"/>
          <w:szCs w:val="20"/>
        </w:rPr>
        <w:t xml:space="preserve"> : aucun compte professionnel autonome, aucun espace et aucun rôle d'authentification en V1. Aucun écran de connexion, de rattachement ou d'historique infirmier n'est livré.</w:t>
      </w:r>
    </w:p>
    <w:p>
      <w:pPr>
        <w:keepNext w:val="false"/>
        <w:pBdr>
          <w:left w:val="single" w:color="2E7D4F" w:sz="24" w:space="8"/>
        </w:pBdr>
        <w:shd w:fill="E6F0E8" w:color="auto" w:val="clear"/>
        <w:spacing w:after="180" w:before="40" w:line="264"/>
        <w:ind w:left="200" w:right="100"/>
      </w:pPr>
      <w:r>
        <w:rPr>
          <w:b/>
          <w:bCs/>
          <w:sz w:val="20"/>
          <w:szCs w:val="20"/>
        </w:rPr>
        <w:t xml:space="preserve">Pré-consultation</w:t>
      </w:r>
      <w:r>
        <w:rPr>
          <w:sz w:val="20"/>
          <w:szCs w:val="20"/>
        </w:rPr>
        <w:t xml:space="preserve"> : livrée en V1, dans le parcours patient / prise en charge. Le patient conserve son téléphone pendant tout le parcours.</w:t>
      </w:r>
    </w:p>
    <w:p>
      <w:pPr>
        <w:pStyle w:val="Heading2"/>
      </w:pPr>
      <w:r>
        <w:t xml:space="preserve">8.2 Déroulé</w:t>
      </w:r>
    </w:p>
    <w:p>
      <w:pPr>
        <w:keepNext/>
        <w:keepLines/>
        <w:shd w:fill="F3F6F4" w:color="auto" w:val="clear"/>
        <w:spacing w:after="0" w:before="80" w:line="240"/>
        <w:ind w:left="120"/>
      </w:pPr>
      <w:r>
        <w:rPr>
          <w:rFonts w:ascii="Courier New" w:cs="Courier New" w:eastAsia="Courier New" w:hAnsi="Courier New"/>
          <w:sz w:val="17"/>
          <w:szCs w:val="17"/>
        </w:rPr>
        <w:t xml:space="preserve">  Patient arrive ─► Prise en charge ─► Pré-consultation saisie dans le compte patient</w:t>
      </w:r>
    </w:p>
    <w:p>
      <w:pPr>
        <w:keepNext/>
        <w:keepLines/>
        <w:shd w:fill="F3F6F4" w:color="auto" w:val="clear"/>
        <w:spacing w:after="0" w:before="0" w:line="240"/>
        <w:ind w:left="120"/>
      </w:pPr>
      <w:r>
        <w:rPr>
          <w:rFonts w:ascii="Courier New" w:cs="Courier New" w:eastAsia="Courier New" w:hAnsi="Courier New"/>
          <w:sz w:val="17"/>
          <w:szCs w:val="17"/>
        </w:rPr>
        <w:t xml:space="preserve">                                       (constantes · motif · observations)</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keepLines/>
        <w:shd w:fill="F3F6F4" w:color="auto" w:val="clear"/>
        <w:spacing w:after="0" w:before="0" w:line="240"/>
        <w:ind w:left="120"/>
      </w:pPr>
      <w:r>
        <w:rPr>
          <w:rFonts w:ascii="Courier New" w:cs="Courier New" w:eastAsia="Courier New" w:hAnsi="Courier New"/>
          <w:sz w:val="17"/>
          <w:szCs w:val="17"/>
        </w:rPr>
        <w:t xml:space="preserve">                                       Pré-consultation clôturée et conservée</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keepLines/>
        <w:shd w:fill="F3F6F4" w:color="auto" w:val="clear"/>
        <w:spacing w:after="0" w:before="0" w:line="240"/>
        <w:ind w:left="120"/>
      </w:pPr>
      <w:r>
        <w:rPr>
          <w:rFonts w:ascii="Courier New" w:cs="Courier New" w:eastAsia="Courier New" w:hAnsi="Courier New"/>
          <w:sz w:val="17"/>
          <w:szCs w:val="17"/>
        </w:rPr>
        <w:t xml:space="preserve">  Médecin demande l'accès / QR ─► Patient autorise ─► Médecin consulte</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val="false"/>
        <w:keepLines/>
        <w:shd w:fill="F3F6F4" w:color="auto" w:val="clear"/>
        <w:spacing w:after="160" w:before="0" w:line="240"/>
        <w:ind w:left="120"/>
      </w:pPr>
      <w:r>
        <w:rPr>
          <w:rFonts w:ascii="Courier New" w:cs="Courier New" w:eastAsia="Courier New" w:hAnsi="Courier New"/>
          <w:sz w:val="17"/>
          <w:szCs w:val="17"/>
        </w:rPr>
        <w:t xml:space="preserve">                                           Consultation médicale</w:t>
      </w:r>
    </w:p>
    <w:p>
      <w:pPr>
        <w:pStyle w:val="Heading2"/>
      </w:pPr>
      <w:r>
        <w:t xml:space="preserve">8.3 Établissement et intervenant : comment les enregistrer sans compte</w:t>
      </w:r>
    </w:p>
    <w:p>
      <w:pPr>
        <w:spacing w:after="120" w:line="276"/>
      </w:pPr>
      <w:r>
        <w:t xml:space="preserve">Sans compte infirmier, deux questions doivent être tranchées : comment la pré-consultation est rattachée à un établissement, et comment mentionner la personne qui a réalisé les mesures. La proposition ci-dessous respecte l'invariant « aucun établissement implicite » et ne présente jamais comme vérifiée une identité qui ne l'est pas.</w:t>
      </w:r>
    </w:p>
    <w:p>
      <w:pPr>
        <w:keepNext/>
        <w:pBdr>
          <w:left w:val="single" w:color="3B6EA5" w:sz="24" w:space="8"/>
        </w:pBdr>
        <w:shd w:fill="E8F0F8" w:color="auto" w:val="clear"/>
        <w:spacing w:after="0" w:before="140"/>
        <w:ind w:left="200" w:right="100"/>
      </w:pPr>
      <w:r>
        <w:rPr>
          <w:b/>
          <w:bCs/>
          <w:color w:val="3B6EA5"/>
          <w:sz w:val="17"/>
          <w:szCs w:val="17"/>
        </w:rPr>
        <w:t xml:space="preserve">PROPOSITION DE TRAVAIL</w:t>
      </w:r>
    </w:p>
    <w:p>
      <w:pPr>
        <w:keepNext/>
        <w:pBdr>
          <w:left w:val="single" w:color="3B6EA5" w:sz="24" w:space="8"/>
        </w:pBdr>
        <w:shd w:fill="E8F0F8" w:color="auto" w:val="clear"/>
        <w:spacing w:after="0" w:before="40" w:line="264"/>
        <w:ind w:left="200" w:right="100"/>
      </w:pPr>
      <w:r>
        <w:rPr>
          <w:b/>
          <w:bCs/>
          <w:sz w:val="20"/>
          <w:szCs w:val="20"/>
        </w:rPr>
        <w:t xml:space="preserve">Établissement</w:t>
      </w:r>
      <w:r>
        <w:rPr>
          <w:sz w:val="20"/>
          <w:szCs w:val="20"/>
        </w:rPr>
        <w:t xml:space="preserve"> : choisi par le patient parmi les établissements actifs au démarrage de la pré-consultation ; le serveur refuse tout établissement non actif. Le médecin confirme ou corrige l'établissement à la consultation.</w:t>
      </w:r>
    </w:p>
    <w:p>
      <w:pPr>
        <w:keepNext/>
        <w:pBdr>
          <w:left w:val="single" w:color="3B6EA5" w:sz="24" w:space="8"/>
        </w:pBdr>
        <w:shd w:fill="E8F0F8" w:color="auto" w:val="clear"/>
        <w:spacing w:after="0" w:before="40" w:line="264"/>
        <w:ind w:left="200" w:right="100"/>
      </w:pPr>
      <w:r>
        <w:rPr>
          <w:b/>
          <w:bCs/>
          <w:sz w:val="20"/>
          <w:szCs w:val="20"/>
        </w:rPr>
        <w:t xml:space="preserve">Intervenant</w:t>
      </w:r>
      <w:r>
        <w:rPr>
          <w:sz w:val="20"/>
          <w:szCs w:val="20"/>
        </w:rPr>
        <w:t xml:space="preserve"> : champ facultatif « réalisé avec l'aide de » (nom saisi, texte libre), affiché comme </w:t>
      </w:r>
      <w:r>
        <w:rPr>
          <w:b/>
          <w:bCs/>
          <w:sz w:val="20"/>
          <w:szCs w:val="20"/>
        </w:rPr>
        <w:t xml:space="preserve">non authentifié</w:t>
      </w:r>
      <w:r>
        <w:rPr>
          <w:sz w:val="20"/>
          <w:szCs w:val="20"/>
        </w:rPr>
        <w:t xml:space="preserve">. Il ne donne aucun droit et ne remplace pas la confirmation d'un médecin.</w:t>
      </w:r>
    </w:p>
    <w:p>
      <w:pPr>
        <w:keepNext w:val="false"/>
        <w:pBdr>
          <w:left w:val="single" w:color="3B6EA5" w:sz="24" w:space="8"/>
        </w:pBdr>
        <w:shd w:fill="E8F0F8" w:color="auto" w:val="clear"/>
        <w:spacing w:after="180" w:before="40" w:line="264"/>
        <w:ind w:left="200" w:right="100"/>
      </w:pPr>
      <w:r>
        <w:rPr>
          <w:b/>
          <w:bCs/>
          <w:sz w:val="20"/>
          <w:szCs w:val="20"/>
        </w:rPr>
        <w:t xml:space="preserve">Provenance</w:t>
      </w:r>
      <w:r>
        <w:rPr>
          <w:sz w:val="20"/>
          <w:szCs w:val="20"/>
        </w:rPr>
        <w:t xml:space="preserve"> : « Relevé en pré-consultation — saisi dans le compte patient ». Le médecin peut confirmer ou contester chaque constante lors de la consultation.</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Mode d'attribution</w:t>
      </w:r>
      <w:r>
        <w:rPr>
          <w:sz w:val="20"/>
          <w:szCs w:val="20"/>
        </w:rPr>
        <w:t xml:space="preserve"> de l'établissement et de l'intervenant dans la pré-consultation (proposition ci-dessus, ou ouverture de la prise en charge côté établissement). Ce point remplace l'ancien point « validation des infirmiers ».</w:t>
      </w:r>
    </w:p>
    <w:p>
      <w:pPr>
        <w:pStyle w:val="Heading2"/>
      </w:pPr>
      <w:r>
        <w:t xml:space="preserve">8.4 Données possibles</w:t>
      </w:r>
    </w:p>
    <w:p>
      <w:pPr>
        <w:spacing w:after="120" w:line="276"/>
      </w:pPr>
      <w:r>
        <w:t xml:space="preserve">Socle proposé, à valider médicalement. La pré-consultation ne constitue pas un diagnostic : le diagnostic et la validation médicale relèvent de la consultation du médecin.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trPr>
        <w:tc>
          <w:tcPr>
            <w:tcW w:type="dxa" w:w="3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Donnée</w:t>
            </w:r>
          </w:p>
        </w:tc>
        <w:tc>
          <w:tcPr>
            <w:tcW w:type="dxa" w:w="3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Format proposé</w:t>
            </w:r>
          </w:p>
        </w:tc>
        <w:tc>
          <w:tcPr>
            <w:tcW w:type="dxa" w:w="32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Remarque</w:t>
            </w:r>
          </w:p>
        </w:tc>
      </w:tr>
      <w:tr>
        <w:trPr>
          <w:cantSplit/>
        </w:trPr>
        <w:tc>
          <w:tcPr>
            <w:tcW w:type="dxa" w:w="3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Poids · taille</w:t>
            </w:r>
          </w:p>
        </w:tc>
        <w:tc>
          <w:tcPr>
            <w:tcW w:type="dxa" w:w="3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kg · cm</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Valeurs numériques bornées.</w:t>
            </w:r>
          </w:p>
        </w:tc>
      </w:tr>
      <w:tr>
        <w:trPr>
          <w:cantSplit/>
        </w:trPr>
        <w:tc>
          <w:tcPr>
            <w:tcW w:type="dxa" w:w="3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Température</w:t>
            </w:r>
          </w:p>
        </w:tc>
        <w:tc>
          <w:tcPr>
            <w:tcW w:type="dxa" w:w="3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°C</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p>
        </w:tc>
      </w:tr>
      <w:tr>
        <w:trPr>
          <w:cantSplit/>
        </w:trPr>
        <w:tc>
          <w:tcPr>
            <w:tcW w:type="dxa" w:w="3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Tension artérielle</w:t>
            </w:r>
          </w:p>
        </w:tc>
        <w:tc>
          <w:tcPr>
            <w:tcW w:type="dxa" w:w="3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mmHg (systolique / diastolique)</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p>
        </w:tc>
      </w:tr>
      <w:tr>
        <w:trPr>
          <w:cantSplit/>
        </w:trPr>
        <w:tc>
          <w:tcPr>
            <w:tcW w:type="dxa" w:w="3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Fréquence cardiaque · saturation</w:t>
            </w:r>
          </w:p>
        </w:tc>
        <w:tc>
          <w:tcPr>
            <w:tcW w:type="dxa" w:w="3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bpm · %</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p>
        </w:tc>
      </w:tr>
      <w:tr>
        <w:trPr>
          <w:cantSplit/>
        </w:trPr>
        <w:tc>
          <w:tcPr>
            <w:tcW w:type="dxa" w:w="3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Glycémie</w:t>
            </w:r>
          </w:p>
        </w:tc>
        <w:tc>
          <w:tcPr>
            <w:tcW w:type="dxa" w:w="3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Unité à fixer</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Si pertinente.</w:t>
            </w:r>
          </w:p>
        </w:tc>
      </w:tr>
      <w:tr>
        <w:trPr>
          <w:cantSplit/>
        </w:trPr>
        <w:tc>
          <w:tcPr>
            <w:tcW w:type="dxa" w:w="3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Motif · observations</w:t>
            </w:r>
          </w:p>
        </w:tc>
        <w:tc>
          <w:tcPr>
            <w:tcW w:type="dxa" w:w="3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Texte</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p>
        </w:tc>
      </w:tr>
      <w:tr>
        <w:trPr>
          <w:cantSplit/>
        </w:trPr>
        <w:tc>
          <w:tcPr>
            <w:tcW w:type="dxa" w:w="3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Douleur (EVA)</w:t>
            </w:r>
          </w:p>
        </w:tc>
        <w:tc>
          <w:tcPr>
            <w:tcW w:type="dxa" w:w="3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0 à 10</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p>
        </w:tc>
      </w:tr>
      <w:tr>
        <w:trPr>
          <w:cantSplit/>
        </w:trPr>
        <w:tc>
          <w:tcPr>
            <w:tcW w:type="dxa" w:w="3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Allergies · traitements déclarés</w:t>
            </w:r>
          </w:p>
        </w:tc>
        <w:tc>
          <w:tcPr>
            <w:tcW w:type="dxa" w:w="3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Repris du profil patient</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Statut « déclaré ».</w:t>
            </w:r>
          </w:p>
        </w:tc>
      </w:tr>
      <w:tr>
        <w:trPr>
          <w:cantSplit/>
        </w:trPr>
        <w:tc>
          <w:tcPr>
            <w:tcW w:type="dxa" w:w="3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Document associé</w:t>
            </w:r>
          </w:p>
        </w:tc>
        <w:tc>
          <w:tcPr>
            <w:tcW w:type="dxa" w:w="3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PDF / image</w:t>
            </w:r>
          </w:p>
        </w:tc>
        <w:tc>
          <w:tcPr>
            <w:tcW w:type="dxa" w:w="3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Contrôle de type et de taille (section 12).</w:t>
            </w:r>
          </w:p>
        </w:tc>
      </w:tr>
    </w:tbl>
    <w:p>
      <w:pPr>
        <w:spacing w:after="120"/>
      </w:pP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Liste définitive des champs de pré-consultation</w:t>
      </w:r>
      <w:r>
        <w:rPr>
          <w:sz w:val="20"/>
          <w:szCs w:val="20"/>
        </w:rPr>
        <w:t xml:space="preserve"> (champs obligatoires, unités, bornes), à valider avec le médecin référent.</w:t>
      </w:r>
    </w:p>
    <w:p>
      <w:pPr>
        <w:pStyle w:val="Heading2"/>
      </w:pPr>
      <w:r>
        <w:t xml:space="preserve">8.5 Immutabilité après clôture</w:t>
      </w:r>
    </w:p>
    <w:p>
      <w:pPr>
        <w:pStyle w:val="ListParagraph"/>
        <w:numPr>
          <w:ilvl w:val="0"/>
          <w:numId w:val="2"/>
        </w:numPr>
        <w:spacing w:after="60" w:line="264"/>
      </w:pPr>
      <w:r>
        <w:t xml:space="preserve">la pré-consultation clôturée est conservée dans l'historique, avec sa provenance visible ;</w:t>
      </w:r>
    </w:p>
    <w:p>
      <w:pPr>
        <w:pStyle w:val="ListParagraph"/>
        <w:numPr>
          <w:ilvl w:val="0"/>
          <w:numId w:val="2"/>
        </w:numPr>
        <w:spacing w:after="60" w:line="264"/>
      </w:pPr>
      <w:r>
        <w:t xml:space="preserve">elle ne modifie pas automatiquement les données permanentes du patient ;</w:t>
      </w:r>
    </w:p>
    <w:p>
      <w:pPr>
        <w:pStyle w:val="ListParagraph"/>
        <w:numPr>
          <w:ilvl w:val="0"/>
          <w:numId w:val="2"/>
        </w:numPr>
        <w:spacing w:after="60" w:line="264"/>
      </w:pPr>
      <w:r>
        <w:t xml:space="preserve">une divergence se traite par ajout ou correction traçable, jamais par écrasement silencieux ;</w:t>
      </w:r>
    </w:p>
    <w:p>
      <w:pPr>
        <w:pStyle w:val="ListParagraph"/>
        <w:numPr>
          <w:ilvl w:val="0"/>
          <w:numId w:val="2"/>
        </w:numPr>
        <w:spacing w:after="60" w:line="264"/>
      </w:pPr>
      <w:r>
        <w:t xml:space="preserve">la clôture est idempotente côté serveur (un double envoi ne crée pas deux pré-consultations).</w:t>
      </w:r>
    </w:p>
    <w:p>
      <w:pPr>
        <w:pStyle w:val="Heading1"/>
      </w:pPr>
      <w:bookmarkStart w:name="sec9" w:id="1"/>
      <w:r>
        <w:t xml:space="preserve">9. Accès médecin et AccessGrant</w:t>
      </w:r>
      <w:bookmarkEnd w:id="1"/>
    </w:p>
    <w:p>
      <w:pPr>
        <w:pStyle w:val="Heading2"/>
      </w:pPr>
      <w:r>
        <w:t xml:space="preserve">9.1 Principe</w:t>
      </w:r>
    </w:p>
    <w:p>
      <w:pPr>
        <w:spacing w:after="120" w:line="276"/>
      </w:pPr>
      <w:r>
        <w:t xml:space="preserve">Le médecin ne voit rien avant l'autorisation du patient. Le QR et la demande in-app ne sont que deux portes d'entrée vers </w:t>
      </w:r>
      <w:r>
        <w:rPr>
          <w:b/>
          <w:bCs/>
        </w:rPr>
        <w:t xml:space="preserve">un même objet serveur</w:t>
      </w:r>
      <w:r>
        <w:t xml:space="preserve"> : l'AccessGrant.</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pBdr>
          <w:left w:val="single" w:color="2E7D4F" w:sz="24" w:space="8"/>
        </w:pBdr>
        <w:shd w:fill="E6F0E8" w:color="auto" w:val="clear"/>
        <w:spacing w:after="0" w:before="40" w:line="264"/>
        <w:ind w:left="200" w:right="100"/>
      </w:pPr>
      <w:r>
        <w:rPr>
          <w:b/>
          <w:bCs/>
          <w:sz w:val="20"/>
          <w:szCs w:val="20"/>
        </w:rPr>
        <w:t xml:space="preserve">Médecin</w:t>
      </w:r>
      <w:r>
        <w:rPr>
          <w:sz w:val="20"/>
          <w:szCs w:val="20"/>
        </w:rPr>
        <w:t xml:space="preserve"> : accès aux données du patient uniquement après autorisation.</w:t>
      </w:r>
    </w:p>
    <w:p>
      <w:pPr>
        <w:keepNext w:val="false"/>
        <w:pBdr>
          <w:left w:val="single" w:color="2E7D4F" w:sz="24" w:space="8"/>
        </w:pBdr>
        <w:shd w:fill="E6F0E8" w:color="auto" w:val="clear"/>
        <w:spacing w:after="180" w:before="40" w:line="264"/>
        <w:ind w:left="200" w:right="100"/>
      </w:pPr>
      <w:r>
        <w:rPr>
          <w:b/>
          <w:bCs/>
          <w:sz w:val="20"/>
          <w:szCs w:val="20"/>
        </w:rPr>
        <w:t xml:space="preserve">AccessGrant</w:t>
      </w:r>
      <w:r>
        <w:rPr>
          <w:sz w:val="20"/>
          <w:szCs w:val="20"/>
        </w:rPr>
        <w:t xml:space="preserve"> : objet central du partage temporaire.</w:t>
      </w:r>
    </w:p>
    <w:p>
      <w:pPr>
        <w:pStyle w:val="Heading2"/>
      </w:pPr>
      <w:r>
        <w:t xml:space="preserve">9.2 États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938"/>
      </w:tblGrid>
      <w:tr>
        <w:trPr>
          <w:cantSplit/>
          <w:tblHeader/>
        </w:trPr>
        <w:tc>
          <w:tcPr>
            <w:tcW w:type="dxa" w:w="15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État</w:t>
            </w:r>
          </w:p>
        </w:tc>
        <w:tc>
          <w:tcPr>
            <w:tcW w:type="dxa" w:w="5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Signification</w:t>
            </w:r>
          </w:p>
        </w:tc>
        <w:tc>
          <w:tcPr>
            <w:tcW w:type="dxa" w:w="29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Données visibles par le médecin</w:t>
            </w:r>
          </w:p>
        </w:tc>
      </w:tr>
      <w:tr>
        <w:trPr>
          <w:cantSplit/>
        </w:trPr>
        <w:tc>
          <w:tcPr>
            <w:tcW w:type="dxa" w:w="15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pending</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Demande créée (in-app ou QR), en attente du patient.</w:t>
            </w:r>
          </w:p>
        </w:tc>
        <w:tc>
          <w:tcPr>
            <w:tcW w:type="dxa" w:w="2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Aucune</w:t>
            </w:r>
          </w:p>
        </w:tc>
      </w:tr>
      <w:tr>
        <w:trPr>
          <w:cantSplit/>
        </w:trPr>
        <w:tc>
          <w:tcPr>
            <w:tcW w:type="dxa" w:w="15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active</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Patient a autorisé ; fenêtre d'accès ouverte.</w:t>
            </w:r>
          </w:p>
        </w:tc>
        <w:tc>
          <w:tcPr>
            <w:tcW w:type="dxa" w:w="2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Selon le scope accordé</w:t>
            </w:r>
          </w:p>
        </w:tc>
      </w:tr>
      <w:tr>
        <w:trPr>
          <w:cantSplit/>
        </w:trPr>
        <w:tc>
          <w:tcPr>
            <w:tcW w:type="dxa" w:w="15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refused</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Patient a refusé. État ajouté en V8 pour tracer le refus.</w:t>
            </w:r>
          </w:p>
        </w:tc>
        <w:tc>
          <w:tcPr>
            <w:tcW w:type="dxa" w:w="2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Aucune</w:t>
            </w:r>
          </w:p>
        </w:tc>
      </w:tr>
      <w:tr>
        <w:trPr>
          <w:cantSplit/>
        </w:trPr>
        <w:tc>
          <w:tcPr>
            <w:tcW w:type="dxa" w:w="15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expired</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Fenêtre terminée ; fermeture imposée par le serveur.</w:t>
            </w:r>
          </w:p>
        </w:tc>
        <w:tc>
          <w:tcPr>
            <w:tcW w:type="dxa" w:w="2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Aucune</w:t>
            </w:r>
          </w:p>
        </w:tc>
      </w:tr>
      <w:tr>
        <w:trPr>
          <w:cantSplit/>
        </w:trPr>
        <w:tc>
          <w:tcPr>
            <w:tcW w:type="dxa" w:w="15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revoked</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Patient a retiré l'accès avant la fin.</w:t>
            </w:r>
          </w:p>
        </w:tc>
        <w:tc>
          <w:tcPr>
            <w:tcW w:type="dxa" w:w="2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Aucune</w:t>
            </w:r>
          </w:p>
        </w:tc>
      </w:tr>
    </w:tbl>
    <w:p>
      <w:pPr>
        <w:spacing w:after="120"/>
      </w:pPr>
    </w:p>
    <w:p>
      <w:pPr>
        <w:keepNext/>
        <w:keepLines/>
        <w:shd w:fill="F3F6F4" w:color="auto" w:val="clear"/>
        <w:spacing w:after="0" w:before="80" w:line="240"/>
        <w:ind w:left="120"/>
      </w:pPr>
      <w:r>
        <w:rPr>
          <w:rFonts w:ascii="Courier New" w:cs="Courier New" w:eastAsia="Courier New" w:hAnsi="Courier New"/>
          <w:sz w:val="17"/>
          <w:szCs w:val="17"/>
        </w:rPr>
        <w:t xml:space="preserve">  pending ──► active ──► expired</w:t>
      </w:r>
    </w:p>
    <w:p>
      <w:pPr>
        <w:keepNext/>
        <w:keepLines/>
        <w:shd w:fill="F3F6F4" w:color="auto" w:val="clear"/>
        <w:spacing w:after="0" w:before="0" w:line="240"/>
        <w:ind w:left="120"/>
      </w:pPr>
      <w:r>
        <w:rPr>
          <w:rFonts w:ascii="Courier New" w:cs="Courier New" w:eastAsia="Courier New" w:hAnsi="Courier New"/>
          <w:sz w:val="17"/>
          <w:szCs w:val="17"/>
        </w:rPr>
        <w:t xml:space="preserve">     │           └─────► revoked</w:t>
      </w:r>
    </w:p>
    <w:p>
      <w:pPr>
        <w:keepNext w:val="false"/>
        <w:keepLines/>
        <w:shd w:fill="F3F6F4" w:color="auto" w:val="clear"/>
        <w:spacing w:after="160" w:before="0" w:line="240"/>
        <w:ind w:left="120"/>
      </w:pPr>
      <w:r>
        <w:rPr>
          <w:rFonts w:ascii="Courier New" w:cs="Courier New" w:eastAsia="Courier New" w:hAnsi="Courier New"/>
          <w:sz w:val="17"/>
          <w:szCs w:val="17"/>
        </w:rPr>
        <w:t xml:space="preserve">     └─────► refused</w:t>
      </w:r>
    </w:p>
    <w:p>
      <w:pPr>
        <w:pStyle w:val="Heading2"/>
      </w:pPr>
      <w:r>
        <w:t xml:space="preserve">9.3 Contenu logique et périmètre</w:t>
      </w:r>
    </w:p>
    <w:p>
      <w:pPr>
        <w:spacing w:after="120" w:line="276"/>
      </w:pPr>
      <w:r>
        <w:t xml:space="preserve">Un AccessGrant lie simultanément </w:t>
      </w:r>
      <w:r>
        <w:rPr>
          <w:b/>
          <w:bCs/>
        </w:rPr>
        <w:t xml:space="preserve">un patient, un professionnel et un établissement</w:t>
      </w:r>
      <w:r>
        <w:t xml:space="preserve">. Il porte : un scope, un statut, la date de création, le début, l'expiration, l'éventuelle révocation, les prolongations et les événements d'audit associés.</w:t>
      </w:r>
    </w:p>
    <w:p>
      <w:pPr>
        <w:keepNext/>
        <w:pBdr>
          <w:left w:val="single" w:color="3B6EA5" w:sz="24" w:space="8"/>
        </w:pBdr>
        <w:shd w:fill="E8F0F8" w:color="auto" w:val="clear"/>
        <w:spacing w:after="0" w:before="140"/>
        <w:ind w:left="200" w:right="100"/>
      </w:pPr>
      <w:r>
        <w:rPr>
          <w:b/>
          <w:bCs/>
          <w:color w:val="3B6EA5"/>
          <w:sz w:val="17"/>
          <w:szCs w:val="17"/>
        </w:rPr>
        <w:t xml:space="preserve">PROPOSITION DE TRAVAIL</w:t>
      </w:r>
    </w:p>
    <w:p>
      <w:pPr>
        <w:keepNext/>
        <w:pBdr>
          <w:left w:val="single" w:color="3B6EA5" w:sz="24" w:space="8"/>
        </w:pBdr>
        <w:shd w:fill="E8F0F8" w:color="auto" w:val="clear"/>
        <w:spacing w:after="0" w:before="40" w:line="264"/>
        <w:ind w:left="200" w:right="100"/>
      </w:pPr>
      <w:r>
        <w:rPr>
          <w:sz w:val="20"/>
          <w:szCs w:val="20"/>
        </w:rPr>
        <w:t xml:space="preserve">Scopes de départ à discuter : </w:t>
      </w:r>
      <w:r>
        <w:rPr>
          <w:b/>
          <w:bCs/>
          <w:sz w:val="20"/>
          <w:szCs w:val="20"/>
        </w:rPr>
        <w:t xml:space="preserve">S1</w:t>
      </w:r>
      <w:r>
        <w:rPr>
          <w:sz w:val="20"/>
          <w:szCs w:val="20"/>
        </w:rPr>
        <w:t xml:space="preserve"> pré-consultation de la prise en charge ; </w:t>
      </w:r>
      <w:r>
        <w:rPr>
          <w:b/>
          <w:bCs/>
          <w:sz w:val="20"/>
          <w:szCs w:val="20"/>
        </w:rPr>
        <w:t xml:space="preserve">S2</w:t>
      </w:r>
      <w:r>
        <w:rPr>
          <w:sz w:val="20"/>
          <w:szCs w:val="20"/>
        </w:rPr>
        <w:t xml:space="preserve"> antécédents, allergies et traitements déclarés ; </w:t>
      </w:r>
      <w:r>
        <w:rPr>
          <w:b/>
          <w:bCs/>
          <w:sz w:val="20"/>
          <w:szCs w:val="20"/>
        </w:rPr>
        <w:t xml:space="preserve">S3</w:t>
      </w:r>
      <w:r>
        <w:rPr>
          <w:sz w:val="20"/>
          <w:szCs w:val="20"/>
        </w:rPr>
        <w:t xml:space="preserve"> consultations antérieures de l'établissement demandeur ; </w:t>
      </w:r>
      <w:r>
        <w:rPr>
          <w:b/>
          <w:bCs/>
          <w:sz w:val="20"/>
          <w:szCs w:val="20"/>
        </w:rPr>
        <w:t xml:space="preserve">S4</w:t>
      </w:r>
      <w:r>
        <w:rPr>
          <w:sz w:val="20"/>
          <w:szCs w:val="20"/>
        </w:rPr>
        <w:t xml:space="preserve"> documents associés.</w:t>
      </w:r>
    </w:p>
    <w:p>
      <w:pPr>
        <w:keepNext w:val="false"/>
        <w:pBdr>
          <w:left w:val="single" w:color="3B6EA5" w:sz="24" w:space="8"/>
        </w:pBdr>
        <w:shd w:fill="E8F0F8" w:color="auto" w:val="clear"/>
        <w:spacing w:after="180" w:before="40" w:line="264"/>
        <w:ind w:left="200" w:right="100"/>
      </w:pPr>
      <w:r>
        <w:rPr>
          <w:sz w:val="20"/>
          <w:szCs w:val="20"/>
        </w:rPr>
        <w:t xml:space="preserve">S1 et S2 proposés par défaut ; S3 et S4 activés explicitement par le patient. Aucun scope ne donne accès au contenu d'un autre établissement (invariant d'isolation).</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Scope exact de chaque type d'accès</w:t>
      </w:r>
      <w:r>
        <w:rPr>
          <w:sz w:val="20"/>
          <w:szCs w:val="20"/>
        </w:rPr>
        <w:t xml:space="preserve"> et valeurs par défaut.</w:t>
      </w:r>
    </w:p>
    <w:p>
      <w:pPr>
        <w:pStyle w:val="Heading2"/>
      </w:pPr>
      <w:r>
        <w:t xml:space="preserve">9.4 Durée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238"/>
      </w:tblGrid>
      <w:tr>
        <w:trPr>
          <w:cantSplit/>
          <w:tblHeader/>
        </w:trPr>
        <w:tc>
          <w:tcPr>
            <w:tcW w:type="dxa" w:w="5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Étape</w:t>
            </w:r>
          </w:p>
        </w:tc>
        <w:tc>
          <w:tcPr>
            <w:tcW w:type="dxa" w:w="2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Durée</w:t>
            </w:r>
          </w:p>
        </w:tc>
        <w:tc>
          <w:tcPr>
            <w:tcW w:type="dxa" w:w="22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Cumul</w:t>
            </w:r>
          </w:p>
        </w:tc>
      </w:tr>
      <w:tr>
        <w:trPr>
          <w:cantSplit/>
        </w:trPr>
        <w:tc>
          <w:tcPr>
            <w:tcW w:type="dxa" w:w="5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Fenêtre initiale</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2 h</w:t>
            </w:r>
          </w:p>
        </w:tc>
        <w:tc>
          <w:tcPr>
            <w:tcW w:type="dxa" w:w="2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2 h</w:t>
            </w:r>
          </w:p>
        </w:tc>
      </w:tr>
      <w:tr>
        <w:trPr>
          <w:cantSplit/>
        </w:trPr>
        <w:tc>
          <w:tcPr>
            <w:tcW w:type="dxa" w:w="5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Première prolongation (accordée par le patient)</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+ 1 h</w:t>
            </w:r>
          </w:p>
        </w:tc>
        <w:tc>
          <w:tcPr>
            <w:tcW w:type="dxa" w:w="2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3 h</w:t>
            </w:r>
          </w:p>
        </w:tc>
      </w:tr>
      <w:tr>
        <w:trPr>
          <w:cantSplit/>
        </w:trPr>
        <w:tc>
          <w:tcPr>
            <w:tcW w:type="dxa" w:w="5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Seconde prolongation (accordée par le patient)</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+ 1 h</w:t>
            </w:r>
          </w:p>
        </w:tc>
        <w:tc>
          <w:tcPr>
            <w:tcW w:type="dxa" w:w="2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4 h (maximum)</w:t>
            </w:r>
          </w:p>
        </w:tc>
      </w:tr>
      <w:tr>
        <w:trPr>
          <w:cantSplit/>
        </w:trPr>
        <w:tc>
          <w:tcPr>
            <w:tcW w:type="dxa" w:w="5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Après expiration</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Fermeture par le serveur</w:t>
            </w:r>
          </w:p>
        </w:tc>
        <w:tc>
          <w:tcPr>
            <w:tcW w:type="dxa" w:w="2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Toute requête refusée</w:t>
            </w:r>
          </w:p>
        </w:tc>
      </w:tr>
    </w:tbl>
    <w:p>
      <w:pPr>
        <w:spacing w:after="120"/>
      </w:pP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b/>
          <w:bCs/>
          <w:sz w:val="20"/>
          <w:szCs w:val="20"/>
        </w:rPr>
        <w:t xml:space="preserve">Accès</w:t>
      </w:r>
      <w:r>
        <w:rPr>
          <w:sz w:val="20"/>
          <w:szCs w:val="20"/>
        </w:rPr>
        <w:t xml:space="preserve"> : 2 h initiales + 2 prolongations d'1 h (4 h maximum). Fermeture et expiration contrôlées par le serveur, jamais par l'interface.</w:t>
      </w:r>
    </w:p>
    <w:p>
      <w:pPr>
        <w:pStyle w:val="Heading2"/>
      </w:pPr>
      <w:r>
        <w:t xml:space="preserve">9.5 QR</w:t>
      </w:r>
    </w:p>
    <w:p>
      <w:pPr>
        <w:spacing w:after="120" w:line="276"/>
      </w:pPr>
      <w:r>
        <w:t xml:space="preserve">Le QR ne contient aucune donnée médicale. Il contient un identifiant non devinable qui initie la demande. Il est à usage unique et de courte durée ; un QR expiré ou déjà utilisé est refusé.</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b/>
          <w:bCs/>
          <w:sz w:val="20"/>
          <w:szCs w:val="20"/>
        </w:rPr>
        <w:t xml:space="preserve">QR</w:t>
      </w:r>
      <w:r>
        <w:rPr>
          <w:sz w:val="20"/>
          <w:szCs w:val="20"/>
        </w:rPr>
        <w:t xml:space="preserve"> : transport d'une demande d'accès, jamais de données médicales.</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Durée de validité d'une demande ou d'un QR</w:t>
      </w:r>
      <w:r>
        <w:rPr>
          <w:sz w:val="20"/>
          <w:szCs w:val="20"/>
        </w:rPr>
        <w:t xml:space="preserve"> non utilisé (ordre de grandeur proposé : quelques minutes).</w:t>
      </w:r>
    </w:p>
    <w:p>
      <w:pPr>
        <w:pStyle w:val="Heading1"/>
      </w:pPr>
      <w:bookmarkStart w:name="sec10" w:id="1"/>
      <w:r>
        <w:t xml:space="preserve">10. Consultation médicale</w:t>
      </w:r>
      <w:bookmarkEnd w:id="1"/>
    </w:p>
    <w:p>
      <w:pPr>
        <w:pStyle w:val="Heading2"/>
      </w:pPr>
      <w:r>
        <w:t xml:space="preserve">10.1 Reprise de la pré-consultation</w:t>
      </w:r>
    </w:p>
    <w:p>
      <w:pPr>
        <w:spacing w:after="120" w:line="276"/>
      </w:pPr>
      <w:r>
        <w:t xml:space="preserve">Après autorisation, le médecin retrouve la pré-consultation existante. Il ne ressaisit pas les constantes. Il complète puis valide la consultation médicale dans sa propre contribution.</w:t>
      </w:r>
    </w:p>
    <w:p>
      <w:pPr>
        <w:pStyle w:val="Heading2"/>
      </w:pPr>
      <w:r>
        <w:t xml:space="preserve">10.2 Consultation configurable</w:t>
      </w:r>
    </w:p>
    <w:p>
      <w:pPr>
        <w:spacing w:after="120" w:line="276"/>
      </w:pPr>
      <w:r>
        <w:t xml:space="preserve">Le produit n'impose pas un formulaire médical universel. Un socle commun est fourni ; les établissements et médecins peuvent configurer les champs autorisés dans le périmètre retenu. Les champs de sécurité, de traçabilité et d'obligations médicales ne peuvent pas être supprimés.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Bloc du socle</w:t>
            </w:r>
          </w:p>
        </w:tc>
        <w:tc>
          <w:tcPr>
            <w:tcW w:type="dxa" w:w="66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Contenu</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Identification</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Date et heure, médecin, établissement / service, motif.</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Contexte et histoire</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Contexte, histoire, symptômes.</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Examen</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Examen clinique.</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Analyse</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Hypothèses / diagnostic.</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Actes et conduite</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Actes, examens, prise en charge.</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Documents et traçabilité</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Pièces associées, auteur, version, statut de validation.</w:t>
            </w:r>
          </w:p>
        </w:tc>
      </w:tr>
    </w:tbl>
    <w:p>
      <w:pPr>
        <w:spacing w:after="120"/>
      </w:pP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Liste définitive des champs communs de consultation</w:t>
      </w:r>
      <w:r>
        <w:rPr>
          <w:sz w:val="20"/>
          <w:szCs w:val="20"/>
        </w:rPr>
        <w:t xml:space="preserve">, à valider avec le médecin référent.</w:t>
      </w:r>
    </w:p>
    <w:p>
      <w:pPr>
        <w:pStyle w:val="Heading2"/>
      </w:pPr>
      <w:r>
        <w:t xml:space="preserve">10.3 Contenu minimal en V1</w:t>
      </w:r>
    </w:p>
    <w:p>
      <w:pPr>
        <w:spacing w:after="120" w:line="276"/>
      </w:pPr>
      <w:r>
        <w:t xml:space="preserve">Motif, observations, conclusion, conduite à tenir, auteur, établissement, date et statut de validation.</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b/>
          <w:bCs/>
          <w:sz w:val="20"/>
          <w:szCs w:val="20"/>
        </w:rPr>
        <w:t xml:space="preserve">Ordonnance structurée</w:t>
      </w:r>
      <w:r>
        <w:rPr>
          <w:sz w:val="20"/>
          <w:szCs w:val="20"/>
        </w:rPr>
        <w:t xml:space="preserve"> : reportée en V2.</w:t>
      </w:r>
    </w:p>
    <w:p>
      <w:pPr>
        <w:pStyle w:val="Heading2"/>
      </w:pPr>
      <w:r>
        <w:t xml:space="preserve">10.4 Validation et corrections</w:t>
      </w:r>
    </w:p>
    <w:p>
      <w:pPr>
        <w:keepNext/>
        <w:pBdr>
          <w:left w:val="single" w:color="3B6EA5" w:sz="24" w:space="8"/>
        </w:pBdr>
        <w:shd w:fill="E8F0F8" w:color="auto" w:val="clear"/>
        <w:spacing w:after="0" w:before="140"/>
        <w:ind w:left="200" w:right="100"/>
      </w:pPr>
      <w:r>
        <w:rPr>
          <w:b/>
          <w:bCs/>
          <w:color w:val="3B6EA5"/>
          <w:sz w:val="17"/>
          <w:szCs w:val="17"/>
        </w:rPr>
        <w:t xml:space="preserve">PROPOSITION DE TRAVAIL</w:t>
      </w:r>
    </w:p>
    <w:p>
      <w:pPr>
        <w:keepNext w:val="false"/>
        <w:pBdr>
          <w:left w:val="single" w:color="3B6EA5" w:sz="24" w:space="8"/>
        </w:pBdr>
        <w:shd w:fill="E8F0F8" w:color="auto" w:val="clear"/>
        <w:spacing w:after="180" w:before="40" w:line="264"/>
        <w:ind w:left="200" w:right="100"/>
      </w:pPr>
      <w:r>
        <w:rPr>
          <w:sz w:val="20"/>
          <w:szCs w:val="20"/>
        </w:rPr>
        <w:t xml:space="preserve">Une fois validée, la consultation n'est pas écrasée : toute correction passe par un </w:t>
      </w:r>
      <w:r>
        <w:rPr>
          <w:b/>
          <w:bCs/>
          <w:sz w:val="20"/>
          <w:szCs w:val="20"/>
        </w:rPr>
        <w:t xml:space="preserve">addendum</w:t>
      </w:r>
      <w:r>
        <w:rPr>
          <w:sz w:val="20"/>
          <w:szCs w:val="20"/>
        </w:rPr>
        <w:t xml:space="preserve"> daté, signé et audité. Cette règle prolonge celle de la pré-consultation.</w:t>
      </w:r>
    </w:p>
    <w:p>
      <w:pPr>
        <w:pStyle w:val="Heading1"/>
      </w:pPr>
      <w:bookmarkStart w:name="sec11" w:id="1"/>
      <w:r>
        <w:t xml:space="preserve">11. Antécédents, provenance et signature</w:t>
      </w:r>
      <w:bookmarkEnd w:id="1"/>
    </w:p>
    <w:p>
      <w:pPr>
        <w:pStyle w:val="Heading2"/>
      </w:pPr>
      <w:r>
        <w:t xml:space="preserve">11.1 Statuts d'un antécédent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Statut</w:t>
            </w:r>
          </w:p>
        </w:tc>
        <w:tc>
          <w:tcPr>
            <w:tcW w:type="dxa" w:w="61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Origine</w:t>
            </w:r>
          </w:p>
        </w:tc>
      </w:tr>
      <w:tr>
        <w:trPr>
          <w:cantSplit/>
        </w:trPr>
        <w:tc>
          <w:tcPr>
            <w:tcW w:type="dxa" w:w="35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Déclaré par le patient</w:t>
            </w:r>
          </w:p>
        </w:tc>
        <w:tc>
          <w:tcPr>
            <w:tcW w:type="dxa" w:w="61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Saisie initiale du patient.</w:t>
            </w:r>
          </w:p>
        </w:tc>
      </w:tr>
      <w:tr>
        <w:trPr>
          <w:cantSplit/>
        </w:trPr>
        <w:tc>
          <w:tcPr>
            <w:tcW w:type="dxa" w:w="35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Confirmé par un médecin</w:t>
            </w:r>
          </w:p>
        </w:tc>
        <w:tc>
          <w:tcPr>
            <w:tcW w:type="dxa" w:w="61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Un médecin vérifié confirme, avec motif et attestation.</w:t>
            </w:r>
          </w:p>
        </w:tc>
      </w:tr>
      <w:tr>
        <w:trPr>
          <w:cantSplit/>
        </w:trPr>
        <w:tc>
          <w:tcPr>
            <w:tcW w:type="dxa" w:w="35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Non confirmé / contesté</w:t>
            </w:r>
          </w:p>
        </w:tc>
        <w:tc>
          <w:tcPr>
            <w:tcW w:type="dxa" w:w="61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Le médecin conteste, avec motif ; la déclaration originale reste visible.</w:t>
            </w:r>
          </w:p>
        </w:tc>
      </w:tr>
      <w:tr>
        <w:trPr>
          <w:cantSplit/>
        </w:trPr>
        <w:tc>
          <w:tcPr>
            <w:tcW w:type="dxa" w:w="35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Annulé avec historique</w:t>
            </w:r>
          </w:p>
        </w:tc>
        <w:tc>
          <w:tcPr>
            <w:tcW w:type="dxa" w:w="61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Retiré du carnet actif, historique conservé.</w:t>
            </w:r>
          </w:p>
        </w:tc>
      </w:tr>
    </w:tbl>
    <w:p>
      <w:pPr>
        <w:spacing w:after="120"/>
      </w:pPr>
    </w:p>
    <w:p>
      <w:pPr>
        <w:pStyle w:val="Heading2"/>
      </w:pPr>
      <w:r>
        <w:t xml:space="preserve">11.2 Confirmation et attestation</w:t>
      </w:r>
    </w:p>
    <w:p>
      <w:pPr>
        <w:spacing w:after="120" w:line="276"/>
      </w:pPr>
      <w:r>
        <w:t xml:space="preserve">En V1, </w:t>
      </w:r>
      <w:r>
        <w:rPr>
          <w:b/>
          <w:bCs/>
        </w:rPr>
        <w:t xml:space="preserve">un seul médecin vérifié</w:t>
      </w:r>
      <w:r>
        <w:t xml:space="preserve"> suffit pour confirmer un antécédent. Une confirmation exige : l'identité professionnelle, un motif, l'attestation / signature SVG, la date, l'établissement actif et une trace d'audit.</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b/>
          <w:bCs/>
          <w:sz w:val="20"/>
          <w:szCs w:val="20"/>
        </w:rPr>
        <w:t xml:space="preserve">Signature médicale</w:t>
      </w:r>
      <w:r>
        <w:rPr>
          <w:sz w:val="20"/>
          <w:szCs w:val="20"/>
        </w:rPr>
        <w:t xml:space="preserve"> : attestation SVG selon le workflow. Elle atteste le geste professionnel ; elle n'est pas une signature électronique qualifiée et ne doit jamais être présentée comme telle.</w:t>
      </w:r>
    </w:p>
    <w:p>
      <w:pPr>
        <w:pStyle w:val="Heading2"/>
      </w:pPr>
      <w:r>
        <w:t xml:space="preserve">11.3 Règle de provenance</w:t>
      </w:r>
    </w:p>
    <w:p>
      <w:pPr>
        <w:spacing w:after="120" w:line="276"/>
      </w:pPr>
      <w:r>
        <w:t xml:space="preserve">Le médecin ne remplace jamais silencieusement la déclaration originale. La provenance est visible à l'écran par une icône </w:t>
      </w:r>
      <w:r>
        <w:rPr>
          <w:b/>
          <w:bCs/>
        </w:rPr>
        <w:t xml:space="preserve">et</w:t>
      </w:r>
      <w:r>
        <w:t xml:space="preserve"> un libellé, pour ne dépendre ni de la couleur seule ni d'une icône seule.</w:t>
      </w:r>
    </w:p>
    <w:p>
      <w:pPr>
        <w:pStyle w:val="Heading1"/>
      </w:pPr>
      <w:bookmarkStart w:name="sec12" w:id="1"/>
      <w:r>
        <w:t xml:space="preserve">12. Documents, historique et continuité</w:t>
      </w:r>
      <w:bookmarkEnd w:id="1"/>
    </w:p>
    <w:p>
      <w:pPr>
        <w:pStyle w:val="Heading2"/>
      </w:pPr>
      <w:r>
        <w:t xml:space="preserve">12.1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Version</w:t>
            </w:r>
          </w:p>
        </w:tc>
        <w:tc>
          <w:tcPr>
            <w:tcW w:type="dxa" w:w="81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Périmètre</w:t>
            </w:r>
          </w:p>
        </w:tc>
      </w:tr>
      <w:tr>
        <w:trPr>
          <w:cantSplit/>
        </w:trPr>
        <w:tc>
          <w:tcPr>
            <w:tcW w:type="dxa" w:w="15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V1</w:t>
            </w:r>
          </w:p>
        </w:tc>
        <w:tc>
          <w:tcPr>
            <w:tcW w:type="dxa" w:w="81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Pièces associées aux prises en charge ; justificatifs limités lorsqu'ils sont nécessaires ; métadonnées de provenance ; contrôle du type et de la taille ; stockage privé, accès par URL signée courte.</w:t>
            </w:r>
          </w:p>
        </w:tc>
      </w:tr>
      <w:tr>
        <w:trPr>
          <w:cantSplit/>
        </w:trPr>
        <w:tc>
          <w:tcPr>
            <w:tcW w:type="dxa" w:w="15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V2</w:t>
            </w:r>
          </w:p>
        </w:tc>
        <w:tc>
          <w:tcPr>
            <w:tcW w:type="dxa" w:w="81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Documents médicaux riches, analyses, imagerie, ordonnances structurées, export du carnet.</w:t>
            </w:r>
          </w:p>
        </w:tc>
      </w:tr>
    </w:tbl>
    <w:p>
      <w:pPr>
        <w:spacing w:after="120"/>
      </w:pPr>
    </w:p>
    <w:p>
      <w:pPr>
        <w:keepNext/>
        <w:pBdr>
          <w:left w:val="single" w:color="3B6EA5" w:sz="24" w:space="8"/>
        </w:pBdr>
        <w:shd w:fill="E8F0F8" w:color="auto" w:val="clear"/>
        <w:spacing w:after="0" w:before="140"/>
        <w:ind w:left="200" w:right="100"/>
      </w:pPr>
      <w:r>
        <w:rPr>
          <w:b/>
          <w:bCs/>
          <w:color w:val="3B6EA5"/>
          <w:sz w:val="17"/>
          <w:szCs w:val="17"/>
        </w:rPr>
        <w:t xml:space="preserve">PROPOSITION DE TRAVAIL</w:t>
      </w:r>
    </w:p>
    <w:p>
      <w:pPr>
        <w:keepNext w:val="false"/>
        <w:pBdr>
          <w:left w:val="single" w:color="3B6EA5" w:sz="24" w:space="8"/>
        </w:pBdr>
        <w:shd w:fill="E8F0F8" w:color="auto" w:val="clear"/>
        <w:spacing w:after="180" w:before="40" w:line="264"/>
        <w:ind w:left="200" w:right="100"/>
      </w:pPr>
      <w:r>
        <w:rPr>
          <w:sz w:val="20"/>
          <w:szCs w:val="20"/>
        </w:rPr>
        <w:t xml:space="preserve">Formats acceptés en V1 : PDF, JPEG, PNG ; taille maximale de l'ordre de 10 Mo ; contrôle antivirus avant mise à disposition ; aucun document médical dans Redis ni dans le HTML public.</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pBdr>
          <w:left w:val="single" w:color="C98A00" w:sz="24" w:space="8"/>
        </w:pBdr>
        <w:shd w:fill="FFF4DC" w:color="auto" w:val="clear"/>
        <w:spacing w:after="0" w:before="40" w:line="264"/>
        <w:ind w:left="200" w:right="100"/>
      </w:pPr>
      <w:r>
        <w:rPr>
          <w:b/>
          <w:bCs/>
          <w:sz w:val="20"/>
          <w:szCs w:val="20"/>
        </w:rPr>
        <w:t xml:space="preserve">Règles de conservation des justificatifs</w:t>
      </w:r>
      <w:r>
        <w:rPr>
          <w:sz w:val="20"/>
          <w:szCs w:val="20"/>
        </w:rPr>
        <w:t xml:space="preserve"> professionnels et établissements.</w:t>
      </w:r>
    </w:p>
    <w:p>
      <w:pPr>
        <w:keepNext w:val="false"/>
        <w:pBdr>
          <w:left w:val="single" w:color="C98A00" w:sz="24" w:space="8"/>
        </w:pBdr>
        <w:shd w:fill="FFF4DC" w:color="auto" w:val="clear"/>
        <w:spacing w:after="180" w:before="40" w:line="264"/>
        <w:ind w:left="200" w:right="100"/>
      </w:pPr>
      <w:r>
        <w:rPr>
          <w:b/>
          <w:bCs/>
          <w:sz w:val="20"/>
          <w:szCs w:val="20"/>
        </w:rPr>
        <w:t xml:space="preserve">Politique exacte de stockage documentaire</w:t>
      </w:r>
      <w:r>
        <w:rPr>
          <w:sz w:val="20"/>
          <w:szCs w:val="20"/>
        </w:rPr>
        <w:t xml:space="preserve"> (durées, chiffrement, suppression, export).</w:t>
      </w:r>
    </w:p>
    <w:p>
      <w:pPr>
        <w:pStyle w:val="Heading2"/>
      </w:pPr>
      <w:r>
        <w:t xml:space="preserve">12.2 Conservation historique et départ d'un professionnel</w:t>
      </w:r>
    </w:p>
    <w:p>
      <w:pPr>
        <w:spacing w:after="120" w:line="276"/>
      </w:pPr>
      <w:r>
        <w:t xml:space="preserve">Une consultation enregistrée reste liée au patient. Lorsqu'un professionnel quitte un établissement, ses anciennes consultations restent dans leur contexte, son rattachement actif est supprimé ou suspendu et ses droits futurs dans cet établissement sont bloqués.</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b/>
          <w:bCs/>
          <w:sz w:val="20"/>
          <w:szCs w:val="20"/>
        </w:rPr>
        <w:t xml:space="preserve">Historique</w:t>
      </w:r>
      <w:r>
        <w:rPr>
          <w:sz w:val="20"/>
          <w:szCs w:val="20"/>
        </w:rPr>
        <w:t xml:space="preserve"> : conservé après le départ d'un professionnel.</w:t>
      </w:r>
    </w:p>
    <w:p>
      <w:pPr>
        <w:pStyle w:val="Heading1"/>
      </w:pPr>
      <w:bookmarkStart w:name="sec13" w:id="1"/>
      <w:r>
        <w:t xml:space="preserve">13. Isolation et sécurité</w:t>
      </w:r>
      <w:bookmarkEnd w:id="1"/>
    </w:p>
    <w:p>
      <w:pPr>
        <w:pStyle w:val="Heading2"/>
      </w:pPr>
      <w:r>
        <w:t xml:space="preserve">13.1 Isolation inter-établissements</w:t>
      </w:r>
    </w:p>
    <w:p>
      <w:pPr>
        <w:keepNext/>
        <w:keepLines/>
        <w:shd w:fill="F3F6F4" w:color="auto" w:val="clear"/>
        <w:spacing w:after="0" w:before="80" w:line="240"/>
        <w:ind w:left="120"/>
      </w:pPr>
      <w:r>
        <w:rPr>
          <w:rFonts w:ascii="Courier New" w:cs="Courier New" w:eastAsia="Courier New" w:hAnsi="Courier New"/>
          <w:sz w:val="17"/>
          <w:szCs w:val="17"/>
        </w:rPr>
        <w:t xml:space="preserve">  Établissement A ── accès à ses prises en charge autorisées</w:t>
      </w:r>
    </w:p>
    <w:p>
      <w:pPr>
        <w:keepNext/>
        <w:keepLines/>
        <w:shd w:fill="F3F6F4" w:color="auto" w:val="clear"/>
        <w:spacing w:after="0" w:before="0" w:line="240"/>
        <w:ind w:left="120"/>
      </w:pPr>
      <w:r>
        <w:rPr>
          <w:rFonts w:ascii="Courier New" w:cs="Courier New" w:eastAsia="Courier New" w:hAnsi="Courier New"/>
          <w:sz w:val="17"/>
          <w:szCs w:val="17"/>
        </w:rPr>
        <w:t xml:space="preserve">  Établissement B ── accès à ses prises en charge autorisées</w:t>
      </w:r>
    </w:p>
    <w:p>
      <w:pPr>
        <w:keepNext w:val="false"/>
        <w:keepLines/>
        <w:shd w:fill="F3F6F4" w:color="auto" w:val="clear"/>
        <w:spacing w:after="160" w:before="0" w:line="240"/>
        <w:ind w:left="120"/>
      </w:pPr>
      <w:r>
        <w:rPr>
          <w:rFonts w:ascii="Courier New" w:cs="Courier New" w:eastAsia="Courier New" w:hAnsi="Courier New"/>
          <w:sz w:val="17"/>
          <w:szCs w:val="17"/>
        </w:rPr>
        <w:t xml:space="preserve">                     A ≠ B</w:t>
      </w:r>
    </w:p>
    <w:p>
      <w:pPr>
        <w:spacing w:after="120" w:line="276"/>
      </w:pPr>
      <w:r>
        <w:t xml:space="preserve">Une consultation réalisée dans A ne devient jamais visible dans B parce que le même médecin y est rattaché.</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b/>
          <w:bCs/>
          <w:sz w:val="20"/>
          <w:szCs w:val="20"/>
        </w:rPr>
        <w:t xml:space="preserve">Isolation</w:t>
      </w:r>
      <w:r>
        <w:rPr>
          <w:sz w:val="20"/>
          <w:szCs w:val="20"/>
        </w:rPr>
        <w:t xml:space="preserve"> entre établissements : non négociable.</w:t>
      </w:r>
    </w:p>
    <w:p>
      <w:pPr>
        <w:pStyle w:val="Heading2"/>
      </w:pPr>
      <w:r>
        <w:t xml:space="preserve">13.2 Contrôles côté serveur</w:t>
      </w:r>
    </w:p>
    <w:p>
      <w:pPr>
        <w:spacing w:after="120" w:line="276"/>
      </w:pPr>
      <w:r>
        <w:t xml:space="preserve">Chaque requête vérifie : l'utilisateur, le rôle, le patient, l'établissement actif, l'AccessGrant, le scope, le statut, l'expiration et le contexte. L'interface seule ne constitue jamais une mesure de sécurité : les gardes de navigation du web ne servent qu'à l'ergonomie.</w:t>
      </w:r>
    </w:p>
    <w:p>
      <w:pPr>
        <w:pStyle w:val="Heading2"/>
      </w:pPr>
      <w:r>
        <w:t xml:space="preserve">13.3 Audit</w:t>
      </w:r>
    </w:p>
    <w:p>
      <w:pPr>
        <w:spacing w:after="120" w:line="276"/>
      </w:pPr>
      <w:r>
        <w:t xml:space="preserve">Chaque action sensible permet de répondre à huit questions : </w:t>
      </w:r>
      <w:r>
        <w:rPr>
          <w:b/>
          <w:bCs/>
        </w:rPr>
        <w:t xml:space="preserve">qui, quoi, quand, pour quel patient, dans quel établissement, avec quel rôle, avec quelle autorisation, quelle version</w:t>
      </w:r>
      <w:r>
        <w:t xml:space="preserve">. Le contenu médical n'est jamais copié dans les journaux techniques.</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b/>
          <w:bCs/>
          <w:sz w:val="20"/>
          <w:szCs w:val="20"/>
        </w:rPr>
        <w:t xml:space="preserve">Audit</w:t>
      </w:r>
      <w:r>
        <w:rPr>
          <w:sz w:val="20"/>
          <w:szCs w:val="20"/>
        </w:rPr>
        <w:t xml:space="preserve"> : append-only, ou équivalent avec conservation de l'historique.</w:t>
      </w:r>
    </w:p>
    <w:p>
      <w:pPr>
        <w:keepNext/>
        <w:pBdr>
          <w:left w:val="single" w:color="3B6EA5" w:sz="24" w:space="8"/>
        </w:pBdr>
        <w:shd w:fill="E8F0F8" w:color="auto" w:val="clear"/>
        <w:spacing w:after="0" w:before="140"/>
        <w:ind w:left="200" w:right="100"/>
      </w:pPr>
      <w:r>
        <w:rPr>
          <w:b/>
          <w:bCs/>
          <w:color w:val="3B6EA5"/>
          <w:sz w:val="17"/>
          <w:szCs w:val="17"/>
        </w:rPr>
        <w:t xml:space="preserve">PROPOSITION DE TRAVAIL</w:t>
      </w:r>
    </w:p>
    <w:p>
      <w:pPr>
        <w:keepNext w:val="false"/>
        <w:pBdr>
          <w:left w:val="single" w:color="3B6EA5" w:sz="24" w:space="8"/>
        </w:pBdr>
        <w:shd w:fill="E8F0F8" w:color="auto" w:val="clear"/>
        <w:spacing w:after="180" w:before="40" w:line="264"/>
        <w:ind w:left="200" w:right="100"/>
      </w:pPr>
      <w:r>
        <w:rPr>
          <w:sz w:val="20"/>
          <w:szCs w:val="20"/>
        </w:rPr>
        <w:t xml:space="preserve">Mise en œuvre : table d'audit sans droit de modification ni de suppression pour le rôle applicatif ; export périodique hors de la base ; durée de conservation à fixer avec le juriste.</w:t>
      </w:r>
    </w:p>
    <w:p>
      <w:pPr>
        <w:pStyle w:val="Heading2"/>
      </w:pPr>
      <w:r>
        <w:t xml:space="preserve">13.4 Mesures de sécurité applicative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Domaine</w:t>
            </w:r>
          </w:p>
        </w:tc>
        <w:tc>
          <w:tcPr>
            <w:tcW w:type="dxa" w:w="74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Mesure</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Transport</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HTTPS partout, HSTS, redirection forcée.</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Sessions</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Sessions serveur, cookies HttpOnly et Secure, rotation à la connexion, révocation côté serveur (section 14.5).</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Authentification</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Mot de passe haché Argon2id ; OAuth ; OTP ; MFA TOTP ; limitation des tentatives sur l'authentification et les codes QR.</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Navigateur</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Protection CSRF, politique CSP, en-têtes de sécurité, validation et échappement des entrées.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Données</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ORM et requêtes paramétrées, validation serveur systématique, UUID partout, horodatages UTC.</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Fichiers</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Stockage privé, URLs signées courtes, contrôle de type, de taille et antivirus.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Secrets</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Hors dépôt, par environnement, rotation documentée.</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Exploitation</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Sauvegardes, restauration testée, staging et production séparés, monitoring sans contenu médical.</w:t>
            </w:r>
          </w:p>
        </w:tc>
      </w:tr>
    </w:tbl>
    <w:p>
      <w:pPr>
        <w:spacing w:after="120"/>
      </w:pPr>
    </w:p>
    <w:p>
      <w:pPr>
        <w:pStyle w:val="Heading2"/>
      </w:pPr>
      <w:r>
        <w:t xml:space="preserve">13.5 Matrice rôles et permissions</w:t>
      </w:r>
    </w:p>
    <w:p>
      <w:pPr>
        <w:spacing w:after="120" w:line="276"/>
      </w:pPr>
      <w:r>
        <w:t xml:space="preserve">Légende : « Oui » autorisé · « Non » interdit · « Si » autorisé sous les conditions indiquées. Cette matrice est la référence des tests de permissions (section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800"/>
        <w:gridCol w:w="1738"/>
        <w:gridCol w:w="1600"/>
      </w:tblGrid>
      <w:tr>
        <w:trPr>
          <w:cantSplit/>
          <w:tblHeader/>
        </w:trPr>
        <w:tc>
          <w:tcPr>
            <w:tcW w:type="dxa" w:w="28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7"/>
                <w:szCs w:val="17"/>
              </w:rPr>
              <w:t xml:space="preserve">Action</w:t>
            </w:r>
          </w:p>
        </w:tc>
        <w:tc>
          <w:tcPr>
            <w:tcW w:type="dxa" w:w="17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7"/>
                <w:szCs w:val="17"/>
              </w:rPr>
              <w:t xml:space="preserve">Patient</w:t>
            </w:r>
          </w:p>
        </w:tc>
        <w:tc>
          <w:tcPr>
            <w:tcW w:type="dxa" w:w="18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7"/>
                <w:szCs w:val="17"/>
              </w:rPr>
              <w:t xml:space="preserve">Médecin</w:t>
            </w:r>
          </w:p>
        </w:tc>
        <w:tc>
          <w:tcPr>
            <w:tcW w:type="dxa" w:w="17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7"/>
                <w:szCs w:val="17"/>
              </w:rPr>
              <w:t xml:space="preserve">Root</w:t>
            </w:r>
          </w:p>
        </w:tc>
        <w:tc>
          <w:tcPr>
            <w:tcW w:type="dxa" w:w="16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7"/>
                <w:szCs w:val="17"/>
              </w:rPr>
              <w:t xml:space="preserve">Startup</w:t>
            </w:r>
          </w:p>
        </w:tc>
      </w:tr>
      <w:tr>
        <w:trPr>
          <w:cantSplit/>
        </w:trPr>
        <w:tc>
          <w:tcPr>
            <w:tcW w:type="dxa" w:w="2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7"/>
                <w:szCs w:val="17"/>
              </w:rPr>
              <w:t xml:space="preserve">Gérer son carnet, ses déclarations</w:t>
            </w:r>
          </w:p>
        </w:tc>
        <w:tc>
          <w:tcPr>
            <w:tcW w:type="dxa" w:w="17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Oui</w:t>
            </w:r>
          </w:p>
        </w:tc>
        <w:tc>
          <w:tcPr>
            <w:tcW w:type="dxa" w:w="1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 (via son contexte patient)</w:t>
            </w:r>
          </w:p>
        </w:tc>
        <w:tc>
          <w:tcPr>
            <w:tcW w:type="dxa" w:w="1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r>
      <w:tr>
        <w:trPr>
          <w:cantSplit/>
        </w:trPr>
        <w:tc>
          <w:tcPr>
            <w:tcW w:type="dxa" w:w="2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7"/>
                <w:szCs w:val="17"/>
              </w:rPr>
              <w:t xml:space="preserve">Saisir une pré-consultation</w:t>
            </w:r>
          </w:p>
        </w:tc>
        <w:tc>
          <w:tcPr>
            <w:tcW w:type="dxa" w:w="17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Oui (aidé d'un infirmier sans compte)</w:t>
            </w:r>
          </w:p>
        </w:tc>
        <w:tc>
          <w:tcPr>
            <w:tcW w:type="dxa" w:w="1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r>
      <w:tr>
        <w:trPr>
          <w:cantSplit/>
        </w:trPr>
        <w:tc>
          <w:tcPr>
            <w:tcW w:type="dxa" w:w="2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7"/>
                <w:szCs w:val="17"/>
              </w:rPr>
              <w:t xml:space="preserve">Autoriser, refuser, prolonger, révoquer un accès</w:t>
            </w:r>
          </w:p>
        </w:tc>
        <w:tc>
          <w:tcPr>
            <w:tcW w:type="dxa" w:w="17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Oui</w:t>
            </w:r>
          </w:p>
        </w:tc>
        <w:tc>
          <w:tcPr>
            <w:tcW w:type="dxa" w:w="1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r>
      <w:tr>
        <w:trPr>
          <w:cantSplit/>
        </w:trPr>
        <w:tc>
          <w:tcPr>
            <w:tcW w:type="dxa" w:w="2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7"/>
                <w:szCs w:val="17"/>
              </w:rPr>
              <w:t xml:space="preserve">Demander un accès (in-app ou QR)</w:t>
            </w:r>
          </w:p>
        </w:tc>
        <w:tc>
          <w:tcPr>
            <w:tcW w:type="dxa" w:w="17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Oui (établissement actif)</w:t>
            </w:r>
          </w:p>
        </w:tc>
        <w:tc>
          <w:tcPr>
            <w:tcW w:type="dxa" w:w="1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r>
      <w:tr>
        <w:trPr>
          <w:cantSplit/>
        </w:trPr>
        <w:tc>
          <w:tcPr>
            <w:tcW w:type="dxa" w:w="2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7"/>
                <w:szCs w:val="17"/>
              </w:rPr>
              <w:t xml:space="preserve">Lire des données cliniques d'un patient</w:t>
            </w:r>
          </w:p>
        </w:tc>
        <w:tc>
          <w:tcPr>
            <w:tcW w:type="dxa" w:w="17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Oui (les siennes)</w:t>
            </w:r>
          </w:p>
        </w:tc>
        <w:tc>
          <w:tcPr>
            <w:tcW w:type="dxa" w:w="1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Si : AccessGrant actif, scope, établissement</w:t>
            </w:r>
          </w:p>
        </w:tc>
        <w:tc>
          <w:tcPr>
            <w:tcW w:type="dxa" w:w="1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Si : périmètre explicite, motif, MFA (à valider)</w:t>
            </w:r>
          </w:p>
        </w:tc>
        <w:tc>
          <w:tcPr>
            <w:tcW w:type="dxa" w:w="1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 (hors procédure exceptionnelle)</w:t>
            </w:r>
          </w:p>
        </w:tc>
      </w:tr>
      <w:tr>
        <w:trPr>
          <w:cantSplit/>
        </w:trPr>
        <w:tc>
          <w:tcPr>
            <w:tcW w:type="dxa" w:w="2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7"/>
                <w:szCs w:val="17"/>
              </w:rPr>
              <w:t xml:space="preserve">Créer et valider une consultation, confirmer un antécédent</w:t>
            </w:r>
          </w:p>
        </w:tc>
        <w:tc>
          <w:tcPr>
            <w:tcW w:type="dxa" w:w="17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Si : AccessGrant actif</w:t>
            </w:r>
          </w:p>
        </w:tc>
        <w:tc>
          <w:tcPr>
            <w:tcW w:type="dxa" w:w="1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r>
      <w:tr>
        <w:trPr>
          <w:cantSplit/>
        </w:trPr>
        <w:tc>
          <w:tcPr>
            <w:tcW w:type="dxa" w:w="2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7"/>
                <w:szCs w:val="17"/>
              </w:rPr>
              <w:t xml:space="preserve">Valider l'activation d'un établissement</w:t>
            </w:r>
          </w:p>
        </w:tc>
        <w:tc>
          <w:tcPr>
            <w:tcW w:type="dxa" w:w="17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Oui</w:t>
            </w:r>
          </w:p>
        </w:tc>
      </w:tr>
      <w:tr>
        <w:trPr>
          <w:cantSplit/>
        </w:trPr>
        <w:tc>
          <w:tcPr>
            <w:tcW w:type="dxa" w:w="2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7"/>
                <w:szCs w:val="17"/>
              </w:rPr>
              <w:t xml:space="preserve">Confirmer ou refuser un rattachement, gérer les départs</w:t>
            </w:r>
          </w:p>
        </w:tc>
        <w:tc>
          <w:tcPr>
            <w:tcW w:type="dxa" w:w="17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c>
          <w:tcPr>
            <w:tcW w:type="dxa" w:w="1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Oui</w:t>
            </w:r>
          </w:p>
        </w:tc>
        <w:tc>
          <w:tcPr>
            <w:tcW w:type="dxa" w:w="1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Non</w:t>
            </w:r>
          </w:p>
        </w:tc>
      </w:tr>
      <w:tr>
        <w:trPr>
          <w:cantSplit/>
        </w:trPr>
        <w:tc>
          <w:tcPr>
            <w:tcW w:type="dxa" w:w="2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7"/>
                <w:szCs w:val="17"/>
              </w:rPr>
              <w:t xml:space="preserve">Consulter le journal d'audit</w:t>
            </w:r>
          </w:p>
        </w:tc>
        <w:tc>
          <w:tcPr>
            <w:tcW w:type="dxa" w:w="17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Si : ce qui le concerne</w:t>
            </w:r>
          </w:p>
        </w:tc>
        <w:tc>
          <w:tcPr>
            <w:tcW w:type="dxa" w:w="1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Si : ses propres actions</w:t>
            </w:r>
          </w:p>
        </w:tc>
        <w:tc>
          <w:tcPr>
            <w:tcW w:type="dxa" w:w="1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Si : son établissement, sans contenu clinique</w:t>
            </w:r>
          </w:p>
        </w:tc>
        <w:tc>
          <w:tcPr>
            <w:tcW w:type="dxa" w:w="1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7"/>
                <w:szCs w:val="17"/>
              </w:rPr>
              <w:t xml:space="preserve">Si : avec motif</w:t>
            </w:r>
          </w:p>
        </w:tc>
      </w:tr>
    </w:tbl>
    <w:p>
      <w:pPr>
        <w:spacing w:after="120"/>
      </w:pPr>
    </w:p>
    <w:p>
      <w:pPr>
        <w:pStyle w:val="Heading2"/>
      </w:pPr>
      <w:r>
        <w:t xml:space="preserve">13.6 Exigences non fonctionnelles (cibles proposées)</w:t>
      </w:r>
    </w:p>
    <w:p>
      <w:pPr>
        <w:keepNext/>
        <w:pBdr>
          <w:left w:val="single" w:color="3B6EA5" w:sz="24" w:space="8"/>
        </w:pBdr>
        <w:shd w:fill="E8F0F8" w:color="auto" w:val="clear"/>
        <w:spacing w:after="0" w:before="140"/>
        <w:ind w:left="200" w:right="100"/>
      </w:pPr>
      <w:r>
        <w:rPr>
          <w:b/>
          <w:bCs/>
          <w:color w:val="3B6EA5"/>
          <w:sz w:val="17"/>
          <w:szCs w:val="17"/>
        </w:rPr>
        <w:t xml:space="preserve">PROPOSITION DE TRAVAIL</w:t>
      </w:r>
    </w:p>
    <w:p>
      <w:pPr>
        <w:keepNext w:val="false"/>
        <w:pBdr>
          <w:left w:val="single" w:color="3B6EA5" w:sz="24" w:space="8"/>
        </w:pBdr>
        <w:shd w:fill="E8F0F8" w:color="auto" w:val="clear"/>
        <w:spacing w:after="180" w:before="40" w:line="264"/>
        <w:ind w:left="200" w:right="100"/>
      </w:pPr>
      <w:r>
        <w:rPr>
          <w:sz w:val="20"/>
          <w:szCs w:val="20"/>
        </w:rPr>
        <w:t xml:space="preserve">Ces cibles servent de base de recette ; elles sont à confirmer à la fin de l'architecture.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Domaine</w:t>
            </w:r>
          </w:p>
        </w:tc>
        <w:tc>
          <w:tcPr>
            <w:tcW w:type="dxa" w:w="72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Cible proposée</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Performance mobile</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Parcours clés utilisables sur Android courant en 4G ; affichage principal en moins de 2,5 s (LCP) sur les pages mesurées.</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Réponse API</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p95 inférieur à 500 ms sur les endpoints courants hors envoi de fichiers.</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Disponibilité (pilote)</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99 % mesurés sur les heures d'ouverture des établissements pilotes.</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Sauvegarde</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Sauvegarde quotidienne ; RPO inférieur ou égal à 24 h ; RTO inférieur ou égal à 4 h ; restauration réellement testée.</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Accessibilité</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WCAG 2.1 AA sur les parcours critiques ; navigation clavier ; contrastes vérifiés.</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Compatibilité</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Chrome Android récent, Safari iOS, Chrome / Edge / Firefox récents sur ordinateur.</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Connexion instable</w:t>
            </w:r>
          </w:p>
        </w:tc>
        <w:tc>
          <w:tcPr>
            <w:tcW w:type="dxa" w:w="7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Messages d'erreur explicites, reprise après coupure, brouillon local limité pour la pré-consultation, clôture idempotente.</w:t>
            </w:r>
          </w:p>
        </w:tc>
      </w:tr>
    </w:tbl>
    <w:p>
      <w:pPr>
        <w:spacing w:after="120"/>
      </w:pPr>
    </w:p>
    <w:p>
      <w:pPr>
        <w:pStyle w:val="Heading1"/>
      </w:pPr>
      <w:bookmarkStart w:name="sec14" w:id="1"/>
      <w:r>
        <w:t xml:space="preserve">14. Architecture technique</w:t>
      </w:r>
      <w:bookmarkEnd w:id="1"/>
    </w:p>
    <w:p>
      <w:pPr>
        <w:pStyle w:val="Heading2"/>
      </w:pPr>
      <w:r>
        <w:t xml:space="preserve">14.1 Décisions et statut</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03/10/2026</w:t>
      </w:r>
    </w:p>
    <w:p>
      <w:pPr>
        <w:keepNext/>
        <w:pBdr>
          <w:left w:val="single" w:color="2E7D4F" w:sz="24" w:space="8"/>
        </w:pBdr>
        <w:shd w:fill="E6F0E8" w:color="auto" w:val="clear"/>
        <w:spacing w:after="0" w:before="40" w:line="264"/>
        <w:ind w:left="200" w:right="100"/>
      </w:pPr>
      <w:r>
        <w:rPr>
          <w:b/>
          <w:bCs/>
          <w:sz w:val="20"/>
          <w:szCs w:val="20"/>
        </w:rPr>
        <w:t xml:space="preserve">Front</w:t>
      </w:r>
      <w:r>
        <w:rPr>
          <w:sz w:val="20"/>
          <w:szCs w:val="20"/>
        </w:rPr>
        <w:t xml:space="preserve"> : Next.js (PWA) hébergé sur </w:t>
      </w:r>
      <w:r>
        <w:rPr>
          <w:b/>
          <w:bCs/>
          <w:sz w:val="20"/>
          <w:szCs w:val="20"/>
        </w:rPr>
        <w:t xml:space="preserve">Vercel</w:t>
      </w:r>
      <w:r>
        <w:rPr>
          <w:sz w:val="20"/>
          <w:szCs w:val="20"/>
        </w:rPr>
        <w:t xml:space="preserve">.</w:t>
      </w:r>
    </w:p>
    <w:p>
      <w:pPr>
        <w:keepNext/>
        <w:pBdr>
          <w:left w:val="single" w:color="2E7D4F" w:sz="24" w:space="8"/>
        </w:pBdr>
        <w:shd w:fill="E6F0E8" w:color="auto" w:val="clear"/>
        <w:spacing w:after="0" w:before="40" w:line="264"/>
        <w:ind w:left="200" w:right="100"/>
      </w:pPr>
      <w:r>
        <w:rPr>
          <w:b/>
          <w:bCs/>
          <w:sz w:val="20"/>
          <w:szCs w:val="20"/>
        </w:rPr>
        <w:t xml:space="preserve">API</w:t>
      </w:r>
      <w:r>
        <w:rPr>
          <w:sz w:val="20"/>
          <w:szCs w:val="20"/>
        </w:rPr>
        <w:t xml:space="preserve"> : </w:t>
      </w:r>
      <w:r>
        <w:rPr>
          <w:b/>
          <w:bCs/>
          <w:sz w:val="20"/>
          <w:szCs w:val="20"/>
        </w:rPr>
        <w:t xml:space="preserve">Django / Django REST Framework</w:t>
      </w:r>
      <w:r>
        <w:rPr>
          <w:sz w:val="20"/>
          <w:szCs w:val="20"/>
        </w:rPr>
        <w:t xml:space="preserve"> hébergé sur </w:t>
      </w:r>
      <w:r>
        <w:rPr>
          <w:b/>
          <w:bCs/>
          <w:sz w:val="20"/>
          <w:szCs w:val="20"/>
        </w:rPr>
        <w:t xml:space="preserve">Render</w:t>
      </w:r>
      <w:r>
        <w:rPr>
          <w:sz w:val="20"/>
          <w:szCs w:val="20"/>
        </w:rPr>
        <w:t xml:space="preserve">.</w:t>
      </w:r>
    </w:p>
    <w:p>
      <w:pPr>
        <w:keepNext/>
        <w:pBdr>
          <w:left w:val="single" w:color="2E7D4F" w:sz="24" w:space="8"/>
        </w:pBdr>
        <w:shd w:fill="E6F0E8" w:color="auto" w:val="clear"/>
        <w:spacing w:after="0" w:before="40" w:line="264"/>
        <w:ind w:left="200" w:right="100"/>
      </w:pPr>
      <w:r>
        <w:rPr>
          <w:b/>
          <w:bCs/>
          <w:sz w:val="20"/>
          <w:szCs w:val="20"/>
        </w:rPr>
        <w:t xml:space="preserve">Base</w:t>
      </w:r>
      <w:r>
        <w:rPr>
          <w:sz w:val="20"/>
          <w:szCs w:val="20"/>
        </w:rPr>
        <w:t xml:space="preserve"> : </w:t>
      </w:r>
      <w:r>
        <w:rPr>
          <w:b/>
          <w:bCs/>
          <w:sz w:val="20"/>
          <w:szCs w:val="20"/>
        </w:rPr>
        <w:t xml:space="preserve">PostgreSQL managé</w:t>
      </w:r>
      <w:r>
        <w:rPr>
          <w:sz w:val="20"/>
          <w:szCs w:val="20"/>
        </w:rPr>
        <w:t xml:space="preserve"> (</w:t>
      </w:r>
      <w:r>
        <w:rPr>
          <w:b/>
          <w:bCs/>
          <w:sz w:val="20"/>
          <w:szCs w:val="20"/>
        </w:rPr>
        <w:t xml:space="preserve">Neon</w:t>
      </w:r>
      <w:r>
        <w:rPr>
          <w:sz w:val="20"/>
          <w:szCs w:val="20"/>
        </w:rPr>
        <w:t xml:space="preserve"> ou </w:t>
      </w:r>
      <w:r>
        <w:rPr>
          <w:b/>
          <w:bCs/>
          <w:sz w:val="20"/>
          <w:szCs w:val="20"/>
        </w:rPr>
        <w:t xml:space="preserve">Render Postgres</w:t>
      </w:r>
      <w:r>
        <w:rPr>
          <w:sz w:val="20"/>
          <w:szCs w:val="20"/>
        </w:rPr>
        <w:t xml:space="preserve">), </w:t>
      </w:r>
      <w:r>
        <w:rPr>
          <w:b/>
          <w:bCs/>
          <w:sz w:val="20"/>
          <w:szCs w:val="20"/>
        </w:rPr>
        <w:t xml:space="preserve">région UE pendant le pilote</w:t>
      </w:r>
      <w:r>
        <w:rPr>
          <w:sz w:val="20"/>
          <w:szCs w:val="20"/>
        </w:rPr>
        <w:t xml:space="preserve">, </w:t>
      </w:r>
      <w:r>
        <w:rPr>
          <w:b/>
          <w:bCs/>
          <w:sz w:val="20"/>
          <w:szCs w:val="20"/>
        </w:rPr>
        <w:t xml:space="preserve">bascule ivoirienne avant toute donnée réelle</w:t>
      </w:r>
      <w:r>
        <w:rPr>
          <w:sz w:val="20"/>
          <w:szCs w:val="20"/>
        </w:rPr>
        <w:t xml:space="preserve">.</w:t>
      </w:r>
    </w:p>
    <w:p>
      <w:pPr>
        <w:keepNext/>
        <w:pBdr>
          <w:left w:val="single" w:color="2E7D4F" w:sz="24" w:space="8"/>
        </w:pBdr>
        <w:shd w:fill="E6F0E8" w:color="auto" w:val="clear"/>
        <w:spacing w:after="0" w:before="40" w:line="264"/>
        <w:ind w:left="200" w:right="100"/>
      </w:pPr>
      <w:r>
        <w:rPr>
          <w:b/>
          <w:bCs/>
          <w:sz w:val="20"/>
          <w:szCs w:val="20"/>
        </w:rPr>
        <w:t xml:space="preserve">Fichiers</w:t>
      </w:r>
      <w:r>
        <w:rPr>
          <w:sz w:val="20"/>
          <w:szCs w:val="20"/>
        </w:rPr>
        <w:t xml:space="preserve"> : stockage privé à </w:t>
      </w:r>
      <w:r>
        <w:rPr>
          <w:b/>
          <w:bCs/>
          <w:sz w:val="20"/>
          <w:szCs w:val="20"/>
        </w:rPr>
        <w:t xml:space="preserve">URLs signées</w:t>
      </w:r>
      <w:r>
        <w:rPr>
          <w:sz w:val="20"/>
          <w:szCs w:val="20"/>
        </w:rPr>
        <w:t xml:space="preserve">.</w:t>
      </w:r>
    </w:p>
    <w:p>
      <w:pPr>
        <w:keepNext/>
        <w:pBdr>
          <w:left w:val="single" w:color="2E7D4F" w:sz="24" w:space="8"/>
        </w:pBdr>
        <w:shd w:fill="E6F0E8" w:color="auto" w:val="clear"/>
        <w:spacing w:after="0" w:before="40" w:line="264"/>
        <w:ind w:left="200" w:right="100"/>
      </w:pPr>
      <w:r>
        <w:rPr>
          <w:b/>
          <w:bCs/>
          <w:sz w:val="20"/>
          <w:szCs w:val="20"/>
        </w:rPr>
        <w:t xml:space="preserve">Sessions</w:t>
      </w:r>
      <w:r>
        <w:rPr>
          <w:sz w:val="20"/>
          <w:szCs w:val="20"/>
        </w:rPr>
        <w:t xml:space="preserve"> : sessions serveur durcies, </w:t>
      </w:r>
      <w:r>
        <w:rPr>
          <w:b/>
          <w:bCs/>
          <w:sz w:val="20"/>
          <w:szCs w:val="20"/>
        </w:rPr>
        <w:t xml:space="preserve">pas de JWT</w:t>
      </w:r>
      <w:r>
        <w:rPr>
          <w:sz w:val="20"/>
          <w:szCs w:val="20"/>
        </w:rPr>
        <w:t xml:space="preserve">.</w:t>
      </w:r>
    </w:p>
    <w:p>
      <w:pPr>
        <w:keepNext w:val="false"/>
        <w:pBdr>
          <w:left w:val="single" w:color="2E7D4F" w:sz="24" w:space="8"/>
        </w:pBdr>
        <w:shd w:fill="E6F0E8" w:color="auto" w:val="clear"/>
        <w:spacing w:after="180" w:before="40" w:line="264"/>
        <w:ind w:left="200" w:right="100"/>
      </w:pPr>
      <w:r>
        <w:rPr>
          <w:b/>
          <w:bCs/>
          <w:sz w:val="20"/>
          <w:szCs w:val="20"/>
        </w:rPr>
        <w:t xml:space="preserve">MFA</w:t>
      </w:r>
      <w:r>
        <w:rPr>
          <w:sz w:val="20"/>
          <w:szCs w:val="20"/>
        </w:rPr>
        <w:t xml:space="preserve"> : TOTP obligatoire pour tout compte professionnel et pour l'administrateur dès qu'il lit des dossiers.</w:t>
      </w:r>
    </w:p>
    <w:p>
      <w:pPr>
        <w:spacing w:after="120" w:line="276"/>
      </w:pPr>
      <w:r>
        <w:t xml:space="preserve">Ces six points sont verrouillés. Les versions et bibliothèques ci-dessous suivent le plan de construction ; elles peuvent évoluer par décision d'architecture (ADR) sans modifier le cahier des charges.</w:t>
      </w:r>
    </w:p>
    <w:p>
      <w:pPr>
        <w:pStyle w:val="Heading2"/>
      </w:pPr>
      <w:r>
        <w:t xml:space="preserve">14.2 Vue d'ensemble</w:t>
      </w:r>
    </w:p>
    <w:p>
      <w:pPr>
        <w:keepNext/>
        <w:keepLines/>
        <w:shd w:fill="F3F6F4" w:color="auto" w:val="clear"/>
        <w:spacing w:after="0" w:before="80" w:line="240"/>
        <w:ind w:left="120"/>
      </w:pPr>
      <w:r>
        <w:rPr>
          <w:rFonts w:ascii="Courier New" w:cs="Courier New" w:eastAsia="Courier New" w:hAnsi="Courier New"/>
          <w:sz w:val="17"/>
          <w:szCs w:val="17"/>
        </w:rPr>
        <w:t xml:space="preserve">          Navigateur / PWA (mobile-first)</w:t>
      </w:r>
    </w:p>
    <w:p>
      <w:pPr>
        <w:keepNext/>
        <w:keepLines/>
        <w:shd w:fill="F3F6F4" w:color="auto" w:val="clear"/>
        <w:spacing w:after="0" w:before="0" w:line="240"/>
        <w:ind w:left="120"/>
      </w:pPr>
      <w:r>
        <w:rPr>
          <w:rFonts w:ascii="Courier New" w:cs="Courier New" w:eastAsia="Courier New" w:hAnsi="Courier New"/>
          <w:sz w:val="17"/>
          <w:szCs w:val="17"/>
        </w:rPr>
        <w:t xml:space="preserve">                    │  HTTPS</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keepLines/>
        <w:shd w:fill="F3F6F4" w:color="auto" w:val="clear"/>
        <w:spacing w:after="0" w:before="0" w:line="240"/>
        <w:ind w:left="120"/>
      </w:pPr>
      <w:r>
        <w:rPr>
          <w:rFonts w:ascii="Courier New" w:cs="Courier New" w:eastAsia="Courier New" w:hAnsi="Courier New"/>
          <w:sz w:val="17"/>
          <w:szCs w:val="17"/>
        </w:rPr>
        <w:t xml:space="preserve">   │ Next.js 15 · React 19     [Vercel] │  pages publiques SSR / SSG</w:t>
      </w:r>
    </w:p>
    <w:p>
      <w:pPr>
        <w:keepNext/>
        <w:keepLines/>
        <w:shd w:fill="F3F6F4" w:color="auto" w:val="clear"/>
        <w:spacing w:after="0" w:before="0" w:line="240"/>
        <w:ind w:left="120"/>
      </w:pPr>
      <w:r>
        <w:rPr>
          <w:rFonts w:ascii="Courier New" w:cs="Courier New" w:eastAsia="Courier New" w:hAnsi="Courier New"/>
          <w:sz w:val="17"/>
          <w:szCs w:val="17"/>
        </w:rPr>
        <w:t xml:space="preserve">   │ Espaces privés rendus côté client  │  aucune donnée de santé ici</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keepLines/>
        <w:shd w:fill="F3F6F4" w:color="auto" w:val="clear"/>
        <w:spacing w:after="0" w:before="0" w:line="240"/>
        <w:ind w:left="120"/>
      </w:pPr>
      <w:r>
        <w:rPr>
          <w:rFonts w:ascii="Courier New" w:cs="Courier New" w:eastAsia="Courier New" w:hAnsi="Courier New"/>
          <w:sz w:val="17"/>
          <w:szCs w:val="17"/>
        </w:rPr>
        <w:t xml:space="preserve">                    │  HTTPS · cookie de session HttpOnly</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keepLines/>
        <w:shd w:fill="F3F6F4" w:color="auto" w:val="clear"/>
        <w:spacing w:after="0" w:before="0" w:line="240"/>
        <w:ind w:left="120"/>
      </w:pPr>
      <w:r>
        <w:rPr>
          <w:rFonts w:ascii="Courier New" w:cs="Courier New" w:eastAsia="Courier New" w:hAnsi="Courier New"/>
          <w:sz w:val="17"/>
          <w:szCs w:val="17"/>
        </w:rPr>
        <w:t xml:space="preserve">   │ Django 5.2 · DRF /api/v1  [Render] │</w:t>
      </w:r>
    </w:p>
    <w:p>
      <w:pPr>
        <w:keepNext/>
        <w:keepLines/>
        <w:shd w:fill="F3F6F4" w:color="auto" w:val="clear"/>
        <w:spacing w:after="0" w:before="0" w:line="240"/>
        <w:ind w:left="120"/>
      </w:pPr>
      <w:r>
        <w:rPr>
          <w:rFonts w:ascii="Courier New" w:cs="Courier New" w:eastAsia="Courier New" w:hAnsi="Courier New"/>
          <w:sz w:val="17"/>
          <w:szCs w:val="17"/>
        </w:rPr>
        <w:t xml:space="preserve">   │ identity · onboarding · patients   │</w:t>
      </w:r>
    </w:p>
    <w:p>
      <w:pPr>
        <w:keepNext/>
        <w:keepLines/>
        <w:shd w:fill="F3F6F4" w:color="auto" w:val="clear"/>
        <w:spacing w:after="0" w:before="0" w:line="240"/>
        <w:ind w:left="120"/>
      </w:pPr>
      <w:r>
        <w:rPr>
          <w:rFonts w:ascii="Courier New" w:cs="Courier New" w:eastAsia="Courier New" w:hAnsi="Courier New"/>
          <w:sz w:val="17"/>
          <w:szCs w:val="17"/>
        </w:rPr>
        <w:t xml:space="preserve">   │ establishments · professionals     │</w:t>
      </w:r>
    </w:p>
    <w:p>
      <w:pPr>
        <w:keepNext/>
        <w:keepLines/>
        <w:shd w:fill="F3F6F4" w:color="auto" w:val="clear"/>
        <w:spacing w:after="0" w:before="0" w:line="240"/>
        <w:ind w:left="120"/>
      </w:pPr>
      <w:r>
        <w:rPr>
          <w:rFonts w:ascii="Courier New" w:cs="Courier New" w:eastAsia="Courier New" w:hAnsi="Courier New"/>
          <w:sz w:val="17"/>
          <w:szCs w:val="17"/>
        </w:rPr>
        <w:t xml:space="preserve">   │ care · access-grants · audit       │</w:t>
      </w:r>
    </w:p>
    <w:p>
      <w:pPr>
        <w:keepNext/>
        <w:keepLines/>
        <w:shd w:fill="F3F6F4" w:color="auto" w:val="clear"/>
        <w:spacing w:after="0" w:before="0" w:line="240"/>
        <w:ind w:left="120"/>
      </w:pPr>
      <w:r>
        <w:rPr>
          <w:rFonts w:ascii="Courier New" w:cs="Courier New" w:eastAsia="Courier New" w:hAnsi="Courier New"/>
          <w:sz w:val="17"/>
          <w:szCs w:val="17"/>
        </w:rPr>
        <w:t xml:space="preserve">   │ files · health                     │</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keepLines/>
        <w:shd w:fill="F3F6F4" w:color="auto" w:val="clear"/>
        <w:spacing w:after="0" w:before="0" w:line="240"/>
        <w:ind w:left="120"/>
      </w:pPr>
      <w:r>
        <w:rPr>
          <w:rFonts w:ascii="Courier New" w:cs="Courier New" w:eastAsia="Courier New" w:hAnsi="Courier New"/>
          <w:sz w:val="17"/>
          <w:szCs w:val="17"/>
        </w:rPr>
        <w:t xml:space="preserve">           │                  │</w:t>
      </w:r>
    </w:p>
    <w:p>
      <w:pPr>
        <w:keepNext/>
        <w:keepLines/>
        <w:shd w:fill="F3F6F4" w:color="auto" w:val="clear"/>
        <w:spacing w:after="0" w:before="0" w:line="240"/>
        <w:ind w:left="120"/>
      </w:pPr>
      <w:r>
        <w:rPr>
          <w:rFonts w:ascii="Courier New" w:cs="Courier New" w:eastAsia="Courier New" w:hAnsi="Courier New"/>
          <w:sz w:val="17"/>
          <w:szCs w:val="17"/>
        </w:rPr>
        <w:t xml:space="preserve">   PostgreSQL managé    Stockage objet privé</w:t>
      </w:r>
    </w:p>
    <w:p>
      <w:pPr>
        <w:keepNext/>
        <w:keepLines/>
        <w:shd w:fill="F3F6F4" w:color="auto" w:val="clear"/>
        <w:spacing w:after="0" w:before="0" w:line="240"/>
        <w:ind w:left="120"/>
      </w:pPr>
      <w:r>
        <w:rPr>
          <w:rFonts w:ascii="Courier New" w:cs="Courier New" w:eastAsia="Courier New" w:hAnsi="Courier New"/>
          <w:sz w:val="17"/>
          <w:szCs w:val="17"/>
        </w:rPr>
        <w:t xml:space="preserve">   (Neon ou Render,     (URLs signées courtes)</w:t>
      </w:r>
    </w:p>
    <w:p>
      <w:pPr>
        <w:keepNext w:val="false"/>
        <w:keepLines/>
        <w:shd w:fill="F3F6F4" w:color="auto" w:val="clear"/>
        <w:spacing w:after="160" w:before="0" w:line="240"/>
        <w:ind w:left="120"/>
      </w:pPr>
      <w:r>
        <w:rPr>
          <w:rFonts w:ascii="Courier New" w:cs="Courier New" w:eastAsia="Courier New" w:hAnsi="Courier New"/>
          <w:sz w:val="17"/>
          <w:szCs w:val="17"/>
        </w:rPr>
        <w:t xml:space="preserve">    région UE en pilote)</w:t>
      </w:r>
    </w:p>
    <w:p>
      <w:pPr>
        <w:pStyle w:val="Heading2"/>
      </w:pPr>
      <w:r>
        <w:t xml:space="preserve">14.3 Stack de référence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38"/>
      </w:tblGrid>
      <w:tr>
        <w:trPr>
          <w:cantSplit/>
          <w:tblHeader/>
        </w:trPr>
        <w:tc>
          <w:tcPr>
            <w:tcW w:type="dxa" w:w="18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Brique</w:t>
            </w:r>
          </w:p>
        </w:tc>
        <w:tc>
          <w:tcPr>
            <w:tcW w:type="dxa" w:w="39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Choix</w:t>
            </w:r>
          </w:p>
        </w:tc>
        <w:tc>
          <w:tcPr>
            <w:tcW w:type="dxa" w:w="39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Notes</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Web</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Next.js 15, React 19, TypeScript strict, App Router</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Pages publiques indexables ; espaces privés protégés ; Vercel.</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PWA</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Manifest, service worker contrôlé</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Aucun cache de donnée médicale ; hors-ligne complet en V2.</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UI</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Tailwind CSS, composants accessibles internes</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Direction « Sauge », mobile-first ; états chargement, erreur, vide, succès.</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État client</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TanStack Query (données serveur) ; Zustand limité au contexte local</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Aucun appel réseau direct dans les composants.</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Validation</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Zod partagé côté web ; validation serveur DRF obligatoire</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Le serveur reste l'autorité.</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API</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Django 5.2, DRF, Python 3.12, versionnée /api/v1</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Contrat OpenAPI généré (drf-spectacular) ; types partagés.</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Base</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PostgreSQL managé, Django ORM source de vérité</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Migrations versionnées par application.</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Authentification</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Sessions serveur ; OAuth Google, Facebook, Apple ; OTP WhatsApp ; mot de passe Argon2id</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Aucun token en localStorage ; pas de JWT.</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MFA</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TOTP</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Obligatoire pour les profils professionnels et les administrateurs.</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Fichiers</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Stockage objet privé compatible S3, région UE</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URLs signées courtes ; jamais de document dans Redis.</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Cache / limitation</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Redis non activé au premier commit</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Ajouté seulement si le besoin est démontré (limitation distribuée, file de tâches).</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Qualité</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Tests unitaires, intégration, E2E parcours critiques, tests de sécurité A / B</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Voir section 23.</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CI/CD</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Pipeline GitHub : lint, tests, build, migrations vers staging</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Simple et contrôlé.</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Dépôt</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Monorepo : apps/web, apps/api, packages (ui, types, config, validation)</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Docker et docker-compose pour l'environnement local.</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Supervision</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Logs structurés sans contenu médical, alertes, endpoints health / readiness</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Aucune donnée de santé dans les outils tiers.</w:t>
            </w:r>
          </w:p>
        </w:tc>
      </w:tr>
      <w:tr>
        <w:trPr>
          <w:cantSplit/>
        </w:trPr>
        <w:tc>
          <w:tcPr>
            <w:tcW w:type="dxa" w:w="18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IA de développement</w:t>
            </w:r>
          </w:p>
        </w:tc>
        <w:tc>
          <w:tcPr>
            <w:tcW w:type="dxa" w:w="3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Claude Code ou équivalent, sous supervision humaine</w:t>
            </w:r>
          </w:p>
        </w:tc>
        <w:tc>
          <w:tcPr>
            <w:tcW w:type="dxa" w:w="39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Jamais de donnée médicale réelle (INV-10).</w:t>
            </w:r>
          </w:p>
        </w:tc>
      </w:tr>
    </w:tbl>
    <w:p>
      <w:pPr>
        <w:spacing w:after="120"/>
      </w:pPr>
    </w:p>
    <w:p>
      <w:pPr>
        <w:pStyle w:val="Heading2"/>
      </w:pPr>
      <w:r>
        <w:t xml:space="preserve">14.4 Architecture applicative de l'API</w:t>
      </w:r>
    </w:p>
    <w:p>
      <w:pPr>
        <w:spacing w:after="120" w:line="276"/>
      </w:pPr>
      <w:r>
        <w:t xml:space="preserve">L'API est un </w:t>
      </w:r>
      <w:r>
        <w:rPr>
          <w:b/>
          <w:bCs/>
        </w:rPr>
        <w:t xml:space="preserve">monolithe modulaire</w:t>
      </w:r>
      <w:r>
        <w:t xml:space="preserve"> de niveau critique santé, sans microservices au démarrage. Le code métier vit dans des services transactionnels testables ; les vues DRF restent fines ; chaque permission est évaluée côté serveur.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Module</w:t>
            </w:r>
          </w:p>
        </w:tc>
        <w:tc>
          <w:tcPr>
            <w:tcW w:type="dxa" w:w="74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Responsabilité</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identity</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Utilisateur, méthodes de connexion, sessions, MFA, profil global.</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onboarding</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Choix du contexte et création des profils.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patients</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Profil patient, déclarations, couverture.</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establishments</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Fiche, activation startup, Root, code interne, rattachements.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professionals</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Dossier professionnel, justificatifs, vérification.</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care</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Prise en charge, pré-consultation, consultation, provenance, attestation.</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access-grants</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Demandes, scopes, QR non devinable, expiration, prolongation, révocation.</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audit</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Événements append-only : acteur, patient, établissement, rôle, autorisation, version.</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files</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Métadonnées, contrôles, stockage privé, URLs signées.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health</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Health et readiness, sans donnée sensible.</w:t>
            </w:r>
          </w:p>
        </w:tc>
      </w:tr>
    </w:tbl>
    <w:p>
      <w:pPr>
        <w:spacing w:after="120"/>
      </w:pPr>
    </w:p>
    <w:p>
      <w:pPr>
        <w:pStyle w:val="Heading2"/>
      </w:pPr>
      <w:r>
        <w:t xml:space="preserve">14.5 Sessions et échanges web / API</w:t>
      </w:r>
    </w:p>
    <w:p>
      <w:pPr>
        <w:pStyle w:val="ListParagraph"/>
        <w:numPr>
          <w:ilvl w:val="0"/>
          <w:numId w:val="2"/>
        </w:numPr>
        <w:spacing w:after="60" w:line="264"/>
      </w:pPr>
      <w:r>
        <w:rPr>
          <w:b/>
          <w:bCs/>
        </w:rPr>
        <w:t xml:space="preserve">Pas de JWT</w:t>
      </w:r>
      <w:r>
        <w:t xml:space="preserve"> : la révocation doit être immédiate (fin d'un AccessGrant, départ d'un professionnel, MFA retiré). Une session serveur se révoque instantanément ; un jeton signé non.</w:t>
      </w:r>
    </w:p>
    <w:p>
      <w:pPr>
        <w:pStyle w:val="ListParagraph"/>
        <w:numPr>
          <w:ilvl w:val="0"/>
          <w:numId w:val="2"/>
        </w:numPr>
        <w:spacing w:after="60" w:line="264"/>
      </w:pPr>
      <w:r>
        <w:rPr>
          <w:b/>
          <w:bCs/>
        </w:rPr>
        <w:t xml:space="preserve">Cookies</w:t>
      </w:r>
      <w:r>
        <w:t xml:space="preserve"> HttpOnly et Secure, identifiant de session renouvelé à la connexion, expiration d'inactivité et expiration absolue, liste des sessions visible par l'utilisateur.</w:t>
      </w:r>
    </w:p>
    <w:p>
      <w:pPr>
        <w:pStyle w:val="ListParagraph"/>
        <w:numPr>
          <w:ilvl w:val="0"/>
          <w:numId w:val="2"/>
        </w:numPr>
        <w:spacing w:after="60" w:line="264"/>
      </w:pPr>
      <w:r>
        <w:rPr>
          <w:b/>
          <w:bCs/>
        </w:rPr>
        <w:t xml:space="preserve">Production</w:t>
      </w:r>
      <w:r>
        <w:t xml:space="preserve"> : le web et l'API partagent un même domaine parent (par exemple app. et api.) afin que les cookies restent de même site (SameSite Lax) et que Safari ne les bloque pas ; protection CSRF et liste blanche d'origines (CORS).</w:t>
      </w:r>
    </w:p>
    <w:p>
      <w:pPr>
        <w:pStyle w:val="ListParagraph"/>
        <w:numPr>
          <w:ilvl w:val="0"/>
          <w:numId w:val="2"/>
        </w:numPr>
        <w:spacing w:after="60" w:line="264"/>
      </w:pPr>
      <w:r>
        <w:rPr>
          <w:b/>
          <w:bCs/>
        </w:rPr>
        <w:t xml:space="preserve">Prévisualisations Vercel</w:t>
      </w:r>
      <w:r>
        <w:t xml:space="preserve"> : domaines différents, donc cookies SameSite=None en HTTPS, avec CSRF strict ; réservées aux données fictives.</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Durées de session</w:t>
      </w:r>
      <w:r>
        <w:rPr>
          <w:sz w:val="20"/>
          <w:szCs w:val="20"/>
        </w:rPr>
        <w:t xml:space="preserve"> (inactivité et durée absolue) par type de compte.</w:t>
      </w:r>
    </w:p>
    <w:p>
      <w:pPr>
        <w:pStyle w:val="Heading2"/>
      </w:pPr>
      <w:r>
        <w:t xml:space="preserve">14.6 Choix de la base : Neon ou Render Postgres</w:t>
      </w:r>
    </w:p>
    <w:p>
      <w:pPr>
        <w:spacing w:after="120" w:line="276"/>
      </w:pPr>
      <w:r>
        <w:t xml:space="preserve">Les deux options sont du PostgreSQL standard, en région UE pendant le pilote. Le choix se fait avant le premier sprint de développement.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cantSplit/>
          <w:tblHeader/>
        </w:trPr>
        <w:tc>
          <w:tcPr>
            <w:tcW w:type="dxa" w:w="2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Critère</w:t>
            </w:r>
          </w:p>
        </w:tc>
        <w:tc>
          <w:tcPr>
            <w:tcW w:type="dxa" w:w="3719"/>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Neon</w:t>
            </w:r>
          </w:p>
        </w:tc>
        <w:tc>
          <w:tcPr>
            <w:tcW w:type="dxa" w:w="3719"/>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Render Postgres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Facturation</w:t>
            </w:r>
          </w:p>
        </w:tc>
        <w:tc>
          <w:tcPr>
            <w:tcW w:type="dxa" w:w="3719"/>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À l'usage (calcul et stockage), sans minimum</w:t>
            </w:r>
          </w:p>
        </w:tc>
        <w:tc>
          <w:tcPr>
            <w:tcW w:type="dxa" w:w="3719"/>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Tarif fixe par instance plus stockage</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Environnements</w:t>
            </w:r>
          </w:p>
        </w:tc>
        <w:tc>
          <w:tcPr>
            <w:tcW w:type="dxa" w:w="3719"/>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Branches de base pour staging et tests</w:t>
            </w:r>
          </w:p>
        </w:tc>
        <w:tc>
          <w:tcPr>
            <w:tcW w:type="dxa" w:w="3719"/>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Instances séparées par environnement</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Exploitation</w:t>
            </w:r>
          </w:p>
        </w:tc>
        <w:tc>
          <w:tcPr>
            <w:tcW w:type="dxa" w:w="3719"/>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Mise en veille possible : première requête plus lente après inactivité</w:t>
            </w:r>
          </w:p>
        </w:tc>
        <w:tc>
          <w:tcPr>
            <w:tcW w:type="dxa" w:w="3719"/>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Même plateforme que l'API, une seule facture et un seul tableau de bord</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Sauvegarde et restauration</w:t>
            </w:r>
          </w:p>
        </w:tc>
        <w:tc>
          <w:tcPr>
            <w:tcW w:type="dxa" w:w="3719"/>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Fenêtre de restauration selon le plan, à vérifier</w:t>
            </w:r>
          </w:p>
        </w:tc>
        <w:tc>
          <w:tcPr>
            <w:tcW w:type="dxa" w:w="3719"/>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Selon le plan, à vérifier</w:t>
            </w:r>
          </w:p>
        </w:tc>
      </w:tr>
    </w:tbl>
    <w:p>
      <w:pPr>
        <w:spacing w:after="120"/>
      </w:pPr>
    </w:p>
    <w:p>
      <w:pPr>
        <w:keepNext/>
        <w:pBdr>
          <w:left w:val="single" w:color="3B6EA5" w:sz="24" w:space="8"/>
        </w:pBdr>
        <w:shd w:fill="E8F0F8" w:color="auto" w:val="clear"/>
        <w:spacing w:after="0" w:before="140"/>
        <w:ind w:left="200" w:right="100"/>
      </w:pPr>
      <w:r>
        <w:rPr>
          <w:b/>
          <w:bCs/>
          <w:color w:val="3B6EA5"/>
          <w:sz w:val="17"/>
          <w:szCs w:val="17"/>
        </w:rPr>
        <w:t xml:space="preserve">PROPOSITION DE TRAVAIL</w:t>
      </w:r>
    </w:p>
    <w:p>
      <w:pPr>
        <w:keepNext w:val="false"/>
        <w:pBdr>
          <w:left w:val="single" w:color="3B6EA5" w:sz="24" w:space="8"/>
        </w:pBdr>
        <w:shd w:fill="E8F0F8" w:color="auto" w:val="clear"/>
        <w:spacing w:after="180" w:before="40" w:line="264"/>
        <w:ind w:left="200" w:right="100"/>
      </w:pPr>
      <w:r>
        <w:rPr>
          <w:sz w:val="20"/>
          <w:szCs w:val="20"/>
        </w:rPr>
        <w:t xml:space="preserve">Décider par un </w:t>
      </w:r>
      <w:r>
        <w:rPr>
          <w:b/>
          <w:bCs/>
          <w:sz w:val="20"/>
          <w:szCs w:val="20"/>
        </w:rPr>
        <w:t xml:space="preserve">test réel de restauration</w:t>
      </w:r>
      <w:r>
        <w:rPr>
          <w:sz w:val="20"/>
          <w:szCs w:val="20"/>
        </w:rPr>
        <w:t xml:space="preserve"> (critère CA-22) et par le coût mesuré sur le pilote, pas par préférence. La migration d'un fournisseur à l'autre reste simple : dump et restauration PostgreSQL standard.</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Arbitrage Neon / Render Postgres</w:t>
      </w:r>
      <w:r>
        <w:rPr>
          <w:sz w:val="20"/>
          <w:szCs w:val="20"/>
        </w:rPr>
        <w:t xml:space="preserve">, avec date limite avant le premier sprint de développement.</w:t>
      </w:r>
    </w:p>
    <w:p>
      <w:pPr>
        <w:pStyle w:val="Heading2"/>
      </w:pPr>
      <w:r>
        <w:t xml:space="preserve">14.7 Hébergement et localisation des données</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03/10/2026</w:t>
      </w:r>
    </w:p>
    <w:p>
      <w:pPr>
        <w:keepNext/>
        <w:pBdr>
          <w:left w:val="single" w:color="2E7D4F" w:sz="24" w:space="8"/>
        </w:pBdr>
        <w:shd w:fill="E6F0E8" w:color="auto" w:val="clear"/>
        <w:spacing w:after="0" w:before="40" w:line="264"/>
        <w:ind w:left="200" w:right="100"/>
      </w:pPr>
      <w:r>
        <w:rPr>
          <w:sz w:val="20"/>
          <w:szCs w:val="20"/>
        </w:rPr>
        <w:t xml:space="preserve">Pendant le pilote, la base et les services tournent en </w:t>
      </w:r>
      <w:r>
        <w:rPr>
          <w:b/>
          <w:bCs/>
          <w:sz w:val="20"/>
          <w:szCs w:val="20"/>
        </w:rPr>
        <w:t xml:space="preserve">région UE</w:t>
      </w:r>
      <w:r>
        <w:rPr>
          <w:sz w:val="20"/>
          <w:szCs w:val="20"/>
        </w:rPr>
        <w:t xml:space="preserve">, sur </w:t>
      </w:r>
      <w:r>
        <w:rPr>
          <w:b/>
          <w:bCs/>
          <w:sz w:val="20"/>
          <w:szCs w:val="20"/>
        </w:rPr>
        <w:t xml:space="preserve">données fictives ou de test uniquement</w:t>
      </w:r>
      <w:r>
        <w:rPr>
          <w:sz w:val="20"/>
          <w:szCs w:val="20"/>
        </w:rPr>
        <w:t xml:space="preserve">.</w:t>
      </w:r>
    </w:p>
    <w:p>
      <w:pPr>
        <w:keepNext w:val="false"/>
        <w:pBdr>
          <w:left w:val="single" w:color="2E7D4F" w:sz="24" w:space="8"/>
        </w:pBdr>
        <w:shd w:fill="E6F0E8" w:color="auto" w:val="clear"/>
        <w:spacing w:after="180" w:before="40" w:line="264"/>
        <w:ind w:left="200" w:right="100"/>
      </w:pPr>
      <w:r>
        <w:rPr>
          <w:b/>
          <w:bCs/>
          <w:sz w:val="20"/>
          <w:szCs w:val="20"/>
        </w:rPr>
        <w:t xml:space="preserve">Aucune donnée réelle</w:t>
      </w:r>
      <w:r>
        <w:rPr>
          <w:sz w:val="20"/>
          <w:szCs w:val="20"/>
        </w:rPr>
        <w:t xml:space="preserve"> n'est saisie avant la </w:t>
      </w:r>
      <w:r>
        <w:rPr>
          <w:b/>
          <w:bCs/>
          <w:sz w:val="20"/>
          <w:szCs w:val="20"/>
        </w:rPr>
        <w:t xml:space="preserve">bascule vers un hébergement ivoirien</w:t>
      </w:r>
      <w:r>
        <w:rPr>
          <w:sz w:val="20"/>
          <w:szCs w:val="20"/>
        </w:rPr>
        <w:t xml:space="preserve">.</w:t>
      </w:r>
    </w:p>
    <w:p>
      <w:pPr>
        <w:keepNext/>
        <w:pBdr>
          <w:left w:val="single" w:color="3B6EA5" w:sz="24" w:space="8"/>
        </w:pBdr>
        <w:shd w:fill="E8F0F8" w:color="auto" w:val="clear"/>
        <w:spacing w:after="0" w:before="140"/>
        <w:ind w:left="200" w:right="100"/>
      </w:pPr>
      <w:r>
        <w:rPr>
          <w:b/>
          <w:bCs/>
          <w:color w:val="3B6EA5"/>
          <w:sz w:val="17"/>
          <w:szCs w:val="17"/>
        </w:rPr>
        <w:t xml:space="preserve">PROPOSITION DE TRAVAIL</w:t>
      </w:r>
    </w:p>
    <w:p>
      <w:pPr>
        <w:keepNext/>
        <w:pBdr>
          <w:left w:val="single" w:color="3B6EA5" w:sz="24" w:space="8"/>
        </w:pBdr>
        <w:shd w:fill="E8F0F8" w:color="auto" w:val="clear"/>
        <w:spacing w:after="0" w:before="40" w:line="264"/>
        <w:ind w:left="200" w:right="100"/>
      </w:pPr>
      <w:r>
        <w:rPr>
          <w:b/>
          <w:bCs/>
          <w:sz w:val="20"/>
          <w:szCs w:val="20"/>
        </w:rPr>
        <w:t xml:space="preserve">Principe de résidence des données</w:t>
      </w:r>
      <w:r>
        <w:rPr>
          <w:sz w:val="20"/>
          <w:szCs w:val="20"/>
        </w:rPr>
        <w:t xml:space="preserve"> : Vercel ne reçoit, ne traite et ne stocke aucune donnée de santé. Les espaces privés sont rendus côté client ; le navigateur appelle directement l'API. Le middleware web ne vérifie que la présence d'un cookie. Seules les pages publiques sont rendues côté serveur.</w:t>
      </w:r>
    </w:p>
    <w:p>
      <w:pPr>
        <w:keepNext w:val="false"/>
        <w:pBdr>
          <w:left w:val="single" w:color="3B6EA5" w:sz="24" w:space="8"/>
        </w:pBdr>
        <w:shd w:fill="E8F0F8" w:color="auto" w:val="clear"/>
        <w:spacing w:after="180" w:before="40" w:line="264"/>
        <w:ind w:left="200" w:right="100"/>
      </w:pPr>
      <w:r>
        <w:rPr>
          <w:sz w:val="20"/>
          <w:szCs w:val="20"/>
        </w:rPr>
        <w:t xml:space="preserve">Conséquence : la bascule ne déplace que l'API, la base et le stockage ; le front peut rester sur Vercel.</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Hébergeur ivoirien</w:t>
      </w:r>
      <w:r>
        <w:rPr>
          <w:sz w:val="20"/>
          <w:szCs w:val="20"/>
        </w:rPr>
        <w:t xml:space="preserve"> (offre, PostgreSQL managé ou géré, sauvegardes, chiffrement, support, coût) et </w:t>
      </w:r>
      <w:r>
        <w:rPr>
          <w:b/>
          <w:bCs/>
          <w:sz w:val="20"/>
          <w:szCs w:val="20"/>
        </w:rPr>
        <w:t xml:space="preserve">plan de bascule</w:t>
      </w:r>
      <w:r>
        <w:rPr>
          <w:sz w:val="20"/>
          <w:szCs w:val="20"/>
        </w:rPr>
        <w:t xml:space="preserve"> (dump / restauration, DNS, test, retour arrière).</w:t>
      </w:r>
    </w:p>
    <w:p>
      <w:pPr>
        <w:spacing w:after="120" w:line="276"/>
      </w:pPr>
      <w:r>
        <w:t xml:space="preserve">Le passage aux données réelles est conditionné par un point de contrôle Go / No-Go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3438"/>
      </w:tblGrid>
      <w:tr>
        <w:trPr>
          <w:cantSplit/>
          <w:tblHeader/>
        </w:trPr>
        <w:tc>
          <w:tcPr>
            <w:tcW w:type="dxa" w:w="8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Id</w:t>
            </w:r>
          </w:p>
        </w:tc>
        <w:tc>
          <w:tcPr>
            <w:tcW w:type="dxa" w:w="54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Condition</w:t>
            </w:r>
          </w:p>
        </w:tc>
        <w:tc>
          <w:tcPr>
            <w:tcW w:type="dxa" w:w="34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Preuve attendue</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G1</w:t>
            </w:r>
          </w:p>
        </w:tc>
        <w:tc>
          <w:tcPr>
            <w:tcW w:type="dxa" w:w="54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Hébergement ivoirien choisi, contractualisé et déployé</w:t>
            </w:r>
          </w:p>
        </w:tc>
        <w:tc>
          <w:tcPr>
            <w:tcW w:type="dxa" w:w="3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Contrat et environnement opérationnel</w:t>
            </w:r>
          </w:p>
        </w:tc>
      </w:tr>
      <w:tr>
        <w:trPr>
          <w:cantSplit/>
        </w:trPr>
        <w:tc>
          <w:tcPr>
            <w:tcW w:type="dxa" w:w="8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G2</w:t>
            </w:r>
          </w:p>
        </w:tc>
        <w:tc>
          <w:tcPr>
            <w:tcW w:type="dxa" w:w="54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Restauration réussie sur le nouvel hébergement</w:t>
            </w:r>
          </w:p>
        </w:tc>
        <w:tc>
          <w:tcPr>
            <w:tcW w:type="dxa" w:w="34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Rapport de test (CA-22)</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G3</w:t>
            </w:r>
          </w:p>
        </w:tc>
        <w:tc>
          <w:tcPr>
            <w:tcW w:type="dxa" w:w="54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Cadre juridique validé (responsabilités, notices, consentements, formalités locales)</w:t>
            </w:r>
          </w:p>
        </w:tc>
        <w:tc>
          <w:tcPr>
            <w:tcW w:type="dxa" w:w="3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Avis écrit du juriste</w:t>
            </w:r>
          </w:p>
        </w:tc>
      </w:tr>
      <w:tr>
        <w:trPr>
          <w:cantSplit/>
        </w:trPr>
        <w:tc>
          <w:tcPr>
            <w:tcW w:type="dxa" w:w="8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G4</w:t>
            </w:r>
          </w:p>
        </w:tc>
        <w:tc>
          <w:tcPr>
            <w:tcW w:type="dxa" w:w="54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Tests de sécurité inter-établissements et permissions passés</w:t>
            </w:r>
          </w:p>
        </w:tc>
        <w:tc>
          <w:tcPr>
            <w:tcW w:type="dxa" w:w="34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Rapport de recette (CA-19)</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G5</w:t>
            </w:r>
          </w:p>
        </w:tc>
        <w:tc>
          <w:tcPr>
            <w:tcW w:type="dxa" w:w="54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MFA actif sur tous les comptes professionnels et administrateurs</w:t>
            </w:r>
          </w:p>
        </w:tc>
        <w:tc>
          <w:tcPr>
            <w:tcW w:type="dxa" w:w="3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CA-21</w:t>
            </w:r>
          </w:p>
        </w:tc>
      </w:tr>
      <w:tr>
        <w:trPr>
          <w:cantSplit/>
        </w:trPr>
        <w:tc>
          <w:tcPr>
            <w:tcW w:type="dxa" w:w="8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G6</w:t>
            </w:r>
          </w:p>
        </w:tc>
        <w:tc>
          <w:tcPr>
            <w:tcW w:type="dxa" w:w="54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Procédure d'incident documentée et répétée</w:t>
            </w:r>
          </w:p>
        </w:tc>
        <w:tc>
          <w:tcPr>
            <w:tcW w:type="dxa" w:w="34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9"/>
                <w:szCs w:val="19"/>
              </w:rPr>
              <w:t xml:space="preserve">Document et exercice</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G7</w:t>
            </w:r>
          </w:p>
        </w:tc>
        <w:tc>
          <w:tcPr>
            <w:tcW w:type="dxa" w:w="54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Contrats signés avec les établissements pilotes</w:t>
            </w:r>
          </w:p>
        </w:tc>
        <w:tc>
          <w:tcPr>
            <w:tcW w:type="dxa" w:w="3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Contrats</w:t>
            </w:r>
          </w:p>
        </w:tc>
      </w:tr>
    </w:tbl>
    <w:p>
      <w:pPr>
        <w:spacing w:after="120"/>
      </w:pPr>
    </w:p>
    <w:p>
      <w:pPr>
        <w:pStyle w:val="Heading2"/>
      </w:pPr>
      <w:r>
        <w:t xml:space="preserve">14.8 Environnements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438"/>
      </w:tblGrid>
      <w:tr>
        <w:trPr>
          <w:cantSplit/>
          <w:tblHeader/>
        </w:trPr>
        <w:tc>
          <w:tcPr>
            <w:tcW w:type="dxa" w:w="2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Environnement</w:t>
            </w:r>
          </w:p>
        </w:tc>
        <w:tc>
          <w:tcPr>
            <w:tcW w:type="dxa" w:w="50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Usage</w:t>
            </w:r>
          </w:p>
        </w:tc>
        <w:tc>
          <w:tcPr>
            <w:tcW w:type="dxa" w:w="24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Données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Local</w:t>
            </w:r>
          </w:p>
        </w:tc>
        <w:tc>
          <w:tcPr>
            <w:tcW w:type="dxa" w:w="5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Développement (docker-compose)</w:t>
            </w:r>
          </w:p>
        </w:tc>
        <w:tc>
          <w:tcPr>
            <w:tcW w:type="dxa" w:w="2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Fictives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Prévisualisation</w:t>
            </w:r>
          </w:p>
        </w:tc>
        <w:tc>
          <w:tcPr>
            <w:tcW w:type="dxa" w:w="5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Revue des branches (Vercel Preview + API de staging)</w:t>
            </w:r>
          </w:p>
        </w:tc>
        <w:tc>
          <w:tcPr>
            <w:tcW w:type="dxa" w:w="2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Fictives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Staging</w:t>
            </w:r>
          </w:p>
        </w:tc>
        <w:tc>
          <w:tcPr>
            <w:tcW w:type="dxa" w:w="5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Recette, tests E2E et de sécurité, migrations avant production</w:t>
            </w:r>
          </w:p>
        </w:tc>
        <w:tc>
          <w:tcPr>
            <w:tcW w:type="dxa" w:w="2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Fictives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Production</w:t>
            </w:r>
          </w:p>
        </w:tc>
        <w:tc>
          <w:tcPr>
            <w:tcW w:type="dxa" w:w="5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Usage réel</w:t>
            </w:r>
          </w:p>
        </w:tc>
        <w:tc>
          <w:tcPr>
            <w:tcW w:type="dxa" w:w="2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Réelles, uniquement après Go / No-Go (14.7)</w:t>
            </w:r>
          </w:p>
        </w:tc>
      </w:tr>
    </w:tbl>
    <w:p>
      <w:pPr>
        <w:spacing w:after="120"/>
      </w:pPr>
    </w:p>
    <w:p>
      <w:pPr>
        <w:pStyle w:val="Heading1"/>
      </w:pPr>
      <w:bookmarkStart w:name="sec15" w:id="1"/>
      <w:r>
        <w:t xml:space="preserve">15. Modèle de données fonctionnel</w:t>
      </w:r>
      <w:bookmarkEnd w:id="1"/>
    </w:p>
    <w:p>
      <w:pPr>
        <w:pStyle w:val="Heading2"/>
      </w:pPr>
      <w:r>
        <w:t xml:space="preserve">15.1 Entités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cantSplit/>
          <w:tblHeader/>
        </w:trPr>
        <w:tc>
          <w:tcPr>
            <w:tcW w:type="dxa" w:w="30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Entité</w:t>
            </w:r>
          </w:p>
        </w:tc>
        <w:tc>
          <w:tcPr>
            <w:tcW w:type="dxa" w:w="33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Rôle</w:t>
            </w:r>
          </w:p>
        </w:tc>
        <w:tc>
          <w:tcPr>
            <w:tcW w:type="dxa" w:w="33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Relations clés</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User</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Identité centrale d'une personne</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1 à N méthodes de connexion, 1 à N contextes</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AuthIdentity</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Méthode de connexion (fournisseur, sujet)</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Unique par fournisseur + sujet</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Session · MfaDevice</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Session serveur ; appareil TOTP</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Rattachées à User</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PatientProfile</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Carnet du patient</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1 à N pré-consultations, consultations, déclarations, documents</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ProfessionalProfile · ProfessionalVerification</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Dossier et vérification du professionnel</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N à N établissements via rattachements</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Establishment · EstablishmentCode</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Structure et code interne de rattachement</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1 à N rattachements</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EstablishmentMembership</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Rattachement professionnel / établissement</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Un seul rattachement actif par couple</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CareEncounter</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Prise en charge (version allégée en V1)</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Relie pré-consultation, consultation, établissement</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PreConsultation</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Relevé préparatoire, clôturé et conservé</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Porte patient et établissement ; aucun professionnel authentifié</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Consultation</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Consultation médicale validée</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Porte patient, professionnel et établissement</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ClinicalDeclaration</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Antécédent, allergie, traitement déclarés</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Statut et provenance ; confirmation par un médecin</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Document</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Pièce associée à une prise en charge</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Métadonnées de provenance, stockage privé</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AccessGrant · AccessGrantExtension</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Partage temporaire et prolongations</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Lie patient, professionnel et établissement</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SignatureAttestation</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Attestation SVG d'un geste professionnel</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Rattachée à une consultation ou une confirmation</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AuditEvent</w:t>
            </w:r>
          </w:p>
        </w:tc>
        <w:tc>
          <w:tcPr>
            <w:tcW w:type="dxa" w:w="3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Événement d'audit append-only</w:t>
            </w:r>
          </w:p>
        </w:tc>
        <w:tc>
          <w:tcPr>
            <w:tcW w:type="dxa" w:w="3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Acteur, objet, action, contexte, version</w:t>
            </w:r>
          </w:p>
        </w:tc>
      </w:tr>
    </w:tbl>
    <w:p>
      <w:pPr>
        <w:spacing w:after="120"/>
      </w:pPr>
    </w:p>
    <w:p>
      <w:pPr>
        <w:pStyle w:val="Heading2"/>
      </w:pPr>
      <w:r>
        <w:t xml:space="preserve">15.2 Contraintes non négociables</w:t>
      </w:r>
    </w:p>
    <w:p>
      <w:pPr>
        <w:pStyle w:val="ListParagraph"/>
        <w:numPr>
          <w:ilvl w:val="0"/>
          <w:numId w:val="2"/>
        </w:numPr>
        <w:spacing w:after="60" w:line="264"/>
      </w:pPr>
      <w:r>
        <w:t xml:space="preserve">identifiants UUID partout et horodatages en UTC ;</w:t>
      </w:r>
    </w:p>
    <w:p>
      <w:pPr>
        <w:pStyle w:val="ListParagraph"/>
        <w:numPr>
          <w:ilvl w:val="0"/>
          <w:numId w:val="2"/>
        </w:numPr>
        <w:spacing w:after="60" w:line="264"/>
      </w:pPr>
      <w:r>
        <w:t xml:space="preserve">un AccessGrant est lié </w:t>
      </w:r>
      <w:r>
        <w:rPr>
          <w:b/>
          <w:bCs/>
        </w:rPr>
        <w:t xml:space="preserve">simultanément</w:t>
      </w:r>
      <w:r>
        <w:t xml:space="preserve"> au patient, au professionnel et à l'établissement ; son expiration est contrôlée côté serveur ;</w:t>
      </w:r>
    </w:p>
    <w:p>
      <w:pPr>
        <w:pStyle w:val="ListParagraph"/>
        <w:numPr>
          <w:ilvl w:val="0"/>
          <w:numId w:val="2"/>
        </w:numPr>
        <w:spacing w:after="60" w:line="264"/>
      </w:pPr>
      <w:r>
        <w:t xml:space="preserve">aucun établissement implicite sur une consultation : l'établissement est toujours explicite et imposé côté serveur ;</w:t>
      </w:r>
    </w:p>
    <w:p>
      <w:pPr>
        <w:pStyle w:val="ListParagraph"/>
        <w:numPr>
          <w:ilvl w:val="0"/>
          <w:numId w:val="2"/>
        </w:numPr>
        <w:spacing w:after="60" w:line="264"/>
      </w:pPr>
      <w:r>
        <w:t xml:space="preserve">l'historique est conservé après le départ d'un professionnel ;</w:t>
      </w:r>
    </w:p>
    <w:p>
      <w:pPr>
        <w:pStyle w:val="ListParagraph"/>
        <w:numPr>
          <w:ilvl w:val="0"/>
          <w:numId w:val="2"/>
        </w:numPr>
        <w:spacing w:after="60" w:line="264"/>
      </w:pPr>
      <w:r>
        <w:t xml:space="preserve">l'audit est immuable ou historisé ;</w:t>
      </w:r>
    </w:p>
    <w:p>
      <w:pPr>
        <w:pStyle w:val="ListParagraph"/>
        <w:numPr>
          <w:ilvl w:val="0"/>
          <w:numId w:val="2"/>
        </w:numPr>
        <w:spacing w:after="60" w:line="264"/>
      </w:pPr>
      <w:r>
        <w:t xml:space="preserve">unicité des identités OAuth par fournisseur et sujet ; unicité du rattachement actif selon les règles métier ;</w:t>
      </w:r>
    </w:p>
    <w:p>
      <w:pPr>
        <w:pStyle w:val="ListParagraph"/>
        <w:numPr>
          <w:ilvl w:val="0"/>
          <w:numId w:val="2"/>
        </w:numPr>
        <w:spacing w:after="60" w:line="264"/>
      </w:pPr>
      <w:r>
        <w:t xml:space="preserve">aucune table, vue ou endpoint ne représente un compte infirmier en V1.</w:t>
      </w:r>
    </w:p>
    <w:p>
      <w:pPr>
        <w:pStyle w:val="Heading1"/>
      </w:pPr>
      <w:bookmarkStart w:name="sec16" w:id="1"/>
      <w:r>
        <w:t xml:space="preserve">16. Périmètre V1</w:t>
      </w:r>
      <w:bookmarkEnd w:id="1"/>
    </w:p>
    <w:p>
      <w:pPr>
        <w:pStyle w:val="Heading2"/>
      </w:pPr>
      <w:r>
        <w:t xml:space="preserve">16.1 Cœur opérationnel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Espace</w:t>
            </w:r>
          </w:p>
        </w:tc>
        <w:tc>
          <w:tcPr>
            <w:tcW w:type="dxa" w:w="77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Fonctions V1</w:t>
            </w:r>
          </w:p>
        </w:tc>
      </w:tr>
      <w:tr>
        <w:trPr>
          <w:cantSplit/>
        </w:trPr>
        <w:tc>
          <w:tcPr>
            <w:tcW w:type="dxa" w:w="19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Patient</w:t>
            </w:r>
          </w:p>
        </w:tc>
        <w:tc>
          <w:tcPr>
            <w:tcW w:type="dxa" w:w="7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Création et connexion, profil, couverture.</w:t>
            </w:r>
          </w:p>
          <w:p>
            <w:pPr>
              <w:keepNext/>
              <w:spacing w:after="30" w:line="252"/>
              <w:jc w:val="left"/>
            </w:pPr>
            <w:r>
              <w:rPr>
                <w:b w:val="false"/>
                <w:bCs w:val="false"/>
                <w:sz w:val="19"/>
                <w:szCs w:val="19"/>
              </w:rPr>
              <w:t xml:space="preserve">Antécédents et allergies déclarés.</w:t>
            </w:r>
          </w:p>
          <w:p>
            <w:pPr>
              <w:keepNext/>
              <w:spacing w:after="30" w:line="252"/>
              <w:jc w:val="left"/>
            </w:pPr>
            <w:r>
              <w:rPr>
                <w:b w:val="false"/>
                <w:bCs w:val="false"/>
                <w:sz w:val="19"/>
                <w:szCs w:val="19"/>
              </w:rPr>
              <w:t xml:space="preserve">Pré-consultation, consultations, détail.</w:t>
            </w:r>
          </w:p>
          <w:p>
            <w:pPr>
              <w:keepNext/>
              <w:spacing w:after="30" w:line="252"/>
              <w:jc w:val="left"/>
            </w:pPr>
            <w:r>
              <w:rPr>
                <w:b w:val="false"/>
                <w:bCs w:val="false"/>
                <w:sz w:val="19"/>
                <w:szCs w:val="19"/>
              </w:rPr>
              <w:t xml:space="preserve">Autorisation ou refus, historique des accès, révocation, prolongation 2 × 1 h.</w:t>
            </w:r>
          </w:p>
        </w:tc>
      </w:tr>
      <w:tr>
        <w:trPr>
          <w:cantSplit/>
        </w:trPr>
        <w:tc>
          <w:tcPr>
            <w:tcW w:type="dxa" w:w="19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Médecin</w:t>
            </w:r>
          </w:p>
        </w:tc>
        <w:tc>
          <w:tcPr>
            <w:tcW w:type="dxa" w:w="7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Compte professionnel avec MFA TOTP, profil et justificatifs.</w:t>
            </w:r>
          </w:p>
          <w:p>
            <w:pPr>
              <w:keepNext/>
              <w:spacing w:after="30" w:line="252"/>
              <w:jc w:val="left"/>
            </w:pPr>
            <w:r>
              <w:rPr>
                <w:b w:val="false"/>
                <w:bCs w:val="false"/>
                <w:sz w:val="19"/>
                <w:szCs w:val="19"/>
              </w:rPr>
              <w:t xml:space="preserve">Demande de rattachement, établissement actif.</w:t>
            </w:r>
          </w:p>
          <w:p>
            <w:pPr>
              <w:keepNext/>
              <w:spacing w:after="30" w:line="252"/>
              <w:jc w:val="left"/>
            </w:pPr>
            <w:r>
              <w:rPr>
                <w:b w:val="false"/>
                <w:bCs w:val="false"/>
                <w:sz w:val="19"/>
                <w:szCs w:val="19"/>
              </w:rPr>
              <w:t xml:space="preserve">Demande d'accès (in-app ou QR), dossier autorisé.</w:t>
            </w:r>
          </w:p>
          <w:p>
            <w:pPr>
              <w:keepNext/>
              <w:spacing w:after="30" w:line="252"/>
              <w:jc w:val="left"/>
            </w:pPr>
            <w:r>
              <w:rPr>
                <w:b w:val="false"/>
                <w:bCs w:val="false"/>
                <w:sz w:val="19"/>
                <w:szCs w:val="19"/>
              </w:rPr>
              <w:t xml:space="preserve">Consultation, confirmation d'antécédents, attestation SVG, historique.</w:t>
            </w:r>
          </w:p>
        </w:tc>
      </w:tr>
      <w:tr>
        <w:trPr>
          <w:cantSplit/>
        </w:trPr>
        <w:tc>
          <w:tcPr>
            <w:tcW w:type="dxa" w:w="19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Établissement</w:t>
            </w:r>
          </w:p>
        </w:tc>
        <w:tc>
          <w:tcPr>
            <w:tcW w:type="dxa" w:w="7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Création, validation startup, Root, code interne.</w:t>
            </w:r>
          </w:p>
          <w:p>
            <w:pPr>
              <w:keepNext/>
              <w:spacing w:after="30" w:line="252"/>
              <w:jc w:val="left"/>
            </w:pPr>
            <w:r>
              <w:rPr>
                <w:b w:val="false"/>
                <w:bCs w:val="false"/>
                <w:sz w:val="19"/>
                <w:szCs w:val="19"/>
              </w:rPr>
              <w:t xml:space="preserve">Demandes de rattachement, confirmation ou refus, gestion des départs.</w:t>
            </w:r>
          </w:p>
          <w:p>
            <w:pPr>
              <w:keepNext/>
              <w:spacing w:after="30" w:line="252"/>
              <w:jc w:val="left"/>
            </w:pPr>
            <w:r>
              <w:rPr>
                <w:b w:val="false"/>
                <w:bCs w:val="false"/>
                <w:sz w:val="19"/>
                <w:szCs w:val="19"/>
              </w:rPr>
              <w:t xml:space="preserve">Journal organisationnel, isolation.</w:t>
            </w:r>
          </w:p>
        </w:tc>
      </w:tr>
      <w:tr>
        <w:trPr>
          <w:cantSplit/>
        </w:trPr>
        <w:tc>
          <w:tcPr>
            <w:tcW w:type="dxa" w:w="19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Infirmier</w:t>
            </w:r>
          </w:p>
        </w:tc>
        <w:tc>
          <w:tcPr>
            <w:tcW w:type="dxa" w:w="7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bCs/>
                <w:sz w:val="19"/>
                <w:szCs w:val="19"/>
              </w:rPr>
              <w:t xml:space="preserve">Aucun compte, aucun espace.</w:t>
            </w:r>
            <w:r>
              <w:rPr>
                <w:b w:val="false"/>
                <w:bCs w:val="false"/>
                <w:sz w:val="19"/>
                <w:szCs w:val="19"/>
              </w:rPr>
              <w:t xml:space="preserve"> Contribution uniquement via la pré-consultation saisie dans le compte patient.</w:t>
            </w:r>
          </w:p>
        </w:tc>
      </w:tr>
      <w:tr>
        <w:trPr>
          <w:cantSplit/>
        </w:trPr>
        <w:tc>
          <w:tcPr>
            <w:tcW w:type="dxa" w:w="19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Core</w:t>
            </w:r>
          </w:p>
        </w:tc>
        <w:tc>
          <w:tcPr>
            <w:tcW w:type="dxa" w:w="7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AccessGrant, audit, permissions, isolation.</w:t>
            </w:r>
          </w:p>
          <w:p>
            <w:pPr>
              <w:keepNext w:val="false"/>
              <w:spacing w:after="30" w:line="252"/>
              <w:jc w:val="left"/>
            </w:pPr>
            <w:r>
              <w:rPr>
                <w:b w:val="false"/>
                <w:bCs w:val="false"/>
                <w:sz w:val="19"/>
                <w:szCs w:val="19"/>
              </w:rPr>
              <w:t xml:space="preserve">Stockage privé, sauvegarde et restauration, PWA.</w:t>
            </w:r>
          </w:p>
        </w:tc>
      </w:tr>
    </w:tbl>
    <w:p>
      <w:pPr>
        <w:spacing w:after="120"/>
      </w:pPr>
    </w:p>
    <w:p>
      <w:pPr>
        <w:pStyle w:val="Heading2"/>
      </w:pPr>
      <w:r>
        <w:t xml:space="preserve">16.2 Hors V1</w:t>
      </w:r>
    </w:p>
    <w:p>
      <w:pPr>
        <w:pStyle w:val="ListParagraph"/>
        <w:numPr>
          <w:ilvl w:val="0"/>
          <w:numId w:val="2"/>
        </w:numPr>
        <w:spacing w:after="60" w:line="264"/>
      </w:pPr>
      <w:r>
        <w:t xml:space="preserve">demande et transfert de dossier entre établissements (V3) ;</w:t>
      </w:r>
    </w:p>
    <w:p>
      <w:pPr>
        <w:pStyle w:val="ListParagraph"/>
        <w:numPr>
          <w:ilvl w:val="0"/>
          <w:numId w:val="2"/>
        </w:numPr>
        <w:spacing w:after="60" w:line="264"/>
      </w:pPr>
      <w:r>
        <w:t xml:space="preserve">gestion organisationnelle avancée, administration avancée de la plateforme (V2) ;</w:t>
      </w:r>
    </w:p>
    <w:p>
      <w:pPr>
        <w:pStyle w:val="ListParagraph"/>
        <w:numPr>
          <w:ilvl w:val="0"/>
          <w:numId w:val="2"/>
        </w:numPr>
        <w:spacing w:after="60" w:line="264"/>
      </w:pPr>
      <w:r>
        <w:t xml:space="preserve">récupération avancée des comptes sociaux, hors-ligne et synchronisation complète, ordonnance structurée (V2) ;</w:t>
      </w:r>
    </w:p>
    <w:p>
      <w:pPr>
        <w:pStyle w:val="ListParagraph"/>
        <w:numPr>
          <w:ilvl w:val="0"/>
          <w:numId w:val="2"/>
        </w:numPr>
        <w:spacing w:after="60" w:line="264"/>
      </w:pPr>
      <w:r>
        <w:t xml:space="preserve">bibliothèque médicale avancée, application native, téléconsultation, paiement patient, IA clinique, intégrations laboratoire et pharmacie.</w:t>
      </w:r>
    </w:p>
    <w:p>
      <w:pPr>
        <w:pStyle w:val="Heading1"/>
      </w:pPr>
      <w:bookmarkStart w:name="sec17" w:id="1"/>
      <w:r>
        <w:t xml:space="preserve">17. V2 — consolidation</w:t>
      </w:r>
      <w:bookmarkEnd w:id="1"/>
    </w:p>
    <w:p>
      <w:pPr>
        <w:spacing w:after="120" w:line="276"/>
      </w:pPr>
      <w:r>
        <w:t xml:space="preserve">La V2 intervient après un pilote V1 et des retours terrain. Chaque fonction doit être justifiée par les résultats du pilote ; la V2 n'est pas une simple accumulation.</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b/>
          <w:bCs/>
          <w:sz w:val="20"/>
          <w:szCs w:val="20"/>
        </w:rPr>
        <w:t xml:space="preserve">Gestion organisationnelle avancée</w:t>
      </w:r>
      <w:r>
        <w:rPr>
          <w:sz w:val="20"/>
          <w:szCs w:val="20"/>
        </w:rPr>
        <w:t xml:space="preserve">, </w:t>
      </w:r>
      <w:r>
        <w:rPr>
          <w:b/>
          <w:bCs/>
          <w:sz w:val="20"/>
          <w:szCs w:val="20"/>
        </w:rPr>
        <w:t xml:space="preserve">administration avancée du produit</w:t>
      </w:r>
      <w:r>
        <w:rPr>
          <w:sz w:val="20"/>
          <w:szCs w:val="20"/>
        </w:rPr>
        <w:t xml:space="preserve">, </w:t>
      </w:r>
      <w:r>
        <w:rPr>
          <w:b/>
          <w:bCs/>
          <w:sz w:val="20"/>
          <w:szCs w:val="20"/>
        </w:rPr>
        <w:t xml:space="preserve">hors-ligne avec synchronisation</w:t>
      </w:r>
      <w:r>
        <w:rPr>
          <w:sz w:val="20"/>
          <w:szCs w:val="20"/>
        </w:rPr>
        <w:t xml:space="preserve">, </w:t>
      </w:r>
      <w:r>
        <w:rPr>
          <w:b/>
          <w:bCs/>
          <w:sz w:val="20"/>
          <w:szCs w:val="20"/>
        </w:rPr>
        <w:t xml:space="preserve">récupération avancée des comptes</w:t>
      </w:r>
      <w:r>
        <w:rPr>
          <w:sz w:val="20"/>
          <w:szCs w:val="20"/>
        </w:rPr>
        <w:t xml:space="preserve"> et </w:t>
      </w:r>
      <w:r>
        <w:rPr>
          <w:b/>
          <w:bCs/>
          <w:sz w:val="20"/>
          <w:szCs w:val="20"/>
        </w:rPr>
        <w:t xml:space="preserve">ordonnance structurée</w:t>
      </w:r>
      <w:r>
        <w:rPr>
          <w:sz w:val="20"/>
          <w:szCs w:val="20"/>
        </w:rPr>
        <w:t xml:space="preserve"> : V2.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Axe</w:t>
            </w:r>
          </w:p>
        </w:tc>
        <w:tc>
          <w:tcPr>
            <w:tcW w:type="dxa" w:w="76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Fonctions prévues</w:t>
            </w:r>
          </w:p>
        </w:tc>
      </w:tr>
      <w:tr>
        <w:trPr>
          <w:cantSplit/>
        </w:trPr>
        <w:tc>
          <w:tcPr>
            <w:tcW w:type="dxa" w:w="2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Organisation</w:t>
            </w:r>
          </w:p>
        </w:tc>
        <w:tc>
          <w:tcPr>
            <w:tcW w:type="dxa" w:w="7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Rattachements, transferts et départs enrichis ; administration plateforme ; gestion organisationnelle avancée.</w:t>
            </w:r>
          </w:p>
        </w:tc>
      </w:tr>
      <w:tr>
        <w:trPr>
          <w:cantSplit/>
        </w:trPr>
        <w:tc>
          <w:tcPr>
            <w:tcW w:type="dxa" w:w="2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Sécurité</w:t>
            </w:r>
          </w:p>
        </w:tc>
        <w:tc>
          <w:tcPr>
            <w:tcW w:type="dxa" w:w="7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MFA renforcé et récupération ; export du carnet.</w:t>
            </w:r>
          </w:p>
        </w:tc>
      </w:tr>
      <w:tr>
        <w:trPr>
          <w:cantSplit/>
        </w:trPr>
        <w:tc>
          <w:tcPr>
            <w:tcW w:type="dxa" w:w="2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Continuité</w:t>
            </w:r>
          </w:p>
        </w:tc>
        <w:tc>
          <w:tcPr>
            <w:tcW w:type="dxa" w:w="7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Hors-ligne contrôlé et synchronisation ; modèle de prise en charge renforcé.</w:t>
            </w:r>
          </w:p>
        </w:tc>
      </w:tr>
      <w:tr>
        <w:trPr>
          <w:cantSplit/>
        </w:trPr>
        <w:tc>
          <w:tcPr>
            <w:tcW w:type="dxa" w:w="2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Clinique</w:t>
            </w:r>
          </w:p>
        </w:tc>
        <w:tc>
          <w:tcPr>
            <w:tcW w:type="dxa" w:w="7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Formulaires et configuration avancés ; ordonnances structurées ; documents riches ; bibliothèque médicale validée.</w:t>
            </w:r>
          </w:p>
        </w:tc>
      </w:tr>
      <w:tr>
        <w:trPr>
          <w:cantSplit/>
        </w:trPr>
        <w:tc>
          <w:tcPr>
            <w:tcW w:type="dxa" w:w="2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Usage</w:t>
            </w:r>
          </w:p>
        </w:tc>
        <w:tc>
          <w:tcPr>
            <w:tcW w:type="dxa" w:w="7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Notifications ; famille / proche aidant ; statistiques agrégées ; recherche améliorée.</w:t>
            </w:r>
          </w:p>
        </w:tc>
      </w:tr>
    </w:tbl>
    <w:p>
      <w:pPr>
        <w:spacing w:after="120"/>
      </w:pP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Architecture finale de synchronisation V2</w:t>
      </w:r>
      <w:r>
        <w:rPr>
          <w:sz w:val="20"/>
          <w:szCs w:val="20"/>
        </w:rPr>
        <w:t xml:space="preserve"> (résolution de conflits, données concernées, sécurité du stockage local).</w:t>
      </w:r>
    </w:p>
    <w:p>
      <w:pPr>
        <w:pStyle w:val="Heading1"/>
      </w:pPr>
      <w:bookmarkStart w:name="sec18" w:id="1"/>
      <w:r>
        <w:t xml:space="preserve">18. V3 — inter-établissements et réseau</w:t>
      </w:r>
      <w:bookmarkEnd w:id="1"/>
    </w:p>
    <w:p>
      <w:pPr>
        <w:keepNext/>
        <w:keepLines/>
        <w:shd w:fill="F3F6F4" w:color="auto" w:val="clear"/>
        <w:spacing w:after="0" w:before="80" w:line="240"/>
        <w:ind w:left="120"/>
      </w:pPr>
      <w:r>
        <w:rPr>
          <w:rFonts w:ascii="Courier New" w:cs="Courier New" w:eastAsia="Courier New" w:hAnsi="Courier New"/>
          <w:sz w:val="17"/>
          <w:szCs w:val="17"/>
        </w:rPr>
        <w:t xml:space="preserve">  Patient traité par A ─► Consulte B ─► Demande de dossier</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keepLines/>
        <w:shd w:fill="F3F6F4" w:color="auto" w:val="clear"/>
        <w:spacing w:after="0" w:before="0" w:line="240"/>
        <w:ind w:left="120"/>
      </w:pPr>
      <w:r>
        <w:rPr>
          <w:rFonts w:ascii="Courier New" w:cs="Courier New" w:eastAsia="Courier New" w:hAnsi="Courier New"/>
          <w:sz w:val="17"/>
          <w:szCs w:val="17"/>
        </w:rPr>
        <w:t xml:space="preserve">  Contrôle des droits ─► Consentement / règle applicable</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val="false"/>
        <w:keepLines/>
        <w:shd w:fill="F3F6F4" w:color="auto" w:val="clear"/>
        <w:spacing w:after="160" w:before="0" w:line="240"/>
        <w:ind w:left="120"/>
      </w:pPr>
      <w:r>
        <w:rPr>
          <w:rFonts w:ascii="Courier New" w:cs="Courier New" w:eastAsia="Courier New" w:hAnsi="Courier New"/>
          <w:sz w:val="17"/>
          <w:szCs w:val="17"/>
        </w:rPr>
        <w:t xml:space="preserve">  Transmission contrôlée ─► Traçabilité des deux côtés</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val="false"/>
        <w:pBdr>
          <w:left w:val="single" w:color="2E7D4F" w:sz="24" w:space="8"/>
        </w:pBdr>
        <w:shd w:fill="E6F0E8" w:color="auto" w:val="clear"/>
        <w:spacing w:after="180" w:before="40" w:line="264"/>
        <w:ind w:left="200" w:right="100"/>
      </w:pPr>
      <w:r>
        <w:rPr>
          <w:b/>
          <w:bCs/>
          <w:sz w:val="20"/>
          <w:szCs w:val="20"/>
        </w:rPr>
        <w:t xml:space="preserve">Demande, récupération et échange de dossiers entre établissements</w:t>
      </w:r>
      <w:r>
        <w:rPr>
          <w:sz w:val="20"/>
          <w:szCs w:val="20"/>
        </w:rPr>
        <w:t xml:space="preserve"> : V3.</w:t>
      </w:r>
    </w:p>
    <w:p>
      <w:pPr>
        <w:spacing w:after="120" w:line="276"/>
      </w:pPr>
      <w:r>
        <w:t xml:space="preserve">Fonctions : demande de dossier d'un autre établissement, partage contrôlé, transfert encadré, provenance inter-structure, règles de conservation, facturation inter-établissements, statistiques réseau, connecteurs partenaires selon contrats. Aucune intégration nationale ou avec un logiciel tiers n'est acquise sans accord technique, juridique et contractuel.</w:t>
      </w:r>
    </w:p>
    <w:p>
      <w:pPr>
        <w:pStyle w:val="Heading1"/>
      </w:pPr>
      <w:bookmarkStart w:name="sec19" w:id="1"/>
      <w:r>
        <w:t xml:space="preserve">19. Modèle économique</w:t>
      </w:r>
      <w:bookmarkEnd w:id="1"/>
    </w:p>
    <w:p>
      <w:pPr>
        <w:pStyle w:val="Heading2"/>
      </w:pPr>
      <w:r>
        <w:t xml:space="preserve">19.1 Orientation</w:t>
      </w:r>
    </w:p>
    <w:p>
      <w:pPr>
        <w:keepNext/>
        <w:pBdr>
          <w:left w:val="single" w:color="2E7D4F" w:sz="24" w:space="8"/>
        </w:pBdr>
        <w:shd w:fill="E6F0E8" w:color="auto" w:val="clear"/>
        <w:spacing w:after="0" w:before="140"/>
        <w:ind w:left="200" w:right="100"/>
      </w:pPr>
      <w:r>
        <w:rPr>
          <w:b/>
          <w:bCs/>
          <w:color w:val="2E7D4F"/>
          <w:sz w:val="17"/>
          <w:szCs w:val="17"/>
        </w:rPr>
        <w:t xml:space="preserve">DÉCISION VERROUILLÉE — 02/10/2026</w:t>
      </w:r>
    </w:p>
    <w:p>
      <w:pPr>
        <w:keepNext/>
        <w:pBdr>
          <w:left w:val="single" w:color="2E7D4F" w:sz="24" w:space="8"/>
        </w:pBdr>
        <w:shd w:fill="E6F0E8" w:color="auto" w:val="clear"/>
        <w:spacing w:after="0" w:before="40" w:line="264"/>
        <w:ind w:left="200" w:right="100"/>
      </w:pPr>
      <w:r>
        <w:rPr>
          <w:b/>
          <w:bCs/>
          <w:sz w:val="20"/>
          <w:szCs w:val="20"/>
        </w:rPr>
        <w:t xml:space="preserve">Modèle économique</w:t>
      </w:r>
      <w:r>
        <w:rPr>
          <w:sz w:val="20"/>
          <w:szCs w:val="20"/>
        </w:rPr>
        <w:t xml:space="preserve"> : B2B établissement. Le patient ne paie pas d'abonnement individuel (l'idée d'un abonnement annuel de 1 000 FCFA est abandonnée).</w:t>
      </w:r>
    </w:p>
    <w:p>
      <w:pPr>
        <w:keepNext w:val="false"/>
        <w:pBdr>
          <w:left w:val="single" w:color="2E7D4F" w:sz="24" w:space="8"/>
        </w:pBdr>
        <w:shd w:fill="E6F0E8" w:color="auto" w:val="clear"/>
        <w:spacing w:after="180" w:before="40" w:line="264"/>
        <w:ind w:left="200" w:right="100"/>
      </w:pPr>
      <w:r>
        <w:rPr>
          <w:b/>
          <w:bCs/>
          <w:sz w:val="20"/>
          <w:szCs w:val="20"/>
        </w:rPr>
        <w:t xml:space="preserve">Financeur public</w:t>
      </w:r>
      <w:r>
        <w:rPr>
          <w:sz w:val="20"/>
          <w:szCs w:val="20"/>
        </w:rPr>
        <w:t xml:space="preserve"> : l'État n'est pas considéré comme un financeur acquis.</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val="false"/>
        <w:pBdr>
          <w:left w:val="single" w:color="C98A00" w:sz="24" w:space="8"/>
        </w:pBdr>
        <w:shd w:fill="FFF4DC" w:color="auto" w:val="clear"/>
        <w:spacing w:after="180" w:before="40" w:line="264"/>
        <w:ind w:left="200" w:right="100"/>
      </w:pPr>
      <w:r>
        <w:rPr>
          <w:b/>
          <w:bCs/>
          <w:sz w:val="20"/>
          <w:szCs w:val="20"/>
        </w:rPr>
        <w:t xml:space="preserve">Unité et montant de facturation B2B</w:t>
      </w:r>
      <w:r>
        <w:rPr>
          <w:sz w:val="20"/>
          <w:szCs w:val="20"/>
        </w:rPr>
        <w:t xml:space="preserve"> : prise en charge, dossier traité, volume de consultations ou forfait. À valider commercialement avant tout devis.</w:t>
      </w:r>
    </w:p>
    <w:p>
      <w:pPr>
        <w:pStyle w:val="Heading2"/>
      </w:pPr>
      <w:r>
        <w:t xml:space="preserve">19.2 Proposition de valeur pour l'établissement</w:t>
      </w:r>
    </w:p>
    <w:p>
      <w:pPr>
        <w:pStyle w:val="ListParagraph"/>
        <w:numPr>
          <w:ilvl w:val="0"/>
          <w:numId w:val="2"/>
        </w:numPr>
        <w:spacing w:after="60" w:line="264"/>
      </w:pPr>
      <w:r>
        <w:t xml:space="preserve">structurer la continuité des soins et réduire la ressaisie ;</w:t>
      </w:r>
    </w:p>
    <w:p>
      <w:pPr>
        <w:pStyle w:val="ListParagraph"/>
        <w:numPr>
          <w:ilvl w:val="0"/>
          <w:numId w:val="2"/>
        </w:numPr>
        <w:spacing w:after="60" w:line="264"/>
      </w:pPr>
      <w:r>
        <w:t xml:space="preserve">tracer les accès et rattacher les professionnels ;</w:t>
      </w:r>
    </w:p>
    <w:p>
      <w:pPr>
        <w:pStyle w:val="ListParagraph"/>
        <w:numPr>
          <w:ilvl w:val="0"/>
          <w:numId w:val="2"/>
        </w:numPr>
        <w:spacing w:after="60" w:line="264"/>
      </w:pPr>
      <w:r>
        <w:t xml:space="preserve">retrouver les prises en charge réalisées dans sa structure ;</w:t>
      </w:r>
    </w:p>
    <w:p>
      <w:pPr>
        <w:pStyle w:val="ListParagraph"/>
        <w:numPr>
          <w:ilvl w:val="0"/>
          <w:numId w:val="2"/>
        </w:numPr>
        <w:spacing w:after="60" w:line="264"/>
      </w:pPr>
      <w:r>
        <w:t xml:space="preserve">offrir au patient un carnet durable et sécuriser le partage temporaire.</w:t>
      </w:r>
    </w:p>
    <w:p>
      <w:pPr>
        <w:pStyle w:val="Heading2"/>
      </w:pPr>
      <w:r>
        <w:t xml:space="preserve">19.3 Hypothèses commerciales à tester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cantSplit/>
          <w:tblHeader/>
        </w:trPr>
        <w:tc>
          <w:tcPr>
            <w:tcW w:type="dxa" w:w="26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Modèle</w:t>
            </w:r>
          </w:p>
        </w:tc>
        <w:tc>
          <w:tcPr>
            <w:tcW w:type="dxa" w:w="30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Unité possible</w:t>
            </w:r>
          </w:p>
        </w:tc>
        <w:tc>
          <w:tcPr>
            <w:tcW w:type="dxa" w:w="40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Question à tester</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À la prise en charge</w:t>
            </w:r>
          </w:p>
        </w:tc>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X FCFA par prise en charge</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L'établissement préfère-t-il payer à l'usage ?</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Par dossier actif</w:t>
            </w:r>
          </w:p>
        </w:tc>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X FCFA par mois</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Le volume est-il prévisible ?</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Forfait établissement</w:t>
            </w:r>
          </w:p>
        </w:tc>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X FCFA par mois</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Convient-il aux petites structures ?</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Hybride</w:t>
            </w:r>
          </w:p>
        </w:tc>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Base fixe + usage</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Couvre-t-il les coûts fixes ?</w:t>
            </w:r>
          </w:p>
        </w:tc>
      </w:tr>
    </w:tbl>
    <w:p>
      <w:pPr>
        <w:spacing w:after="120"/>
      </w:pPr>
    </w:p>
    <w:p>
      <w:pPr>
        <w:spacing w:after="120" w:line="276"/>
      </w:pPr>
      <w:r>
        <w:t xml:space="preserve">Ces lignes sont des hypothèses, pas des tarifs.</w:t>
      </w:r>
    </w:p>
    <w:p>
      <w:pPr>
        <w:pStyle w:val="Heading2"/>
      </w:pPr>
      <w:r>
        <w:t xml:space="preserve">19.4 Lien avec les coûts : combien d'établissements payants ?</w:t>
      </w:r>
    </w:p>
    <w:p>
      <w:pPr>
        <w:spacing w:after="120" w:line="276"/>
      </w:pPr>
      <w:r>
        <w:t xml:space="preserve">Le nombre d'établissements payants nécessaires pour couvrir les coûts techniques est égal aux coûts mensuels divisés par le revenu mensuel moyen par établissement. Exemple de calcul avec la base de planification de la section 20 (environ 60 000 FCFA par mois) ; les revenus ci-dessous sont </w:t>
      </w:r>
      <w:r>
        <w:rPr>
          <w:b/>
          <w:bCs/>
        </w:rPr>
        <w:t xml:space="preserve">fictifs</w:t>
      </w:r>
      <w:r>
        <w:t xml:space="preserve"> et servent uniquement à montrer le calcul.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cantSplit/>
          <w:tblHeader/>
        </w:trPr>
        <w:tc>
          <w:tcPr>
            <w:tcW w:type="dxa" w:w="54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Revenu mensuel fictif par établissement</w:t>
            </w:r>
          </w:p>
        </w:tc>
        <w:tc>
          <w:tcPr>
            <w:tcW w:type="dxa" w:w="42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right"/>
            </w:pPr>
            <w:r>
              <w:rPr>
                <w:b/>
                <w:bCs/>
                <w:color w:val="FFFFFF"/>
                <w:sz w:val="19"/>
                <w:szCs w:val="19"/>
              </w:rPr>
              <w:t xml:space="preserve">Établissements nécessaires</w:t>
            </w:r>
          </w:p>
        </w:tc>
      </w:tr>
      <w:tr>
        <w:trPr>
          <w:cantSplit/>
        </w:trPr>
        <w:tc>
          <w:tcPr>
            <w:tcW w:type="dxa" w:w="54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sz w:val="19"/>
                <w:szCs w:val="19"/>
              </w:rPr>
              <w:t xml:space="preserve">25 000 FCFA</w:t>
            </w:r>
          </w:p>
        </w:tc>
        <w:tc>
          <w:tcPr>
            <w:tcW w:type="dxa" w:w="4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right"/>
            </w:pPr>
            <w:r>
              <w:rPr>
                <w:sz w:val="19"/>
                <w:szCs w:val="19"/>
              </w:rPr>
              <w:t xml:space="preserve">3</w:t>
            </w:r>
          </w:p>
        </w:tc>
      </w:tr>
      <w:tr>
        <w:trPr>
          <w:cantSplit/>
        </w:trPr>
        <w:tc>
          <w:tcPr>
            <w:tcW w:type="dxa" w:w="54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sz w:val="19"/>
                <w:szCs w:val="19"/>
              </w:rPr>
              <w:t xml:space="preserve">50 000 FCFA</w:t>
            </w:r>
          </w:p>
        </w:tc>
        <w:tc>
          <w:tcPr>
            <w:tcW w:type="dxa" w:w="4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right"/>
            </w:pPr>
            <w:r>
              <w:rPr>
                <w:sz w:val="19"/>
                <w:szCs w:val="19"/>
              </w:rPr>
              <w:t xml:space="preserve">2</w:t>
            </w:r>
          </w:p>
        </w:tc>
      </w:tr>
      <w:tr>
        <w:trPr>
          <w:cantSplit/>
        </w:trPr>
        <w:tc>
          <w:tcPr>
            <w:tcW w:type="dxa" w:w="54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9"/>
                <w:szCs w:val="19"/>
              </w:rPr>
              <w:t xml:space="preserve">100 000 FCFA</w:t>
            </w:r>
          </w:p>
        </w:tc>
        <w:tc>
          <w:tcPr>
            <w:tcW w:type="dxa" w:w="42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sz w:val="19"/>
                <w:szCs w:val="19"/>
              </w:rPr>
              <w:t xml:space="preserve">1</w:t>
            </w:r>
          </w:p>
        </w:tc>
      </w:tr>
    </w:tbl>
    <w:p>
      <w:pPr>
        <w:spacing w:after="120"/>
      </w:pPr>
    </w:p>
    <w:p>
      <w:pPr>
        <w:pStyle w:val="Heading2"/>
      </w:pPr>
      <w:r>
        <w:t xml:space="preserve">19.5 Revenus complémentaires possibles</w:t>
      </w:r>
    </w:p>
    <w:p>
      <w:pPr>
        <w:spacing w:after="120" w:line="276"/>
      </w:pPr>
      <w:r>
        <w:t xml:space="preserve">Après validation du modèle principal : onboarding, formation, support premium, intégrations, stockage supplémentaire, modules organisationnels.</w:t>
      </w:r>
    </w:p>
    <w:p>
      <w:pPr>
        <w:pStyle w:val="Heading1"/>
      </w:pPr>
      <w:bookmarkStart w:name="sec20" w:id="1"/>
      <w:r>
        <w:t xml:space="preserve">20. Budget technique et exploitation</w:t>
      </w:r>
      <w:bookmarkEnd w:id="1"/>
    </w:p>
    <w:p>
      <w:pPr>
        <w:pStyle w:val="Heading2"/>
      </w:pPr>
      <w:r>
        <w:t xml:space="preserve">20.1 Hypothèses et taux de change</w:t>
      </w:r>
    </w:p>
    <w:p>
      <w:pPr>
        <w:spacing w:after="120" w:line="276"/>
      </w:pPr>
      <w:r>
        <w:t xml:space="preserve">Tous les montants sont en </w:t>
      </w:r>
      <w:r>
        <w:rPr>
          <w:b/>
          <w:bCs/>
        </w:rPr>
        <w:t xml:space="preserve">FCFA (XOF) par mois</w:t>
      </w:r>
      <w:r>
        <w:t xml:space="preserve"> pour un pilote restreint. Ce sont des enveloppes de planification, pas des tarifs garantis. Les prix des fournisseurs sont facturés en USD ; ils sont convertis au </w:t>
      </w:r>
      <w:r>
        <w:rPr>
          <w:b/>
          <w:bCs/>
        </w:rPr>
        <w:t xml:space="preserve">taux de planification de 575 FCFA pour 1 USD</w:t>
      </w:r>
      <w:r>
        <w:t xml:space="preserve">. Sur les douze derniers mois, le marché a oscillé entre 548 et 578 FCFA pour 1 USD ; le taux réel du jour de paiement s'applique. Le FCFA est lié à l'euro à parité fixe (1 EUR = 655,957 FCFA).</w:t>
      </w:r>
    </w:p>
    <w:p>
      <w:pPr>
        <w:spacing w:after="120" w:line="276"/>
      </w:pPr>
      <w:r>
        <w:t xml:space="preserve">Tarifs publics relevés le 03/10/2026 : Render, service web Starter 7 USD et Standard 25 USD par mois ; Vercel, plan Pro 20 USD par utilisateur et par mois (le plan gratuit exclut l'usage commercial) ; Neon, facturation à l'usage (environ 0,106 USD par heure de calcul, 0,35 USD par Go et par mois de stockage). Ces tarifs proviennent de sources publiques recoupées ; ils sont à reconfirmer sur les pages officielles avant tout paiement.</w:t>
      </w:r>
    </w:p>
    <w:p>
      <w:pPr>
        <w:pStyle w:val="Heading2"/>
      </w:pPr>
      <w:r>
        <w:t xml:space="preserve">20.2 Enveloppe mensuelle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1450"/>
        <w:gridCol w:w="1450"/>
        <w:gridCol w:w="1438"/>
      </w:tblGrid>
      <w:tr>
        <w:trPr>
          <w:cantSplit/>
          <w:tblHeader/>
        </w:trPr>
        <w:tc>
          <w:tcPr>
            <w:tcW w:type="dxa" w:w="23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Poste</w:t>
            </w:r>
          </w:p>
        </w:tc>
        <w:tc>
          <w:tcPr>
            <w:tcW w:type="dxa" w:w="30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Hypothèse retenue</w:t>
            </w:r>
          </w:p>
        </w:tc>
        <w:tc>
          <w:tcPr>
            <w:tcW w:type="dxa" w:w="145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right"/>
            </w:pPr>
            <w:r>
              <w:rPr>
                <w:b/>
                <w:bCs/>
                <w:color w:val="FFFFFF"/>
                <w:sz w:val="18"/>
                <w:szCs w:val="18"/>
              </w:rPr>
              <w:t xml:space="preserve">Minimum (FCFA)</w:t>
            </w:r>
          </w:p>
        </w:tc>
        <w:tc>
          <w:tcPr>
            <w:tcW w:type="dxa" w:w="145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right"/>
            </w:pPr>
            <w:r>
              <w:rPr>
                <w:b/>
                <w:bCs/>
                <w:color w:val="FFFFFF"/>
                <w:sz w:val="18"/>
                <w:szCs w:val="18"/>
              </w:rPr>
              <w:t xml:space="preserve">Maximum (FCFA)</w:t>
            </w:r>
          </w:p>
        </w:tc>
        <w:tc>
          <w:tcPr>
            <w:tcW w:type="dxa" w:w="14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right"/>
            </w:pPr>
            <w:r>
              <w:rPr>
                <w:b/>
                <w:bCs/>
                <w:color w:val="FFFFFF"/>
                <w:sz w:val="18"/>
                <w:szCs w:val="18"/>
              </w:rPr>
              <w:t xml:space="preserve">Base USD</w:t>
            </w:r>
          </w:p>
        </w:tc>
      </w:tr>
      <w:tr>
        <w:trPr>
          <w:cantSplit/>
        </w:trPr>
        <w:tc>
          <w:tcPr>
            <w:tcW w:type="dxa" w:w="23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Vercel — front</w:t>
            </w:r>
          </w:p>
        </w:tc>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Plan Pro obligatoire ; 1 à 2 sièges</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11 500</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23 000</w:t>
            </w:r>
          </w:p>
        </w:tc>
        <w:tc>
          <w:tcPr>
            <w:tcW w:type="dxa" w:w="1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20 à 40</w:t>
            </w:r>
          </w:p>
        </w:tc>
      </w:tr>
      <w:tr>
        <w:trPr>
          <w:cantSplit/>
        </w:trPr>
        <w:tc>
          <w:tcPr>
            <w:tcW w:type="dxa" w:w="23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Render — API (production et staging)</w:t>
            </w:r>
          </w:p>
        </w:tc>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Production Starter à Standard, staging Starter</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8 000</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18 500</w:t>
            </w:r>
          </w:p>
        </w:tc>
        <w:tc>
          <w:tcPr>
            <w:tcW w:type="dxa" w:w="1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14 à 32</w:t>
            </w:r>
          </w:p>
        </w:tc>
      </w:tr>
      <w:tr>
        <w:trPr>
          <w:cantSplit/>
        </w:trPr>
        <w:tc>
          <w:tcPr>
            <w:tcW w:type="dxa" w:w="23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PostgreSQL managé (UE)</w:t>
            </w:r>
          </w:p>
        </w:tc>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Neon à l'usage ou Render Postgres</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3 000</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14 500</w:t>
            </w:r>
          </w:p>
        </w:tc>
        <w:tc>
          <w:tcPr>
            <w:tcW w:type="dxa" w:w="1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5 à 25</w:t>
            </w:r>
          </w:p>
        </w:tc>
      </w:tr>
      <w:tr>
        <w:trPr>
          <w:cantSplit/>
        </w:trPr>
        <w:tc>
          <w:tcPr>
            <w:tcW w:type="dxa" w:w="23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Redis</w:t>
            </w:r>
          </w:p>
        </w:tc>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Non activé au premier commit</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0</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0</w:t>
            </w:r>
          </w:p>
        </w:tc>
        <w:tc>
          <w:tcPr>
            <w:tcW w:type="dxa" w:w="1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0</w:t>
            </w:r>
          </w:p>
        </w:tc>
      </w:tr>
      <w:tr>
        <w:trPr>
          <w:cantSplit/>
        </w:trPr>
        <w:tc>
          <w:tcPr>
            <w:tcW w:type="dxa" w:w="23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Stockage objet privé (UE)</w:t>
            </w:r>
          </w:p>
        </w:tc>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Justificatifs et pièces V1</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3 000</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11 500</w:t>
            </w:r>
          </w:p>
        </w:tc>
        <w:tc>
          <w:tcPr>
            <w:tcW w:type="dxa" w:w="1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5 à 20</w:t>
            </w:r>
          </w:p>
        </w:tc>
      </w:tr>
      <w:tr>
        <w:trPr>
          <w:cantSplit/>
        </w:trPr>
        <w:tc>
          <w:tcPr>
            <w:tcW w:type="dxa" w:w="23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Domaine et DNS</w:t>
            </w:r>
          </w:p>
        </w:tc>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Domaine et sous-domaines app. / api.</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500</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1 500</w:t>
            </w:r>
          </w:p>
        </w:tc>
        <w:tc>
          <w:tcPr>
            <w:tcW w:type="dxa" w:w="1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1 à 3</w:t>
            </w:r>
          </w:p>
        </w:tc>
      </w:tr>
      <w:tr>
        <w:trPr>
          <w:cantSplit/>
        </w:trPr>
        <w:tc>
          <w:tcPr>
            <w:tcW w:type="dxa" w:w="23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Monitoring, e-mail, sauvegarde externe</w:t>
            </w:r>
          </w:p>
        </w:tc>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Erreurs, alertes, e-mails d'authentification, copie chiffrée hors fournisseur</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0</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11 500</w:t>
            </w:r>
          </w:p>
        </w:tc>
        <w:tc>
          <w:tcPr>
            <w:tcW w:type="dxa" w:w="1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0 à 20</w:t>
            </w:r>
          </w:p>
        </w:tc>
      </w:tr>
      <w:tr>
        <w:trPr>
          <w:cantSplit/>
        </w:trPr>
        <w:tc>
          <w:tcPr>
            <w:tcW w:type="dxa" w:w="23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OTP WhatsApp / téléphone</w:t>
            </w:r>
          </w:p>
        </w:tc>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Provision ; fournisseur à valider</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3 000</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8 500</w:t>
            </w:r>
          </w:p>
        </w:tc>
        <w:tc>
          <w:tcPr>
            <w:tcW w:type="dxa" w:w="1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5 à 15</w:t>
            </w:r>
          </w:p>
        </w:tc>
      </w:tr>
      <w:tr>
        <w:trPr>
          <w:cantSplit/>
        </w:trPr>
        <w:tc>
          <w:tcPr>
            <w:tcW w:type="dxa" w:w="23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MFA TOTP</w:t>
            </w:r>
          </w:p>
        </w:tc>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Bibliothèque libre, sans coût</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0</w:t>
            </w:r>
          </w:p>
        </w:tc>
        <w:tc>
          <w:tcPr>
            <w:tcW w:type="dxa" w:w="145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0</w:t>
            </w:r>
          </w:p>
        </w:tc>
        <w:tc>
          <w:tcPr>
            <w:tcW w:type="dxa" w:w="1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8"/>
                <w:szCs w:val="18"/>
              </w:rPr>
              <w:t xml:space="preserve">0</w:t>
            </w:r>
          </w:p>
        </w:tc>
      </w:tr>
      <w:tr>
        <w:trPr>
          <w:cantSplit/>
        </w:trPr>
        <w:tc>
          <w:tcPr>
            <w:tcW w:type="dxa" w:w="2300"/>
            <w:tcBorders>
              <w:top w:val="single" w:color="C9D4CC" w:sz="4"/>
              <w:left w:val="single" w:color="C9D4CC" w:sz="4"/>
              <w:bottom w:val="single" w:color="C9D4CC" w:sz="4"/>
              <w:right w:val="single" w:color="C9D4CC" w:sz="4"/>
            </w:tcBorders>
            <w:shd w:fill="E8EFE9" w:color="auto" w:val="clear"/>
            <w:tcMar>
              <w:top w:type="dxa" w:w="70"/>
              <w:left w:type="dxa" w:w="100"/>
              <w:bottom w:type="dxa" w:w="70"/>
              <w:right w:type="dxa" w:w="100"/>
            </w:tcMar>
            <w:vAlign w:val="top"/>
          </w:tcPr>
          <w:p>
            <w:pPr>
              <w:keepNext w:val="false"/>
              <w:spacing w:after="30" w:line="252"/>
              <w:jc w:val="left"/>
            </w:pPr>
            <w:r>
              <w:rPr>
                <w:b/>
                <w:bCs/>
                <w:sz w:val="18"/>
                <w:szCs w:val="18"/>
              </w:rPr>
              <w:t xml:space="preserve">Total technique mensuel</w:t>
            </w:r>
          </w:p>
        </w:tc>
        <w:tc>
          <w:tcPr>
            <w:tcW w:type="dxa" w:w="3000"/>
            <w:tcBorders>
              <w:top w:val="single" w:color="C9D4CC" w:sz="4"/>
              <w:left w:val="single" w:color="C9D4CC" w:sz="4"/>
              <w:bottom w:val="single" w:color="C9D4CC" w:sz="4"/>
              <w:right w:val="single" w:color="C9D4CC" w:sz="4"/>
            </w:tcBorders>
            <w:shd w:fill="E8EFE9" w:color="auto" w:val="clear"/>
            <w:tcMar>
              <w:top w:type="dxa" w:w="70"/>
              <w:left w:type="dxa" w:w="100"/>
              <w:bottom w:type="dxa" w:w="70"/>
              <w:right w:type="dxa" w:w="100"/>
            </w:tcMar>
            <w:vAlign w:val="top"/>
          </w:tcPr>
          <w:p>
            <w:pPr>
              <w:keepNext w:val="false"/>
              <w:spacing w:after="30" w:line="252"/>
              <w:jc w:val="left"/>
            </w:pPr>
          </w:p>
        </w:tc>
        <w:tc>
          <w:tcPr>
            <w:tcW w:type="dxa" w:w="1450"/>
            <w:tcBorders>
              <w:top w:val="single" w:color="C9D4CC" w:sz="4"/>
              <w:left w:val="single" w:color="C9D4CC" w:sz="4"/>
              <w:bottom w:val="single" w:color="C9D4CC" w:sz="4"/>
              <w:right w:val="single" w:color="C9D4CC" w:sz="4"/>
            </w:tcBorders>
            <w:shd w:fill="E8EFE9" w:color="auto" w:val="clear"/>
            <w:tcMar>
              <w:top w:type="dxa" w:w="70"/>
              <w:left w:type="dxa" w:w="100"/>
              <w:bottom w:type="dxa" w:w="70"/>
              <w:right w:type="dxa" w:w="100"/>
            </w:tcMar>
            <w:vAlign w:val="top"/>
          </w:tcPr>
          <w:p>
            <w:pPr>
              <w:keepNext w:val="false"/>
              <w:spacing w:after="30" w:line="252"/>
              <w:jc w:val="right"/>
            </w:pPr>
            <w:r>
              <w:rPr>
                <w:b/>
                <w:bCs/>
                <w:sz w:val="18"/>
                <w:szCs w:val="18"/>
              </w:rPr>
              <w:t xml:space="preserve">29 000</w:t>
            </w:r>
          </w:p>
        </w:tc>
        <w:tc>
          <w:tcPr>
            <w:tcW w:type="dxa" w:w="1450"/>
            <w:tcBorders>
              <w:top w:val="single" w:color="C9D4CC" w:sz="4"/>
              <w:left w:val="single" w:color="C9D4CC" w:sz="4"/>
              <w:bottom w:val="single" w:color="C9D4CC" w:sz="4"/>
              <w:right w:val="single" w:color="C9D4CC" w:sz="4"/>
            </w:tcBorders>
            <w:shd w:fill="E8EFE9" w:color="auto" w:val="clear"/>
            <w:tcMar>
              <w:top w:type="dxa" w:w="70"/>
              <w:left w:type="dxa" w:w="100"/>
              <w:bottom w:type="dxa" w:w="70"/>
              <w:right w:type="dxa" w:w="100"/>
            </w:tcMar>
            <w:vAlign w:val="top"/>
          </w:tcPr>
          <w:p>
            <w:pPr>
              <w:keepNext w:val="false"/>
              <w:spacing w:after="30" w:line="252"/>
              <w:jc w:val="right"/>
            </w:pPr>
            <w:r>
              <w:rPr>
                <w:b/>
                <w:bCs/>
                <w:sz w:val="18"/>
                <w:szCs w:val="18"/>
              </w:rPr>
              <w:t xml:space="preserve">89 000</w:t>
            </w:r>
          </w:p>
        </w:tc>
        <w:tc>
          <w:tcPr>
            <w:tcW w:type="dxa" w:w="1438"/>
            <w:tcBorders>
              <w:top w:val="single" w:color="C9D4CC" w:sz="4"/>
              <w:left w:val="single" w:color="C9D4CC" w:sz="4"/>
              <w:bottom w:val="single" w:color="C9D4CC" w:sz="4"/>
              <w:right w:val="single" w:color="C9D4CC" w:sz="4"/>
            </w:tcBorders>
            <w:shd w:fill="E8EFE9" w:color="auto" w:val="clear"/>
            <w:tcMar>
              <w:top w:type="dxa" w:w="70"/>
              <w:left w:type="dxa" w:w="100"/>
              <w:bottom w:type="dxa" w:w="70"/>
              <w:right w:type="dxa" w:w="100"/>
            </w:tcMar>
            <w:vAlign w:val="top"/>
          </w:tcPr>
          <w:p>
            <w:pPr>
              <w:keepNext w:val="false"/>
              <w:spacing w:after="30" w:line="252"/>
              <w:jc w:val="right"/>
            </w:pPr>
            <w:r>
              <w:rPr>
                <w:b/>
                <w:bCs/>
                <w:sz w:val="18"/>
                <w:szCs w:val="18"/>
              </w:rPr>
              <w:t xml:space="preserve">50 à 155</w:t>
            </w:r>
          </w:p>
        </w:tc>
      </w:tr>
    </w:tbl>
    <w:p>
      <w:pPr>
        <w:spacing w:after="120"/>
      </w:pPr>
    </w:p>
    <w:p>
      <w:pPr>
        <w:pStyle w:val="Heading2"/>
      </w:pPr>
      <w:r>
        <w:t xml:space="preserve">20.3 Scénarios de planification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trPr>
        <w:tc>
          <w:tcPr>
            <w:tcW w:type="dxa" w:w="24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Scénario</w:t>
            </w:r>
          </w:p>
        </w:tc>
        <w:tc>
          <w:tcPr>
            <w:tcW w:type="dxa" w:w="48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Composition</w:t>
            </w:r>
          </w:p>
        </w:tc>
        <w:tc>
          <w:tcPr>
            <w:tcW w:type="dxa" w:w="24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right"/>
            </w:pPr>
            <w:r>
              <w:rPr>
                <w:b/>
                <w:bCs/>
                <w:color w:val="FFFFFF"/>
                <w:sz w:val="19"/>
                <w:szCs w:val="19"/>
              </w:rPr>
              <w:t xml:space="preserve">FCFA par mois</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Minimal</w:t>
            </w:r>
          </w:p>
        </w:tc>
        <w:tc>
          <w:tcPr>
            <w:tcW w:type="dxa" w:w="48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Vercel 1 siège ; Render Starter pour production et staging ; Neon avec mise en veille ; stockage et supervision au strict minimum</w:t>
            </w:r>
          </w:p>
        </w:tc>
        <w:tc>
          <w:tcPr>
            <w:tcW w:type="dxa" w:w="24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right"/>
            </w:pPr>
            <w:r>
              <w:rPr>
                <w:b w:val="false"/>
                <w:bCs w:val="false"/>
                <w:sz w:val="19"/>
                <w:szCs w:val="19"/>
              </w:rPr>
              <w:t xml:space="preserve">environ 29 000</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Recommandé pour le pilote</w:t>
            </w:r>
          </w:p>
        </w:tc>
        <w:tc>
          <w:tcPr>
            <w:tcW w:type="dxa" w:w="48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Vercel 1 siège ; Render Standard en production, Starter en staging ; petite base toujours active ; supervision simple ; OTP</w:t>
            </w:r>
          </w:p>
        </w:tc>
        <w:tc>
          <w:tcPr>
            <w:tcW w:type="dxa" w:w="24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right"/>
            </w:pPr>
            <w:r>
              <w:rPr>
                <w:b/>
                <w:bCs/>
                <w:sz w:val="19"/>
                <w:szCs w:val="19"/>
              </w:rPr>
              <w:t xml:space="preserve">environ 60 000</w:t>
            </w:r>
            <w:r>
              <w:rPr>
                <w:b w:val="false"/>
                <w:bCs w:val="false"/>
                <w:sz w:val="19"/>
                <w:szCs w:val="19"/>
              </w:rPr>
              <w:t xml:space="preserve"> (soit environ 720 000 par an)</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Avec réserve de 20 à 30 %</w:t>
            </w:r>
          </w:p>
        </w:tc>
        <w:tc>
          <w:tcPr>
            <w:tcW w:type="dxa" w:w="48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Scénario recommandé augmenté pour les dépassements d'usage et les écarts de change</w:t>
            </w:r>
          </w:p>
        </w:tc>
        <w:tc>
          <w:tcPr>
            <w:tcW w:type="dxa" w:w="24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right"/>
            </w:pPr>
            <w:r>
              <w:rPr>
                <w:b w:val="false"/>
                <w:bCs w:val="false"/>
                <w:sz w:val="19"/>
                <w:szCs w:val="19"/>
              </w:rPr>
              <w:t xml:space="preserve">environ 72 000 à 79 000</w:t>
            </w:r>
          </w:p>
        </w:tc>
      </w:tr>
      <w:tr>
        <w:trPr>
          <w:cantSplit/>
        </w:trPr>
        <w:tc>
          <w:tcPr>
            <w:tcW w:type="dxa" w:w="2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Haut</w:t>
            </w:r>
          </w:p>
        </w:tc>
        <w:tc>
          <w:tcPr>
            <w:tcW w:type="dxa" w:w="48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Tous les postes à leur maximum</w:t>
            </w:r>
          </w:p>
        </w:tc>
        <w:tc>
          <w:tcPr>
            <w:tcW w:type="dxa" w:w="24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right"/>
            </w:pPr>
            <w:r>
              <w:rPr>
                <w:b w:val="false"/>
                <w:bCs w:val="false"/>
                <w:sz w:val="19"/>
                <w:szCs w:val="19"/>
              </w:rPr>
              <w:t xml:space="preserve">environ 89 000</w:t>
            </w:r>
          </w:p>
        </w:tc>
      </w:tr>
    </w:tbl>
    <w:p>
      <w:pPr>
        <w:spacing w:after="120"/>
      </w:pPr>
    </w:p>
    <w:p>
      <w:pPr>
        <w:keepNext/>
        <w:pBdr>
          <w:left w:val="single" w:color="3B6EA5" w:sz="24" w:space="8"/>
        </w:pBdr>
        <w:shd w:fill="E8F0F8" w:color="auto" w:val="clear"/>
        <w:spacing w:after="0" w:before="140"/>
        <w:ind w:left="200" w:right="100"/>
      </w:pPr>
      <w:r>
        <w:rPr>
          <w:b/>
          <w:bCs/>
          <w:color w:val="3B6EA5"/>
          <w:sz w:val="17"/>
          <w:szCs w:val="17"/>
        </w:rPr>
        <w:t xml:space="preserve">PROPOSITION DE TRAVAIL</w:t>
      </w:r>
    </w:p>
    <w:p>
      <w:pPr>
        <w:keepNext w:val="false"/>
        <w:pBdr>
          <w:left w:val="single" w:color="3B6EA5" w:sz="24" w:space="8"/>
        </w:pBdr>
        <w:shd w:fill="E8F0F8" w:color="auto" w:val="clear"/>
        <w:spacing w:after="180" w:before="40" w:line="264"/>
        <w:ind w:left="200" w:right="100"/>
      </w:pPr>
      <w:r>
        <w:rPr>
          <w:sz w:val="20"/>
          <w:szCs w:val="20"/>
        </w:rPr>
        <w:t xml:space="preserve">La base recommandée est plus élevée que celle de la V7 (40 à 100 USD, soit 24 000 à 60 000 FCFA au taux de 600) pour trois raisons : Vercel exige le plan Pro dès l'usage commercial, un environnement de staging séparé est obligatoire, et l'OTP WhatsApp est désormais budgété. Redis, lui, sort du budget de départ.</w:t>
      </w:r>
    </w:p>
    <w:p>
      <w:pPr>
        <w:pStyle w:val="Heading2"/>
      </w:pPr>
      <w:r>
        <w:t xml:space="preserve">20.4 Hors enveloppe</w:t>
      </w:r>
    </w:p>
    <w:p>
      <w:pPr>
        <w:spacing w:after="120" w:line="276"/>
      </w:pPr>
      <w:r>
        <w:t xml:space="preserve">Ces coûts ne sont pas compris dans les montants ci-dessus et doivent être chiffrés par devis ou par décision du fondateur :</w:t>
      </w:r>
    </w:p>
    <w:p>
      <w:pPr>
        <w:pStyle w:val="ListParagraph"/>
        <w:numPr>
          <w:ilvl w:val="0"/>
          <w:numId w:val="2"/>
        </w:numPr>
        <w:spacing w:after="60" w:line="264"/>
      </w:pPr>
      <w:r>
        <w:rPr>
          <w:b/>
          <w:bCs/>
        </w:rPr>
        <w:t xml:space="preserve">hébergement ivoirien</w:t>
      </w:r>
      <w:r>
        <w:t xml:space="preserve"> et opération de la bascule (14.7) ;</w:t>
      </w:r>
    </w:p>
    <w:p>
      <w:pPr>
        <w:pStyle w:val="ListParagraph"/>
        <w:numPr>
          <w:ilvl w:val="0"/>
          <w:numId w:val="2"/>
        </w:numPr>
        <w:spacing w:after="60" w:line="264"/>
      </w:pPr>
      <w:r>
        <w:t xml:space="preserve">conseil juridique et protection des données : responsabilités, notices, consentements, contrats ;</w:t>
      </w:r>
    </w:p>
    <w:p>
      <w:pPr>
        <w:pStyle w:val="ListParagraph"/>
        <w:numPr>
          <w:ilvl w:val="0"/>
          <w:numId w:val="2"/>
        </w:numPr>
        <w:spacing w:after="60" w:line="264"/>
      </w:pPr>
      <w:r>
        <w:t xml:space="preserve">audit de sécurité et test d'intrusion avant les données réelles ;</w:t>
      </w:r>
    </w:p>
    <w:p>
      <w:pPr>
        <w:pStyle w:val="ListParagraph"/>
        <w:numPr>
          <w:ilvl w:val="0"/>
          <w:numId w:val="2"/>
        </w:numPr>
        <w:spacing w:after="60" w:line="264"/>
      </w:pPr>
      <w:r>
        <w:t xml:space="preserve">taxes, frais bancaires et de conversion sur les paiements en USD ;</w:t>
      </w:r>
    </w:p>
    <w:p>
      <w:pPr>
        <w:pStyle w:val="ListParagraph"/>
        <w:numPr>
          <w:ilvl w:val="0"/>
          <w:numId w:val="2"/>
        </w:numPr>
        <w:spacing w:after="60" w:line="264"/>
      </w:pPr>
      <w:r>
        <w:t xml:space="preserve">support renforcé ou astreinte ; formation des établissements ;</w:t>
      </w:r>
    </w:p>
    <w:p>
      <w:pPr>
        <w:pStyle w:val="ListParagraph"/>
        <w:numPr>
          <w:ilvl w:val="0"/>
          <w:numId w:val="2"/>
        </w:numPr>
        <w:spacing w:after="60" w:line="264"/>
      </w:pPr>
      <w:r>
        <w:t xml:space="preserve">outils de développement, dont les outils d'IA ;</w:t>
      </w:r>
    </w:p>
    <w:p>
      <w:pPr>
        <w:pStyle w:val="ListParagraph"/>
        <w:numPr>
          <w:ilvl w:val="0"/>
          <w:numId w:val="2"/>
        </w:numPr>
        <w:spacing w:after="60" w:line="264"/>
      </w:pPr>
      <w:r>
        <w:t xml:space="preserve">prestations UX / UI, branding et développement (section 24 et 25).</w:t>
      </w:r>
    </w:p>
    <w:p>
      <w:pPr>
        <w:pStyle w:val="Heading2"/>
      </w:pPr>
      <w:r>
        <w:t xml:space="preserve">20.5 Exploitation, SLA et support</w:t>
      </w:r>
    </w:p>
    <w:p>
      <w:pPr>
        <w:keepNext/>
        <w:pBdr>
          <w:left w:val="single" w:color="C98A00" w:sz="24" w:space="8"/>
        </w:pBdr>
        <w:shd w:fill="FFF4DC" w:color="auto" w:val="clear"/>
        <w:spacing w:after="0" w:before="140"/>
        <w:ind w:left="200" w:right="100"/>
      </w:pPr>
      <w:r>
        <w:rPr>
          <w:b/>
          <w:bCs/>
          <w:color w:val="C98A00"/>
          <w:sz w:val="17"/>
          <w:szCs w:val="17"/>
        </w:rPr>
        <w:t xml:space="preserve">À VALIDER</w:t>
      </w:r>
    </w:p>
    <w:p>
      <w:pPr>
        <w:keepNext/>
        <w:pBdr>
          <w:left w:val="single" w:color="C98A00" w:sz="24" w:space="8"/>
        </w:pBdr>
        <w:shd w:fill="FFF4DC" w:color="auto" w:val="clear"/>
        <w:spacing w:after="0" w:before="40" w:line="264"/>
        <w:ind w:left="200" w:right="100"/>
      </w:pPr>
      <w:r>
        <w:rPr>
          <w:b/>
          <w:bCs/>
          <w:sz w:val="20"/>
          <w:szCs w:val="20"/>
        </w:rPr>
        <w:t xml:space="preserve">Responsable du paiement des services cloud</w:t>
      </w:r>
      <w:r>
        <w:rPr>
          <w:sz w:val="20"/>
          <w:szCs w:val="20"/>
        </w:rPr>
        <w:t xml:space="preserve"> (entité, moyen de paiement international, plafonds).</w:t>
      </w:r>
    </w:p>
    <w:p>
      <w:pPr>
        <w:keepNext w:val="false"/>
        <w:pBdr>
          <w:left w:val="single" w:color="C98A00" w:sz="24" w:space="8"/>
        </w:pBdr>
        <w:shd w:fill="FFF4DC" w:color="auto" w:val="clear"/>
        <w:spacing w:after="180" w:before="40" w:line="264"/>
        <w:ind w:left="200" w:right="100"/>
      </w:pPr>
      <w:r>
        <w:rPr>
          <w:b/>
          <w:bCs/>
          <w:sz w:val="20"/>
          <w:szCs w:val="20"/>
        </w:rPr>
        <w:t xml:space="preserve">SLA et support</w:t>
      </w:r>
      <w:r>
        <w:rPr>
          <w:sz w:val="20"/>
          <w:szCs w:val="20"/>
        </w:rPr>
        <w:t xml:space="preserve"> promis aux établissements pilotes (horaires, délais de réponse, canaux, escalade).</w:t>
      </w:r>
    </w:p>
    <w:p>
      <w:pPr>
        <w:pStyle w:val="Heading2"/>
      </w:pPr>
      <w:r>
        <w:t xml:space="preserve">20.6 Règles de maîtrise des coûts</w:t>
      </w:r>
    </w:p>
    <w:p>
      <w:pPr>
        <w:pStyle w:val="ListParagraph"/>
        <w:numPr>
          <w:ilvl w:val="0"/>
          <w:numId w:val="2"/>
        </w:numPr>
        <w:spacing w:after="60" w:line="264"/>
      </w:pPr>
      <w:r>
        <w:t xml:space="preserve">Redis n'est pas ajouté par réflexe : uniquement si un besoin mesuré est démontré (le budget prévoit alors 0 à 5 750 FCFA par mois) ;</w:t>
      </w:r>
    </w:p>
    <w:p>
      <w:pPr>
        <w:pStyle w:val="ListParagraph"/>
        <w:numPr>
          <w:ilvl w:val="0"/>
          <w:numId w:val="2"/>
        </w:numPr>
        <w:spacing w:after="60" w:line="264"/>
      </w:pPr>
      <w:r>
        <w:t xml:space="preserve">plafonds de dépense et alertes budgétaires activés chez chaque fournisseur ;</w:t>
      </w:r>
    </w:p>
    <w:p>
      <w:pPr>
        <w:pStyle w:val="ListParagraph"/>
        <w:numPr>
          <w:ilvl w:val="0"/>
          <w:numId w:val="2"/>
        </w:numPr>
        <w:spacing w:after="60" w:line="264"/>
      </w:pPr>
      <w:r>
        <w:t xml:space="preserve">revue des coûts réels chaque mois pendant le pilote ; mise à jour de ce chapitre avant le Go / No-Go.</w:t>
      </w:r>
    </w:p>
    <w:p>
      <w:pPr>
        <w:pStyle w:val="Heading1"/>
      </w:pPr>
      <w:bookmarkStart w:name="sec21" w:id="1"/>
      <w:r>
        <w:t xml:space="preserve">21. UX / UI, branding et pages publiques</w:t>
      </w:r>
      <w:bookmarkEnd w:id="1"/>
    </w:p>
    <w:p>
      <w:pPr>
        <w:pStyle w:val="Heading2"/>
      </w:pPr>
      <w:r>
        <w:t xml:space="preserve">21.1 Principes</w:t>
      </w:r>
    </w:p>
    <w:p>
      <w:pPr>
        <w:pStyle w:val="ListParagraph"/>
        <w:numPr>
          <w:ilvl w:val="0"/>
          <w:numId w:val="2"/>
        </w:numPr>
        <w:spacing w:after="60" w:line="264"/>
      </w:pPr>
      <w:r>
        <w:t xml:space="preserve">mobile-first, Android courant, connexion parfois instable ;</w:t>
      </w:r>
    </w:p>
    <w:p>
      <w:pPr>
        <w:pStyle w:val="ListParagraph"/>
        <w:numPr>
          <w:ilvl w:val="0"/>
          <w:numId w:val="2"/>
        </w:numPr>
        <w:spacing w:after="60" w:line="264"/>
      </w:pPr>
      <w:r>
        <w:t xml:space="preserve">textes simples, formulaires progressifs, pas de jargon inutile ;</w:t>
      </w:r>
    </w:p>
    <w:p>
      <w:pPr>
        <w:pStyle w:val="ListParagraph"/>
        <w:numPr>
          <w:ilvl w:val="0"/>
          <w:numId w:val="2"/>
        </w:numPr>
        <w:spacing w:after="60" w:line="264"/>
      </w:pPr>
      <w:r>
        <w:t xml:space="preserve">chaque vue liée à des données gère quatre états : chargement, erreur explicite, vide, succès ;</w:t>
      </w:r>
    </w:p>
    <w:p>
      <w:pPr>
        <w:pStyle w:val="ListParagraph"/>
        <w:numPr>
          <w:ilvl w:val="0"/>
          <w:numId w:val="2"/>
        </w:numPr>
        <w:spacing w:after="60" w:line="264"/>
      </w:pPr>
      <w:r>
        <w:t xml:space="preserve">provenance toujours visible (icône et libellé) ; consentement compréhensible ;</w:t>
      </w:r>
    </w:p>
    <w:p>
      <w:pPr>
        <w:pStyle w:val="ListParagraph"/>
        <w:numPr>
          <w:ilvl w:val="0"/>
          <w:numId w:val="2"/>
        </w:numPr>
        <w:spacing w:after="60" w:line="264"/>
      </w:pPr>
      <w:r>
        <w:t xml:space="preserve">direction visuelle « Sauge », composants accessibles.</w:t>
      </w:r>
    </w:p>
    <w:p>
      <w:pPr>
        <w:pStyle w:val="Heading2"/>
      </w:pPr>
      <w:r>
        <w:t xml:space="preserve">21.2 Écrans V1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Espace</w:t>
            </w:r>
          </w:p>
        </w:tc>
        <w:tc>
          <w:tcPr>
            <w:tcW w:type="dxa" w:w="74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Écrans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Patient</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Onboarding, connexion, couverture, tableau de bord, profil, antécédents, pré-consultation, détail consultation, demande d'accès, approbation, historique, paramètres.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Médecin</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Connexion, activation MFA, profil professionnel, vérification, établissement actif, demandes, dossier autorisé, pré-consultation, consultation, validation, signature, historique.</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Root établissement</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Onboarding, fiche établissement, tableau de bord, demandes, membres, rattachements, départs, journal organisationnel.</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Infirmier</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bCs/>
                <w:sz w:val="19"/>
                <w:szCs w:val="19"/>
              </w:rPr>
              <w:t xml:space="preserve">Aucun écran.</w:t>
            </w:r>
            <w:r>
              <w:rPr>
                <w:b w:val="false"/>
                <w:bCs w:val="false"/>
                <w:sz w:val="19"/>
                <w:szCs w:val="19"/>
              </w:rPr>
              <w:t xml:space="preserve"> La pré-consultation se fait dans l'espace patient.</w:t>
            </w:r>
          </w:p>
        </w:tc>
      </w:tr>
    </w:tbl>
    <w:p>
      <w:pPr>
        <w:spacing w:after="120"/>
      </w:pPr>
    </w:p>
    <w:p>
      <w:pPr>
        <w:pStyle w:val="Heading2"/>
      </w:pPr>
      <w:r>
        <w:t xml:space="preserve">21.3 Routes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738"/>
        <w:gridCol w:w="2000"/>
      </w:tblGrid>
      <w:tr>
        <w:trPr>
          <w:cantSplit/>
          <w:tblHeader/>
        </w:trPr>
        <w:tc>
          <w:tcPr>
            <w:tcW w:type="dxa" w:w="19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8"/>
                <w:szCs w:val="18"/>
              </w:rPr>
              <w:t xml:space="preserve">Zone</w:t>
            </w:r>
          </w:p>
        </w:tc>
        <w:tc>
          <w:tcPr>
            <w:tcW w:type="dxa" w:w="57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8"/>
                <w:szCs w:val="18"/>
              </w:rPr>
              <w:t xml:space="preserve">Routes</w:t>
            </w:r>
          </w:p>
        </w:tc>
        <w:tc>
          <w:tcPr>
            <w:tcW w:type="dxa" w:w="20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8"/>
                <w:szCs w:val="18"/>
              </w:rPr>
              <w:t xml:space="preserve">Indexation</w:t>
            </w:r>
          </w:p>
        </w:tc>
      </w:tr>
      <w:tr>
        <w:trPr>
          <w:cantSplit/>
        </w:trPr>
        <w:tc>
          <w:tcPr>
            <w:tcW w:type="dxa" w:w="19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8"/>
                <w:szCs w:val="18"/>
              </w:rPr>
              <w:t xml:space="preserve">Publique</w:t>
            </w:r>
          </w:p>
        </w:tc>
        <w:tc>
          <w:tcPr>
            <w:tcW w:type="dxa" w:w="5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8"/>
                <w:szCs w:val="18"/>
              </w:rPr>
              <w:t xml:space="preserve">/ · /fonctionnement · /securite-confidentialite · /pour-les-etablissements · /faq</w:t>
            </w:r>
          </w:p>
        </w:tc>
        <w:tc>
          <w:tcPr>
            <w:tcW w:type="dxa" w:w="2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8"/>
                <w:szCs w:val="18"/>
              </w:rPr>
              <w:t xml:space="preserve">Indexable</w:t>
            </w:r>
          </w:p>
        </w:tc>
      </w:tr>
      <w:tr>
        <w:trPr>
          <w:cantSplit/>
        </w:trPr>
        <w:tc>
          <w:tcPr>
            <w:tcW w:type="dxa" w:w="19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8"/>
                <w:szCs w:val="18"/>
              </w:rPr>
              <w:t xml:space="preserve">Authentification</w:t>
            </w:r>
          </w:p>
        </w:tc>
        <w:tc>
          <w:tcPr>
            <w:tcW w:type="dxa" w:w="5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8"/>
                <w:szCs w:val="18"/>
              </w:rPr>
              <w:t xml:space="preserve">/connexion · /inscription · /onboarding/contexte · /onboarding/patient · /onboarding/professionnel · /onboarding/etablissement</w:t>
            </w:r>
          </w:p>
        </w:tc>
        <w:tc>
          <w:tcPr>
            <w:tcW w:type="dxa" w:w="2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8"/>
                <w:szCs w:val="18"/>
              </w:rPr>
              <w:t xml:space="preserve">noindex</w:t>
            </w:r>
          </w:p>
        </w:tc>
      </w:tr>
      <w:tr>
        <w:trPr>
          <w:cantSplit/>
        </w:trPr>
        <w:tc>
          <w:tcPr>
            <w:tcW w:type="dxa" w:w="19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8"/>
                <w:szCs w:val="18"/>
              </w:rPr>
              <w:t xml:space="preserve">Privée</w:t>
            </w:r>
          </w:p>
        </w:tc>
        <w:tc>
          <w:tcPr>
            <w:tcW w:type="dxa" w:w="5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/patient/* · /professionnel/* · /etablissement/*</w:t>
            </w:r>
          </w:p>
        </w:tc>
        <w:tc>
          <w:tcPr>
            <w:tcW w:type="dxa" w:w="2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8"/>
                <w:szCs w:val="18"/>
              </w:rPr>
              <w:t xml:space="preserve">noindex, session requise</w:t>
            </w:r>
          </w:p>
        </w:tc>
      </w:tr>
    </w:tbl>
    <w:p>
      <w:pPr>
        <w:spacing w:after="120"/>
      </w:pPr>
    </w:p>
    <w:p>
      <w:pPr>
        <w:pStyle w:val="Heading2"/>
      </w:pPr>
      <w:r>
        <w:t xml:space="preserve">21.4 SEO et GEO des pages publiques</w:t>
      </w:r>
    </w:p>
    <w:p>
      <w:pPr>
        <w:spacing w:after="120" w:line="276"/>
      </w:pPr>
      <w:r>
        <w:t xml:space="preserve">Seules les pages publiques sont indexables. Elles fournissent dans le HTML initial : titre, description, H1, maillage interne, balises Open Graph et Twitter, données structurées Organization, WebSite et FAQPage lorsque la FAQ existe réellement, plan du site, robots.txt et, en option, un fichier llms.txt. Les pages piliers et la FAQ commencent par une réponse directe, suivie de sources et d'une date de mise à jour. L'URL canonique n'est publiée que lorsque l'origine publique est configurée. Aucun contenu privé ou médical n'est injecté dans le HTML public ; les URLs d'AccessGrant et les espaces authentifiés portent noindex.</w:t>
      </w:r>
    </w:p>
    <w:p>
      <w:pPr>
        <w:pStyle w:val="Heading1"/>
      </w:pPr>
      <w:bookmarkStart w:name="sec22" w:id="1"/>
      <w:r>
        <w:t xml:space="preserve">22. Protection des données et conformité</w:t>
      </w:r>
      <w:bookmarkEnd w:id="1"/>
    </w:p>
    <w:p>
      <w:pPr>
        <w:spacing w:after="120" w:line="276"/>
      </w:pPr>
      <w:r>
        <w:t xml:space="preserve">Le produit traite des données de santé. La conformité ne se déduit pas de la stack, et le développement ne vaut ni audit juridique ni audit de sécurité. Avant tout traitement de données réelles (point de contrôle G3, section 14.7), les points suivants doivent être traités avec un juriste compétent en protection des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1500"/>
        <w:gridCol w:w="2538"/>
      </w:tblGrid>
      <w:tr>
        <w:trPr>
          <w:cantSplit/>
          <w:tblHeader/>
        </w:trPr>
        <w:tc>
          <w:tcPr>
            <w:tcW w:type="dxa" w:w="56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Point</w:t>
            </w:r>
          </w:p>
        </w:tc>
        <w:tc>
          <w:tcPr>
            <w:tcW w:type="dxa" w:w="15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Statut</w:t>
            </w:r>
          </w:p>
        </w:tc>
        <w:tc>
          <w:tcPr>
            <w:tcW w:type="dxa" w:w="25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Responsable</w:t>
            </w:r>
          </w:p>
        </w:tc>
      </w:tr>
      <w:tr>
        <w:trPr>
          <w:cantSplit/>
        </w:trPr>
        <w:tc>
          <w:tcPr>
            <w:tcW w:type="dxa" w:w="5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Responsabilités de traitement et entité juridique porteuse du service</w:t>
            </w:r>
          </w:p>
        </w:tc>
        <w:tc>
          <w:tcPr>
            <w:tcW w:type="dxa" w:w="15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À valider</w:t>
            </w:r>
          </w:p>
        </w:tc>
        <w:tc>
          <w:tcPr>
            <w:tcW w:type="dxa" w:w="2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 juriste</w:t>
            </w:r>
          </w:p>
        </w:tc>
      </w:tr>
      <w:tr>
        <w:trPr>
          <w:cantSplit/>
        </w:trPr>
        <w:tc>
          <w:tcPr>
            <w:tcW w:type="dxa" w:w="5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Documentation des flux de données, y compris le passage UE vers hébergement ivoirien</w:t>
            </w:r>
          </w:p>
        </w:tc>
        <w:tc>
          <w:tcPr>
            <w:tcW w:type="dxa" w:w="15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À valider</w:t>
            </w:r>
          </w:p>
        </w:tc>
        <w:tc>
          <w:tcPr>
            <w:tcW w:type="dxa" w:w="2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Développeur, juriste</w:t>
            </w:r>
          </w:p>
        </w:tc>
      </w:tr>
      <w:tr>
        <w:trPr>
          <w:cantSplit/>
        </w:trPr>
        <w:tc>
          <w:tcPr>
            <w:tcW w:type="dxa" w:w="5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Notices d'information et consentements</w:t>
            </w:r>
          </w:p>
        </w:tc>
        <w:tc>
          <w:tcPr>
            <w:tcW w:type="dxa" w:w="15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À valider</w:t>
            </w:r>
          </w:p>
        </w:tc>
        <w:tc>
          <w:tcPr>
            <w:tcW w:type="dxa" w:w="2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Juriste, médecin référent</w:t>
            </w:r>
          </w:p>
        </w:tc>
      </w:tr>
      <w:tr>
        <w:trPr>
          <w:cantSplit/>
        </w:trPr>
        <w:tc>
          <w:tcPr>
            <w:tcW w:type="dxa" w:w="5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Règles locales applicables en Côte d'Ivoire (loi relative à la protection des données personnelles et formalités auprès de l'autorité de protection, à confirmer par le juriste)</w:t>
            </w:r>
          </w:p>
        </w:tc>
        <w:tc>
          <w:tcPr>
            <w:tcW w:type="dxa" w:w="15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À valider</w:t>
            </w:r>
          </w:p>
        </w:tc>
        <w:tc>
          <w:tcPr>
            <w:tcW w:type="dxa" w:w="2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Juriste</w:t>
            </w:r>
          </w:p>
        </w:tc>
      </w:tr>
      <w:tr>
        <w:trPr>
          <w:cantSplit/>
        </w:trPr>
        <w:tc>
          <w:tcPr>
            <w:tcW w:type="dxa" w:w="5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Conservation, correction, export et suppression</w:t>
            </w:r>
          </w:p>
        </w:tc>
        <w:tc>
          <w:tcPr>
            <w:tcW w:type="dxa" w:w="15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À valider</w:t>
            </w:r>
          </w:p>
        </w:tc>
        <w:tc>
          <w:tcPr>
            <w:tcW w:type="dxa" w:w="2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 juriste</w:t>
            </w:r>
          </w:p>
        </w:tc>
      </w:tr>
      <w:tr>
        <w:trPr>
          <w:cantSplit/>
        </w:trPr>
        <w:tc>
          <w:tcPr>
            <w:tcW w:type="dxa" w:w="5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Procédure d'incident et de notification</w:t>
            </w:r>
          </w:p>
        </w:tc>
        <w:tc>
          <w:tcPr>
            <w:tcW w:type="dxa" w:w="15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À valider</w:t>
            </w:r>
          </w:p>
        </w:tc>
        <w:tc>
          <w:tcPr>
            <w:tcW w:type="dxa" w:w="2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 développeur</w:t>
            </w:r>
          </w:p>
        </w:tc>
      </w:tr>
      <w:tr>
        <w:trPr>
          <w:cantSplit/>
        </w:trPr>
        <w:tc>
          <w:tcPr>
            <w:tcW w:type="dxa" w:w="5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Contrats avec les établissements et les sous-traitants</w:t>
            </w:r>
          </w:p>
        </w:tc>
        <w:tc>
          <w:tcPr>
            <w:tcW w:type="dxa" w:w="15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À valider</w:t>
            </w:r>
          </w:p>
        </w:tc>
        <w:tc>
          <w:tcPr>
            <w:tcW w:type="dxa" w:w="2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 juriste</w:t>
            </w:r>
          </w:p>
        </w:tc>
      </w:tr>
      <w:tr>
        <w:trPr>
          <w:cantSplit/>
        </w:trPr>
        <w:tc>
          <w:tcPr>
            <w:tcW w:type="dxa" w:w="56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Validation du périmètre médical par un professionnel compétent</w:t>
            </w:r>
          </w:p>
        </w:tc>
        <w:tc>
          <w:tcPr>
            <w:tcW w:type="dxa" w:w="15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À valider</w:t>
            </w:r>
          </w:p>
        </w:tc>
        <w:tc>
          <w:tcPr>
            <w:tcW w:type="dxa" w:w="2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Médecin référent</w:t>
            </w:r>
          </w:p>
        </w:tc>
      </w:tr>
    </w:tbl>
    <w:p>
      <w:pPr>
        <w:spacing w:after="120"/>
      </w:pPr>
    </w:p>
    <w:p>
      <w:pPr>
        <w:spacing w:after="120" w:line="276"/>
      </w:pPr>
      <w:r>
        <w:t xml:space="preserve">Les points « règles juridiques locales », « conservation et suppression » et « procédure d'incident » correspondent aux points A14, A15 et A16 de l'annexe A.</w:t>
      </w:r>
    </w:p>
    <w:p>
      <w:pPr>
        <w:pStyle w:val="Heading1"/>
      </w:pPr>
      <w:bookmarkStart w:name="sec23" w:id="1"/>
      <w:r>
        <w:t xml:space="preserve">23. Tests et recette</w:t>
      </w:r>
      <w:bookmarkEnd w:id="1"/>
    </w:p>
    <w:p>
      <w:pPr>
        <w:pStyle w:val="Heading2"/>
      </w:pPr>
      <w:r>
        <w:t xml:space="preserve">23.1 Tests fonctionnels</w:t>
      </w:r>
    </w:p>
    <w:p>
      <w:pPr>
        <w:spacing w:after="120" w:line="276"/>
      </w:pPr>
      <w:r>
        <w:t xml:space="preserve">Création patient ; création et validation d'établissement ; création professionnel et activation MFA ; rattachement ; établissement actif ; pré-consultation et clôture ; demande d'accès ; consentement ; expiration ; prolongation ; révocation ; consultation ; signature ; historique.</w:t>
      </w:r>
    </w:p>
    <w:p>
      <w:pPr>
        <w:pStyle w:val="Heading2"/>
      </w:pPr>
      <w:r>
        <w:t xml:space="preserve">23.2 Tests de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Famille</w:t>
            </w:r>
          </w:p>
        </w:tc>
        <w:tc>
          <w:tcPr>
            <w:tcW w:type="dxa" w:w="74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Cas à couvrir</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AccessGrant</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Accès sans AccessGrant ; AccessGrant expiré ; révoqué ; mauvais scope.</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Isolation</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Mauvais établissement ; mauvais patient ; changement d'URL ou d'identifiant ; accès croisé A / B ; fuite par l'API.</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QR et codes</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QR expiré ; réutilisation d'un QR ; force brute sur le code établissement ; limitation des tentatives.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Authentification</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Compte professionnel sans MFA bloqué ; MFA retiré ; session révoquée ; vol de cookie ; CSRF ; cookies entre domaines.</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Privilèges</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Élévation de privilèges ; Root sans périmètre clinique ; existence d'un endpoint ou d'un rôle infirmier (doit échouer).</w:t>
            </w:r>
          </w:p>
        </w:tc>
      </w:tr>
      <w:tr>
        <w:trPr>
          <w:cantSplit/>
        </w:trPr>
        <w:tc>
          <w:tcPr>
            <w:tcW w:type="dxa" w:w="22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Fichiers</w:t>
            </w:r>
          </w:p>
        </w:tc>
        <w:tc>
          <w:tcPr>
            <w:tcW w:type="dxa" w:w="74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Type interdit ; taille excessive ; fichier malveillant ; URL signée expirée ou réutilisée.</w:t>
            </w:r>
          </w:p>
        </w:tc>
      </w:tr>
    </w:tbl>
    <w:p>
      <w:pPr>
        <w:spacing w:after="120"/>
      </w:pPr>
    </w:p>
    <w:p>
      <w:pPr>
        <w:pStyle w:val="Heading2"/>
      </w:pPr>
      <w:r>
        <w:t xml:space="preserve">23.3 Tests de continuité</w:t>
      </w:r>
    </w:p>
    <w:p>
      <w:pPr>
        <w:spacing w:after="120" w:line="276"/>
      </w:pPr>
      <w:r>
        <w:t xml:space="preserve">Sauvegarde ; </w:t>
      </w:r>
      <w:r>
        <w:rPr>
          <w:b/>
          <w:bCs/>
        </w:rPr>
        <w:t xml:space="preserve">restauration réelle</w:t>
      </w:r>
      <w:r>
        <w:t xml:space="preserve"> ; réseau lent et coupure réseau ; session expirée ; rafraîchissement de page ; plusieurs appareils ; clôture de pré-consultation envoyée deux fois.</w:t>
      </w:r>
    </w:p>
    <w:p>
      <w:pPr>
        <w:pStyle w:val="Heading1"/>
      </w:pPr>
      <w:bookmarkStart w:name="sec24" w:id="1"/>
      <w:r>
        <w:t xml:space="preserve">24. Roadmap de livraison</w:t>
      </w:r>
      <w:bookmarkEnd w:id="1"/>
    </w:p>
    <w:p>
      <w:pPr>
        <w:pStyle w:val="Heading2"/>
      </w:pPr>
      <w:r>
        <w:t xml:space="preserve">24.1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038"/>
      </w:tblGrid>
      <w:tr>
        <w:trPr>
          <w:cantSplit/>
          <w:tblHeader/>
        </w:trPr>
        <w:tc>
          <w:tcPr>
            <w:tcW w:type="dxa" w:w="34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Phase</w:t>
            </w:r>
          </w:p>
        </w:tc>
        <w:tc>
          <w:tcPr>
            <w:tcW w:type="dxa" w:w="2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Durée indicative</w:t>
            </w:r>
          </w:p>
        </w:tc>
        <w:tc>
          <w:tcPr>
            <w:tcW w:type="dxa" w:w="40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Sortie</w:t>
            </w:r>
          </w:p>
        </w:tc>
      </w:tr>
      <w:tr>
        <w:trPr>
          <w:cantSplit/>
        </w:trPr>
        <w:tc>
          <w:tcPr>
            <w:tcW w:type="dxa" w:w="3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Cadrage final</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3 à 5 jours</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Règles V1 verrouillées, points ouverts traités (annexe A)</w:t>
            </w:r>
          </w:p>
        </w:tc>
      </w:tr>
      <w:tr>
        <w:trPr>
          <w:cantSplit/>
        </w:trPr>
        <w:tc>
          <w:tcPr>
            <w:tcW w:type="dxa" w:w="3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UX / flows</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1 à 2 semaines</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Parcours et wireframes</w:t>
            </w:r>
          </w:p>
        </w:tc>
      </w:tr>
      <w:tr>
        <w:trPr>
          <w:cantSplit/>
        </w:trPr>
        <w:tc>
          <w:tcPr>
            <w:tcW w:type="dxa" w:w="3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UI / branding</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1 à 2 semaines</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Maquettes et design system</w:t>
            </w:r>
          </w:p>
        </w:tc>
      </w:tr>
      <w:tr>
        <w:trPr>
          <w:cantSplit/>
        </w:trPr>
        <w:tc>
          <w:tcPr>
            <w:tcW w:type="dxa" w:w="3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Architecture</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environ 1 semaine</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Modèle, contrat API, sécurité, choix de la base (14.6)</w:t>
            </w:r>
          </w:p>
        </w:tc>
      </w:tr>
      <w:tr>
        <w:trPr>
          <w:cantSplit/>
        </w:trPr>
        <w:tc>
          <w:tcPr>
            <w:tcW w:type="dxa" w:w="3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Développement V1</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4 à 8 semaines</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Produit testable sur staging</w:t>
            </w:r>
          </w:p>
        </w:tc>
      </w:tr>
      <w:tr>
        <w:trPr>
          <w:cantSplit/>
        </w:trPr>
        <w:tc>
          <w:tcPr>
            <w:tcW w:type="dxa" w:w="3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Recette</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1 à 2 semaines</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Corrections et rapport</w:t>
            </w:r>
          </w:p>
        </w:tc>
      </w:tr>
      <w:tr>
        <w:trPr>
          <w:cantSplit/>
        </w:trPr>
        <w:tc>
          <w:tcPr>
            <w:tcW w:type="dxa" w:w="3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Pilote sur données fictives (UE)</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4 à 8 semaines</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Usage contrôlé par les établissements pilotes, sans donnée réelle</w:t>
            </w:r>
          </w:p>
        </w:tc>
      </w:tr>
      <w:tr>
        <w:trPr>
          <w:cantSplit/>
        </w:trPr>
        <w:tc>
          <w:tcPr>
            <w:tcW w:type="dxa" w:w="3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Go / No-Go</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Point de contrôle</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Conditions G1 à G7 (section 14.7)</w:t>
            </w:r>
          </w:p>
        </w:tc>
      </w:tr>
      <w:tr>
        <w:trPr>
          <w:cantSplit/>
        </w:trPr>
        <w:tc>
          <w:tcPr>
            <w:tcW w:type="dxa" w:w="3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Bascule ivoirienne et données réelles</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À planifier</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Production en Côte d'Ivoire</w:t>
            </w:r>
          </w:p>
        </w:tc>
      </w:tr>
      <w:tr>
        <w:trPr>
          <w:cantSplit/>
        </w:trPr>
        <w:tc>
          <w:tcPr>
            <w:tcW w:type="dxa" w:w="34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Stabilisation</w:t>
            </w:r>
          </w:p>
        </w:tc>
        <w:tc>
          <w:tcPr>
            <w:tcW w:type="dxa" w:w="2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Variable</w:t>
            </w:r>
          </w:p>
        </w:tc>
        <w:tc>
          <w:tcPr>
            <w:tcW w:type="dxa" w:w="4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Décision V2</w:t>
            </w:r>
          </w:p>
        </w:tc>
      </w:tr>
    </w:tbl>
    <w:p>
      <w:pPr>
        <w:spacing w:after="120"/>
      </w:pPr>
    </w:p>
    <w:p>
      <w:pPr>
        <w:keepNext/>
        <w:pBdr>
          <w:left w:val="single" w:color="3B6EA5" w:sz="24" w:space="8"/>
        </w:pBdr>
        <w:shd w:fill="E8F0F8" w:color="auto" w:val="clear"/>
        <w:spacing w:after="0" w:before="140"/>
        <w:ind w:left="200" w:right="100"/>
      </w:pPr>
      <w:r>
        <w:rPr>
          <w:b/>
          <w:bCs/>
          <w:color w:val="3B6EA5"/>
          <w:sz w:val="17"/>
          <w:szCs w:val="17"/>
        </w:rPr>
        <w:t xml:space="preserve">PROPOSITION DE TRAVAIL</w:t>
      </w:r>
    </w:p>
    <w:p>
      <w:pPr>
        <w:keepNext w:val="false"/>
        <w:pBdr>
          <w:left w:val="single" w:color="3B6EA5" w:sz="24" w:space="8"/>
        </w:pBdr>
        <w:shd w:fill="E8F0F8" w:color="auto" w:val="clear"/>
        <w:spacing w:after="180" w:before="40" w:line="264"/>
        <w:ind w:left="200" w:right="100"/>
      </w:pPr>
      <w:r>
        <w:rPr>
          <w:sz w:val="20"/>
          <w:szCs w:val="20"/>
        </w:rPr>
        <w:t xml:space="preserve">En V7, le pilote est décrit comme « usage réel contrôlé ». Avec la règle « aucune donnée réelle avant la bascule ivoirienne », le pilote tourne d'abord sur données fictives ; l'usage réel commence après le Go / No-Go.</w:t>
      </w:r>
    </w:p>
    <w:p>
      <w:pPr>
        <w:pStyle w:val="Heading2"/>
      </w:pPr>
      <w:r>
        <w:t xml:space="preserve">24.2 Jalons de développement de la V1</w:t>
      </w:r>
    </w:p>
    <w:p>
      <w:pPr>
        <w:spacing w:after="120" w:line="276"/>
      </w:pPr>
      <w:r>
        <w:t xml:space="preserve">Méthode : une fonction verticale à la fois — modèle, migration, service, validation, endpoint, permission, test, intégration de l'écran.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Jalon</w:t>
            </w:r>
          </w:p>
        </w:tc>
        <w:tc>
          <w:tcPr>
            <w:tcW w:type="dxa" w:w="66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Contenu</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1. Fondation</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Monorepo, CI, configuration, health check, structure de l'interface, authentification simulée, migrations.</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2. Identité et onboarding</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Fournisseurs de connexion, compte unique, contextes, profils, MFA TOTP.</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3. Patient</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Couverture, déclarations, pré-consultation, historique.</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4. Établissement et professionnel</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Activation Root, rattachement, établissement actif.</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5. AccessGrant</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Demande, consentement, QR, expiration, prolongation, révocation, audit.</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6. Consultation</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Reprise de la pré-consultation, validation, signature, provenance.</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7. Public et PWA</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Pages publiques, manifest, service worker contrôlé, plan du site, robots.txt.</w:t>
            </w:r>
          </w:p>
        </w:tc>
      </w:tr>
      <w:tr>
        <w:trPr>
          <w:cantSplit/>
        </w:trPr>
        <w:tc>
          <w:tcPr>
            <w:tcW w:type="dxa" w:w="30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8. Qualité et pilote</w:t>
            </w:r>
          </w:p>
        </w:tc>
        <w:tc>
          <w:tcPr>
            <w:tcW w:type="dxa" w:w="66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Tests de sécurité inter-établissements, mobile 4G, restauration, recette.</w:t>
            </w:r>
          </w:p>
        </w:tc>
      </w:tr>
    </w:tbl>
    <w:p>
      <w:pPr>
        <w:spacing w:after="120"/>
      </w:pPr>
    </w:p>
    <w:p>
      <w:pPr>
        <w:pStyle w:val="Heading2"/>
      </w:pPr>
      <w:r>
        <w:t xml:space="preserve">24.3 Risques principaux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738"/>
      </w:tblGrid>
      <w:tr>
        <w:trPr>
          <w:cantSplit/>
          <w:tblHeader/>
        </w:trPr>
        <w:tc>
          <w:tcPr>
            <w:tcW w:type="dxa" w:w="30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Risque</w:t>
            </w:r>
          </w:p>
        </w:tc>
        <w:tc>
          <w:tcPr>
            <w:tcW w:type="dxa" w:w="29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Effet</w:t>
            </w:r>
          </w:p>
        </w:tc>
        <w:tc>
          <w:tcPr>
            <w:tcW w:type="dxa" w:w="37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Réponse</w:t>
            </w:r>
          </w:p>
        </w:tc>
      </w:tr>
      <w:tr>
        <w:trPr>
          <w:cantSplit/>
        </w:trPr>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Hébergement ivoirien non identifié à temps</w:t>
            </w:r>
          </w:p>
        </w:tc>
        <w:tc>
          <w:tcPr>
            <w:tcW w:type="dxa" w:w="2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Pilote bloqué avant les données réelles</w:t>
            </w:r>
          </w:p>
        </w:tc>
        <w:tc>
          <w:tcPr>
            <w:tcW w:type="dxa" w:w="3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Lancer la recherche dès le cadrage ; point A13 de l'annexe A.</w:t>
            </w:r>
          </w:p>
        </w:tc>
      </w:tr>
      <w:tr>
        <w:trPr>
          <w:cantSplit/>
        </w:trPr>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Pré-consultation sans identité infirmière vérifiable</w:t>
            </w:r>
          </w:p>
        </w:tc>
        <w:tc>
          <w:tcPr>
            <w:tcW w:type="dxa" w:w="2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Contestation de l'origine des constantes</w:t>
            </w:r>
          </w:p>
        </w:tc>
        <w:tc>
          <w:tcPr>
            <w:tcW w:type="dxa" w:w="3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Provenance explicite « non authentifié », confirmation par le médecin (8.3).</w:t>
            </w:r>
          </w:p>
        </w:tc>
      </w:tr>
      <w:tr>
        <w:trPr>
          <w:cantSplit/>
        </w:trPr>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Cookies entre domaines Vercel et Render</w:t>
            </w:r>
          </w:p>
        </w:tc>
        <w:tc>
          <w:tcPr>
            <w:tcW w:type="dxa" w:w="2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Sessions perdues, surtout sur Safari</w:t>
            </w:r>
          </w:p>
        </w:tc>
        <w:tc>
          <w:tcPr>
            <w:tcW w:type="dxa" w:w="3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Domaine parent commun en production (14.5).</w:t>
            </w:r>
          </w:p>
        </w:tc>
      </w:tr>
      <w:tr>
        <w:trPr>
          <w:cantSplit/>
        </w:trPr>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Verrouillage du MFA</w:t>
            </w:r>
          </w:p>
        </w:tc>
        <w:tc>
          <w:tcPr>
            <w:tcW w:type="dxa" w:w="2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Médecin ou Root sans accès</w:t>
            </w:r>
          </w:p>
        </w:tc>
        <w:tc>
          <w:tcPr>
            <w:tcW w:type="dxa" w:w="3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Codes de secours et réinitialisation encadrée (4.3).</w:t>
            </w:r>
          </w:p>
        </w:tc>
      </w:tr>
      <w:tr>
        <w:trPr>
          <w:cantSplit/>
        </w:trPr>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Fournisseur OTP WhatsApp coûteux ou instable</w:t>
            </w:r>
          </w:p>
        </w:tc>
        <w:tc>
          <w:tcPr>
            <w:tcW w:type="dxa" w:w="2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Connexion difficile, coûts imprévus</w:t>
            </w:r>
          </w:p>
        </w:tc>
        <w:tc>
          <w:tcPr>
            <w:tcW w:type="dxa" w:w="3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Provision budgétaire, repli par un autre mode de connexion, point A1.</w:t>
            </w:r>
          </w:p>
        </w:tc>
      </w:tr>
      <w:tr>
        <w:trPr>
          <w:cantSplit/>
        </w:trPr>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Coûts en USD et change</w:t>
            </w:r>
          </w:p>
        </w:tc>
        <w:tc>
          <w:tcPr>
            <w:tcW w:type="dxa" w:w="2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Dépassement du budget en FCFA</w:t>
            </w:r>
          </w:p>
        </w:tc>
        <w:tc>
          <w:tcPr>
            <w:tcW w:type="dxa" w:w="3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Réserve de 20 à 30 %, plafonds fournisseurs (20.6).</w:t>
            </w:r>
          </w:p>
        </w:tc>
      </w:tr>
      <w:tr>
        <w:trPr>
          <w:cantSplit/>
        </w:trPr>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Périmètre médical mal défini</w:t>
            </w:r>
          </w:p>
        </w:tc>
        <w:tc>
          <w:tcPr>
            <w:tcW w:type="dxa" w:w="2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Refonte des formulaires</w:t>
            </w:r>
          </w:p>
        </w:tc>
        <w:tc>
          <w:tcPr>
            <w:tcW w:type="dxa" w:w="3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Médecin référent impliqué avant l'UI (points A8, A10).</w:t>
            </w:r>
          </w:p>
        </w:tc>
      </w:tr>
      <w:tr>
        <w:trPr>
          <w:cantSplit/>
        </w:trPr>
        <w:tc>
          <w:tcPr>
            <w:tcW w:type="dxa" w:w="30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Données réelles dans les environnements de test</w:t>
            </w:r>
          </w:p>
        </w:tc>
        <w:tc>
          <w:tcPr>
            <w:tcW w:type="dxa" w:w="2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Fuite et non-conformité</w:t>
            </w:r>
          </w:p>
        </w:tc>
        <w:tc>
          <w:tcPr>
            <w:tcW w:type="dxa" w:w="37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INV-10 ; jeux de données fictifs uniquement.</w:t>
            </w:r>
          </w:p>
        </w:tc>
      </w:tr>
    </w:tbl>
    <w:p>
      <w:pPr>
        <w:spacing w:after="120"/>
      </w:pPr>
    </w:p>
    <w:p>
      <w:pPr>
        <w:pStyle w:val="Heading1"/>
      </w:pPr>
      <w:bookmarkStart w:name="sec25" w:id="1"/>
      <w:r>
        <w:t xml:space="preserve">25. Livrables par rôle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Rôle</w:t>
            </w:r>
          </w:p>
        </w:tc>
        <w:tc>
          <w:tcPr>
            <w:tcW w:type="dxa" w:w="70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spacing w:after="30" w:line="252"/>
              <w:jc w:val="left"/>
            </w:pPr>
            <w:r>
              <w:rPr>
                <w:b/>
                <w:bCs/>
                <w:color w:val="FFFFFF"/>
                <w:sz w:val="19"/>
                <w:szCs w:val="19"/>
              </w:rPr>
              <w:t xml:space="preserve">Livrables</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Fondateur</w:t>
            </w:r>
          </w:p>
        </w:tc>
        <w:tc>
          <w:tcPr>
            <w:tcW w:type="dxa" w:w="7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Vision, décisions métier, partenaires, budget, critères d'acceptation, gouvernance, traitement des points ouverts.</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UI / UX</w:t>
            </w:r>
          </w:p>
        </w:tc>
        <w:tc>
          <w:tcPr>
            <w:tcW w:type="dxa" w:w="7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Personas, parcours, wireframes, maquettes, prototype, design system, états d'erreur.</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Développeur</w:t>
            </w:r>
          </w:p>
        </w:tc>
        <w:tc>
          <w:tcPr>
            <w:tcW w:type="dxa" w:w="7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Dépôt, architecture, API et contrat OpenAPI, migrations, PWA, tests, déploiement, documentation, sauvegarde et restauration.</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Infographe</w:t>
            </w:r>
          </w:p>
        </w:tc>
        <w:tc>
          <w:tcPr>
            <w:tcW w:type="dxa" w:w="7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Logo, palette, typographies, mini-charte, supports établissement, visuels.</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spacing w:after="30" w:line="252"/>
              <w:jc w:val="left"/>
            </w:pPr>
            <w:r>
              <w:rPr>
                <w:b/>
                <w:bCs/>
                <w:sz w:val="19"/>
                <w:szCs w:val="19"/>
              </w:rPr>
              <w:t xml:space="preserve">Médecin référent</w:t>
            </w:r>
          </w:p>
        </w:tc>
        <w:tc>
          <w:tcPr>
            <w:tcW w:type="dxa" w:w="7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spacing w:after="30" w:line="252"/>
              <w:jc w:val="left"/>
            </w:pPr>
            <w:r>
              <w:rPr>
                <w:b w:val="false"/>
                <w:bCs w:val="false"/>
                <w:sz w:val="19"/>
                <w:szCs w:val="19"/>
              </w:rPr>
              <w:t xml:space="preserve">Champs, vocabulaire, règles de consultation, validation clinique.</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Juriste / protection des données</w:t>
            </w:r>
          </w:p>
        </w:tc>
        <w:tc>
          <w:tcPr>
            <w:tcW w:type="dxa" w:w="7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Gouvernance, consentements, contrats, conservation, transferts, incidents, conformité applicable.</w:t>
            </w:r>
          </w:p>
        </w:tc>
      </w:tr>
    </w:tbl>
    <w:p>
      <w:pPr>
        <w:spacing w:after="120"/>
      </w:pPr>
    </w:p>
    <w:p>
      <w:pPr>
        <w:pStyle w:val="Heading1"/>
      </w:pPr>
      <w:bookmarkStart w:name="sec26" w:id="1"/>
      <w:r>
        <w:t xml:space="preserve">26. Critères d'acceptation V1</w:t>
      </w:r>
      <w:bookmarkEnd w:id="1"/>
    </w:p>
    <w:p>
      <w:pPr>
        <w:keepNext/>
        <w:spacing w:after="120" w:line="276"/>
      </w:pPr>
      <w:r>
        <w:t xml:space="preserve">La V1 est considérée fonctionnelle lorsque les vingt-quatre critères suivants sont vérifiés sur staging, sur mobile et sur ordinateur.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200"/>
        <w:gridCol w:w="1538"/>
      </w:tblGrid>
      <w:tr>
        <w:trPr>
          <w:cantSplit/>
          <w:tblHeader/>
        </w:trPr>
        <w:tc>
          <w:tcPr>
            <w:tcW w:type="dxa" w:w="9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Id</w:t>
            </w:r>
          </w:p>
        </w:tc>
        <w:tc>
          <w:tcPr>
            <w:tcW w:type="dxa" w:w="7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Critère</w:t>
            </w:r>
          </w:p>
        </w:tc>
        <w:tc>
          <w:tcPr>
            <w:tcW w:type="dxa" w:w="15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Invariant</w:t>
            </w:r>
          </w:p>
        </w:tc>
      </w:tr>
      <w:tr>
        <w:trPr>
          <w:cantSplit/>
        </w:trPr>
        <w:tc>
          <w:tcPr>
            <w:tcW w:type="dxa" w:w="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CA-01</w:t>
            </w:r>
          </w:p>
        </w:tc>
        <w:tc>
          <w:tcPr>
            <w:tcW w:type="dxa" w:w="7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Un utilisateur crée un compte unique et relie plusieurs méthodes de connexion sans doublon.</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INV-01</w:t>
            </w:r>
          </w:p>
        </w:tc>
      </w:tr>
      <w:tr>
        <w:trPr>
          <w:cantSplit/>
        </w:trPr>
        <w:tc>
          <w:tcPr>
            <w:tcW w:type="dxa" w:w="9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CA-02</w:t>
            </w:r>
          </w:p>
        </w:tc>
        <w:tc>
          <w:tcPr>
            <w:tcW w:type="dxa" w:w="7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Un responsable crée un établissement, en attente de validation.</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p>
        </w:tc>
      </w:tr>
      <w:tr>
        <w:trPr>
          <w:cantSplit/>
        </w:trPr>
        <w:tc>
          <w:tcPr>
            <w:tcW w:type="dxa" w:w="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CA-03</w:t>
            </w:r>
          </w:p>
        </w:tc>
        <w:tc>
          <w:tcPr>
            <w:tcW w:type="dxa" w:w="7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La startup valide l'établissement ; le créateur devient Root ; un code interne est généré.</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p>
        </w:tc>
      </w:tr>
      <w:tr>
        <w:trPr>
          <w:cantSplit/>
        </w:trPr>
        <w:tc>
          <w:tcPr>
            <w:tcW w:type="dxa" w:w="9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CA-04</w:t>
            </w:r>
          </w:p>
        </w:tc>
        <w:tc>
          <w:tcPr>
            <w:tcW w:type="dxa" w:w="7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Un médecin crée son compte professionnel, active le MFA TOTP et demande son rattachement par code.</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INV-11</w:t>
            </w:r>
          </w:p>
        </w:tc>
      </w:tr>
      <w:tr>
        <w:trPr>
          <w:cantSplit/>
        </w:trPr>
        <w:tc>
          <w:tcPr>
            <w:tcW w:type="dxa" w:w="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CA-05</w:t>
            </w:r>
          </w:p>
        </w:tc>
        <w:tc>
          <w:tcPr>
            <w:tcW w:type="dxa" w:w="7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Le Root confirme ou refuse ; le rattachement n'est actif qu'après la vérification professionnelle retenue.</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p>
        </w:tc>
      </w:tr>
      <w:tr>
        <w:trPr>
          <w:cantSplit/>
        </w:trPr>
        <w:tc>
          <w:tcPr>
            <w:tcW w:type="dxa" w:w="9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CA-06</w:t>
            </w:r>
          </w:p>
        </w:tc>
        <w:tc>
          <w:tcPr>
            <w:tcW w:type="dxa" w:w="7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Un professionnel multi-établissements choisit son établissement actif, figé sur la prise en charge.</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p>
        </w:tc>
      </w:tr>
      <w:tr>
        <w:trPr>
          <w:cantSplit/>
        </w:trPr>
        <w:tc>
          <w:tcPr>
            <w:tcW w:type="dxa" w:w="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CA-07</w:t>
            </w:r>
          </w:p>
        </w:tc>
        <w:tc>
          <w:tcPr>
            <w:tcW w:type="dxa" w:w="7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Une pré-consultation est saisie dans le compte patient, avec l'aide éventuelle d'un infirmier sans compte.</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INV-12</w:t>
            </w:r>
          </w:p>
        </w:tc>
      </w:tr>
      <w:tr>
        <w:trPr>
          <w:cantSplit/>
        </w:trPr>
        <w:tc>
          <w:tcPr>
            <w:tcW w:type="dxa" w:w="9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CA-08</w:t>
            </w:r>
          </w:p>
        </w:tc>
        <w:tc>
          <w:tcPr>
            <w:tcW w:type="dxa" w:w="7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La pré-consultation est clôturée et conservée ; une correction passe par un ajout traçable.</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INV-04</w:t>
            </w:r>
          </w:p>
        </w:tc>
      </w:tr>
      <w:tr>
        <w:trPr>
          <w:cantSplit/>
        </w:trPr>
        <w:tc>
          <w:tcPr>
            <w:tcW w:type="dxa" w:w="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CA-09</w:t>
            </w:r>
          </w:p>
        </w:tc>
        <w:tc>
          <w:tcPr>
            <w:tcW w:type="dxa" w:w="7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Un médecin demande l'accès (in-app ou QR) sans voir aucune donnée médicale avant l'autorisation.</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INV-05, INV-06</w:t>
            </w:r>
          </w:p>
        </w:tc>
      </w:tr>
      <w:tr>
        <w:trPr>
          <w:cantSplit/>
        </w:trPr>
        <w:tc>
          <w:tcPr>
            <w:tcW w:type="dxa" w:w="9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CA-10</w:t>
            </w:r>
          </w:p>
        </w:tc>
        <w:tc>
          <w:tcPr>
            <w:tcW w:type="dxa" w:w="7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Le patient accepte ou refuse en voyant médecin, établissement, périmètre et durée.</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INV-09</w:t>
            </w:r>
          </w:p>
        </w:tc>
      </w:tr>
      <w:tr>
        <w:trPr>
          <w:cantSplit/>
        </w:trPr>
        <w:tc>
          <w:tcPr>
            <w:tcW w:type="dxa" w:w="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CA-11</w:t>
            </w:r>
          </w:p>
        </w:tc>
        <w:tc>
          <w:tcPr>
            <w:tcW w:type="dxa" w:w="7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L'AccessGrant expire côté serveur après 2 h et toute requête ultérieure est refusée.</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p>
        </w:tc>
      </w:tr>
      <w:tr>
        <w:trPr>
          <w:cantSplit/>
        </w:trPr>
        <w:tc>
          <w:tcPr>
            <w:tcW w:type="dxa" w:w="9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CA-12</w:t>
            </w:r>
          </w:p>
        </w:tc>
        <w:tc>
          <w:tcPr>
            <w:tcW w:type="dxa" w:w="7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Le patient prolonge deux fois d'une heure ; une troisième prolongation est refusée (4 h maximum).</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p>
        </w:tc>
      </w:tr>
      <w:tr>
        <w:trPr>
          <w:cantSplit/>
        </w:trPr>
        <w:tc>
          <w:tcPr>
            <w:tcW w:type="dxa" w:w="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CA-13</w:t>
            </w:r>
          </w:p>
        </w:tc>
        <w:tc>
          <w:tcPr>
            <w:tcW w:type="dxa" w:w="7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Le patient révoque ; l'accès tombe immédiatement.</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p>
        </w:tc>
      </w:tr>
      <w:tr>
        <w:trPr>
          <w:cantSplit/>
        </w:trPr>
        <w:tc>
          <w:tcPr>
            <w:tcW w:type="dxa" w:w="9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CA-14</w:t>
            </w:r>
          </w:p>
        </w:tc>
        <w:tc>
          <w:tcPr>
            <w:tcW w:type="dxa" w:w="7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Le médecin retrouve la pré-consultation sans ressaisie.</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p>
        </w:tc>
      </w:tr>
      <w:tr>
        <w:trPr>
          <w:cantSplit/>
        </w:trPr>
        <w:tc>
          <w:tcPr>
            <w:tcW w:type="dxa" w:w="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CA-15</w:t>
            </w:r>
          </w:p>
        </w:tc>
        <w:tc>
          <w:tcPr>
            <w:tcW w:type="dxa" w:w="7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Le médecin crée et valide sa consultation ; auteur et établissement sont imposés côté serveur et non modifiables par le client.</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INV-03</w:t>
            </w:r>
          </w:p>
        </w:tc>
      </w:tr>
      <w:tr>
        <w:trPr>
          <w:cantSplit/>
        </w:trPr>
        <w:tc>
          <w:tcPr>
            <w:tcW w:type="dxa" w:w="9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CA-16</w:t>
            </w:r>
          </w:p>
        </w:tc>
        <w:tc>
          <w:tcPr>
            <w:tcW w:type="dxa" w:w="7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La consultation apparaît dans le carnet du patient avec sa provenance.</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p>
        </w:tc>
      </w:tr>
      <w:tr>
        <w:trPr>
          <w:cantSplit/>
        </w:trPr>
        <w:tc>
          <w:tcPr>
            <w:tcW w:type="dxa" w:w="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CA-17</w:t>
            </w:r>
          </w:p>
        </w:tc>
        <w:tc>
          <w:tcPr>
            <w:tcW w:type="dxa" w:w="7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Le médecin confirme un antécédent avec motif, attestation SVG, date, établissement actif et audit.</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p>
        </w:tc>
      </w:tr>
      <w:tr>
        <w:trPr>
          <w:cantSplit/>
        </w:trPr>
        <w:tc>
          <w:tcPr>
            <w:tcW w:type="dxa" w:w="9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CA-18</w:t>
            </w:r>
          </w:p>
        </w:tc>
        <w:tc>
          <w:tcPr>
            <w:tcW w:type="dxa" w:w="7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Tous les événements sensibles sont audités et ne peuvent pas être modifiés.</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INV-07, INV-09</w:t>
            </w:r>
          </w:p>
        </w:tc>
      </w:tr>
      <w:tr>
        <w:trPr>
          <w:cantSplit/>
        </w:trPr>
        <w:tc>
          <w:tcPr>
            <w:tcW w:type="dxa" w:w="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CA-19</w:t>
            </w:r>
          </w:p>
        </w:tc>
        <w:tc>
          <w:tcPr>
            <w:tcW w:type="dxa" w:w="7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Un établissement ne peut lire aucune donnée d'un autre établissement (tests d'accès croisé A / B).</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INV-02, INV-06</w:t>
            </w:r>
          </w:p>
        </w:tc>
      </w:tr>
      <w:tr>
        <w:trPr>
          <w:cantSplit/>
        </w:trPr>
        <w:tc>
          <w:tcPr>
            <w:tcW w:type="dxa" w:w="9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CA-20</w:t>
            </w:r>
          </w:p>
        </w:tc>
        <w:tc>
          <w:tcPr>
            <w:tcW w:type="dxa" w:w="7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Après le départ d'un professionnel, ses traces restent ; ses droits futurs sont bloqués.</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INV-08</w:t>
            </w:r>
          </w:p>
        </w:tc>
      </w:tr>
      <w:tr>
        <w:trPr>
          <w:cantSplit/>
        </w:trPr>
        <w:tc>
          <w:tcPr>
            <w:tcW w:type="dxa" w:w="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CA-21</w:t>
            </w:r>
          </w:p>
        </w:tc>
        <w:tc>
          <w:tcPr>
            <w:tcW w:type="dxa" w:w="7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Aucun accès clinique n'est possible pour un compte professionnel ou administrateur sans MFA TOTP actif.</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INV-11</w:t>
            </w:r>
          </w:p>
        </w:tc>
      </w:tr>
      <w:tr>
        <w:trPr>
          <w:cantSplit/>
        </w:trPr>
        <w:tc>
          <w:tcPr>
            <w:tcW w:type="dxa" w:w="9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CA-22</w:t>
            </w:r>
          </w:p>
        </w:tc>
        <w:tc>
          <w:tcPr>
            <w:tcW w:type="dxa" w:w="7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Une sauvegarde est restaurée avec succès lors d'un test réel, avec RPO et RTO mesurés.</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p>
        </w:tc>
      </w:tr>
      <w:tr>
        <w:trPr>
          <w:cantSplit/>
        </w:trPr>
        <w:tc>
          <w:tcPr>
            <w:tcW w:type="dxa" w:w="9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CA-23</w:t>
            </w:r>
          </w:p>
        </w:tc>
        <w:tc>
          <w:tcPr>
            <w:tcW w:type="dxa" w:w="7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Les parcours critiques passent sur mobile (Android courant, 4G) et sur ordinateur.</w:t>
            </w:r>
          </w:p>
        </w:tc>
        <w:tc>
          <w:tcPr>
            <w:tcW w:type="dxa" w:w="15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p>
        </w:tc>
      </w:tr>
      <w:tr>
        <w:trPr>
          <w:cantSplit/>
        </w:trPr>
        <w:tc>
          <w:tcPr>
            <w:tcW w:type="dxa" w:w="9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CA-24</w:t>
            </w:r>
          </w:p>
        </w:tc>
        <w:tc>
          <w:tcPr>
            <w:tcW w:type="dxa" w:w="7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Aucun compte, écran, endpoint ni rôle infirmier n'existe en V1.</w:t>
            </w:r>
          </w:p>
        </w:tc>
        <w:tc>
          <w:tcPr>
            <w:tcW w:type="dxa" w:w="15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INV-12</w:t>
            </w:r>
          </w:p>
        </w:tc>
      </w:tr>
    </w:tbl>
    <w:p>
      <w:pPr>
        <w:spacing w:after="120"/>
      </w:pPr>
    </w:p>
    <w:p>
      <w:pPr>
        <w:pStyle w:val="Heading1"/>
      </w:pPr>
      <w:bookmarkStart w:name="sec27" w:id="1"/>
      <w:r>
        <w:t xml:space="preserve">27. Principe final du produit</w:t>
      </w:r>
      <w:bookmarkEnd w:id="1"/>
    </w:p>
    <w:p>
      <w:pPr>
        <w:keepNext/>
        <w:keepLines/>
        <w:shd w:fill="F3F6F4" w:color="auto" w:val="clear"/>
        <w:spacing w:after="0" w:before="80" w:line="240"/>
        <w:ind w:left="120"/>
      </w:pPr>
      <w:r>
        <w:rPr>
          <w:rFonts w:ascii="Courier New" w:cs="Courier New" w:eastAsia="Courier New" w:hAnsi="Courier New"/>
          <w:sz w:val="17"/>
          <w:szCs w:val="17"/>
        </w:rPr>
        <w:t xml:space="preserve">                     MON CARNET NUMÉRIQUE</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keepLines/>
        <w:shd w:fill="F3F6F4" w:color="auto" w:val="clear"/>
        <w:spacing w:after="0" w:before="0" w:line="240"/>
        <w:ind w:left="120"/>
      </w:pPr>
      <w:r>
        <w:rPr>
          <w:rFonts w:ascii="Courier New" w:cs="Courier New" w:eastAsia="Courier New" w:hAnsi="Courier New"/>
          <w:sz w:val="17"/>
          <w:szCs w:val="17"/>
        </w:rPr>
        <w:t xml:space="preserve">          PATIENT                        ÉTABLISSEMENT</w:t>
      </w:r>
    </w:p>
    <w:p>
      <w:pPr>
        <w:keepNext/>
        <w:keepLines/>
        <w:shd w:fill="F3F6F4" w:color="auto" w:val="clear"/>
        <w:spacing w:after="0" w:before="0" w:line="240"/>
        <w:ind w:left="120"/>
      </w:pPr>
      <w:r>
        <w:rPr>
          <w:rFonts w:ascii="Courier New" w:cs="Courier New" w:eastAsia="Courier New" w:hAnsi="Courier New"/>
          <w:sz w:val="17"/>
          <w:szCs w:val="17"/>
        </w:rPr>
        <w:t xml:space="preserve">              │                               │</w:t>
      </w:r>
    </w:p>
    <w:p>
      <w:pPr>
        <w:keepNext/>
        <w:keepLines/>
        <w:shd w:fill="F3F6F4" w:color="auto" w:val="clear"/>
        <w:spacing w:after="0" w:before="0" w:line="240"/>
        <w:ind w:left="120"/>
      </w:pPr>
      <w:r>
        <w:rPr>
          <w:rFonts w:ascii="Courier New" w:cs="Courier New" w:eastAsia="Courier New" w:hAnsi="Courier New"/>
          <w:sz w:val="17"/>
          <w:szCs w:val="17"/>
        </w:rPr>
        <w:t xml:space="preserve">      Carnet personnel                       Root</w:t>
      </w:r>
    </w:p>
    <w:p>
      <w:pPr>
        <w:keepNext/>
        <w:keepLines/>
        <w:shd w:fill="F3F6F4" w:color="auto" w:val="clear"/>
        <w:spacing w:after="0" w:before="0" w:line="240"/>
        <w:ind w:left="120"/>
      </w:pPr>
      <w:r>
        <w:rPr>
          <w:rFonts w:ascii="Courier New" w:cs="Courier New" w:eastAsia="Courier New" w:hAnsi="Courier New"/>
          <w:sz w:val="17"/>
          <w:szCs w:val="17"/>
        </w:rPr>
        <w:t xml:space="preserve">              │                               │</w:t>
      </w:r>
    </w:p>
    <w:p>
      <w:pPr>
        <w:keepNext/>
        <w:keepLines/>
        <w:shd w:fill="F3F6F4" w:color="auto" w:val="clear"/>
        <w:spacing w:after="0" w:before="0" w:line="240"/>
        <w:ind w:left="120"/>
      </w:pPr>
      <w:r>
        <w:rPr>
          <w:rFonts w:ascii="Courier New" w:cs="Courier New" w:eastAsia="Courier New" w:hAnsi="Courier New"/>
          <w:sz w:val="17"/>
          <w:szCs w:val="17"/>
        </w:rPr>
        <w:t xml:space="preserve">   Pré-consultation · Historique       Médecins rattachés</w:t>
      </w:r>
    </w:p>
    <w:p>
      <w:pPr>
        <w:keepNext/>
        <w:keepLines/>
        <w:shd w:fill="F3F6F4" w:color="auto" w:val="clear"/>
        <w:spacing w:after="0" w:before="0" w:line="240"/>
        <w:ind w:left="120"/>
      </w:pPr>
      <w:r>
        <w:rPr>
          <w:rFonts w:ascii="Courier New" w:cs="Courier New" w:eastAsia="Courier New" w:hAnsi="Courier New"/>
          <w:sz w:val="17"/>
          <w:szCs w:val="17"/>
        </w:rPr>
        <w:t xml:space="preserve">              │                               │</w:t>
      </w:r>
    </w:p>
    <w:p>
      <w:pPr>
        <w:keepNext/>
        <w:keepLines/>
        <w:shd w:fill="F3F6F4" w:color="auto" w:val="clear"/>
        <w:spacing w:after="0" w:before="0" w:line="240"/>
        <w:ind w:left="120"/>
      </w:pPr>
      <w:r>
        <w:rPr>
          <w:rFonts w:ascii="Courier New" w:cs="Courier New" w:eastAsia="Courier New" w:hAnsi="Courier New"/>
          <w:sz w:val="17"/>
          <w:szCs w:val="17"/>
        </w:rPr>
        <w:t xml:space="preserve">              └──► Autorisation du patient ◄──┘</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keepLines/>
        <w:shd w:fill="F3F6F4" w:color="auto" w:val="clear"/>
        <w:spacing w:after="0" w:before="0" w:line="240"/>
        <w:ind w:left="120"/>
      </w:pPr>
      <w:r>
        <w:rPr>
          <w:rFonts w:ascii="Courier New" w:cs="Courier New" w:eastAsia="Courier New" w:hAnsi="Courier New"/>
          <w:sz w:val="17"/>
          <w:szCs w:val="17"/>
        </w:rPr>
        <w:t xml:space="preserve">                         AccessGrant</w:t>
      </w:r>
    </w:p>
    <w:p>
      <w:pPr>
        <w:keepNext/>
        <w:keepLines/>
        <w:shd w:fill="F3F6F4" w:color="auto" w:val="clear"/>
        <w:spacing w:after="0" w:before="0" w:line="240"/>
        <w:ind w:left="120"/>
      </w:pPr>
      <w:r>
        <w:rPr>
          <w:rFonts w:ascii="Courier New" w:cs="Courier New" w:eastAsia="Courier New" w:hAnsi="Courier New"/>
          <w:sz w:val="17"/>
          <w:szCs w:val="17"/>
        </w:rPr>
        <w:t xml:space="preserve">                              │</w:t>
      </w:r>
    </w:p>
    <w:p>
      <w:pPr>
        <w:keepNext w:val="false"/>
        <w:keepLines/>
        <w:shd w:fill="F3F6F4" w:color="auto" w:val="clear"/>
        <w:spacing w:after="160" w:before="0" w:line="240"/>
        <w:ind w:left="120"/>
      </w:pPr>
      <w:r>
        <w:rPr>
          <w:rFonts w:ascii="Courier New" w:cs="Courier New" w:eastAsia="Courier New" w:hAnsi="Courier New"/>
          <w:sz w:val="17"/>
          <w:szCs w:val="17"/>
        </w:rPr>
        <w:t xml:space="preserve">                  Consultation · Historique</w:t>
      </w:r>
    </w:p>
    <w:p>
      <w:pPr>
        <w:spacing w:after="120" w:line="276"/>
      </w:pPr>
      <w:r>
        <w:rPr>
          <w:b/>
          <w:bCs/>
        </w:rPr>
        <w:t xml:space="preserve">Principe directeur.</w:t>
      </w:r>
      <w:r>
        <w:t xml:space="preserve"> Le patient reste titulaire de son carnet ; l'établissement encadre les professionnels qui le traitent ; la pré-consultation, saisie dans le compte du patient, prépare la prise en charge ; le médecin complète et valide la consultation ; chaque action sensible est contextualisée, autorisée et traçable ; les établissements restent isolés ; les échanges entre établissements ne sont ajoutés que lorsque le produit et le cadre juridique sont prêts.</w:t>
      </w:r>
    </w:p>
    <w:p>
      <w:pPr>
        <w:pStyle w:val="Heading1"/>
        <w:pageBreakBefore/>
      </w:pPr>
      <w:bookmarkStart w:name="secx1" w:id="1"/>
      <w:r>
        <w:t xml:space="preserve">Annexe A — Index des points à valider</w:t>
      </w:r>
      <w:bookmarkEnd w:id="1"/>
    </w:p>
    <w:p>
      <w:pPr>
        <w:spacing w:after="120" w:line="276"/>
      </w:pPr>
      <w:r>
        <w:t xml:space="preserve">Chaque point est traité dans la section indiquée, où il est signalé par un encadré « À valider ». Cet index reprend les 18 points de la V7 (deux ont été fusionnés) et ajoute trois points issus de l'architecture.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300"/>
        <w:gridCol w:w="2338"/>
      </w:tblGrid>
      <w:tr>
        <w:trPr>
          <w:cantSplit/>
          <w:tblHeader/>
        </w:trPr>
        <w:tc>
          <w:tcPr>
            <w:tcW w:type="dxa" w:w="8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Id</w:t>
            </w:r>
          </w:p>
        </w:tc>
        <w:tc>
          <w:tcPr>
            <w:tcW w:type="dxa" w:w="52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Point à valider</w:t>
            </w:r>
          </w:p>
        </w:tc>
        <w:tc>
          <w:tcPr>
            <w:tcW w:type="dxa" w:w="13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Section</w:t>
            </w:r>
          </w:p>
        </w:tc>
        <w:tc>
          <w:tcPr>
            <w:tcW w:type="dxa" w:w="23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8"/>
                <w:szCs w:val="18"/>
              </w:rPr>
              <w:t xml:space="preserve">Décideur</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A1</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Fournisseur et nature de l'intégration de l'OTP WhatsApp (nouveau)</w:t>
            </w:r>
          </w:p>
        </w:tc>
        <w:tc>
          <w:tcPr>
            <w:tcW w:type="dxa" w:w="1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4.1</w:t>
            </w:r>
          </w:p>
        </w:tc>
        <w:tc>
          <w:tcPr>
            <w:tcW w:type="dxa" w:w="2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 développeur</w:t>
            </w:r>
          </w:p>
        </w:tc>
      </w:tr>
      <w:tr>
        <w:trPr>
          <w:cantSplit/>
        </w:trPr>
        <w:tc>
          <w:tcPr>
            <w:tcW w:type="dxa" w:w="8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A2</w:t>
            </w:r>
          </w:p>
        </w:tc>
        <w:tc>
          <w:tcPr>
            <w:tcW w:type="dxa" w:w="5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Méthodes d'authentification finales et ordre d'activation</w:t>
            </w:r>
          </w:p>
        </w:tc>
        <w:tc>
          <w:tcPr>
            <w:tcW w:type="dxa" w:w="13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4.1</w:t>
            </w:r>
          </w:p>
        </w:tc>
        <w:tc>
          <w:tcPr>
            <w:tcW w:type="dxa" w:w="23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A3</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Règles de récupération des comptes et du MFA</w:t>
            </w:r>
          </w:p>
        </w:tc>
        <w:tc>
          <w:tcPr>
            <w:tcW w:type="dxa" w:w="1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4.4</w:t>
            </w:r>
          </w:p>
        </w:tc>
        <w:tc>
          <w:tcPr>
            <w:tcW w:type="dxa" w:w="2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 juriste</w:t>
            </w:r>
          </w:p>
        </w:tc>
      </w:tr>
      <w:tr>
        <w:trPr>
          <w:cantSplit/>
        </w:trPr>
        <w:tc>
          <w:tcPr>
            <w:tcW w:type="dxa" w:w="8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A4</w:t>
            </w:r>
          </w:p>
        </w:tc>
        <w:tc>
          <w:tcPr>
            <w:tcW w:type="dxa" w:w="5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Procédure de validation startup d'un établissement</w:t>
            </w:r>
          </w:p>
        </w:tc>
        <w:tc>
          <w:tcPr>
            <w:tcW w:type="dxa" w:w="13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6.2</w:t>
            </w:r>
          </w:p>
        </w:tc>
        <w:tc>
          <w:tcPr>
            <w:tcW w:type="dxa" w:w="23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A5</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Périmètre de l'administrateur d'établissement sur les dossiers</w:t>
            </w:r>
          </w:p>
        </w:tc>
        <w:tc>
          <w:tcPr>
            <w:tcW w:type="dxa" w:w="1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6.3</w:t>
            </w:r>
          </w:p>
        </w:tc>
        <w:tc>
          <w:tcPr>
            <w:tcW w:type="dxa" w:w="2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 juriste, médecin référent</w:t>
            </w:r>
          </w:p>
        </w:tc>
      </w:tr>
      <w:tr>
        <w:trPr>
          <w:cantSplit/>
        </w:trPr>
        <w:tc>
          <w:tcPr>
            <w:tcW w:type="dxa" w:w="8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A6</w:t>
            </w:r>
          </w:p>
        </w:tc>
        <w:tc>
          <w:tcPr>
            <w:tcW w:type="dxa" w:w="5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Niveau exact de vérification professionnelle</w:t>
            </w:r>
          </w:p>
        </w:tc>
        <w:tc>
          <w:tcPr>
            <w:tcW w:type="dxa" w:w="13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7.1</w:t>
            </w:r>
          </w:p>
        </w:tc>
        <w:tc>
          <w:tcPr>
            <w:tcW w:type="dxa" w:w="23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 médecin référent</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A7</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Attribution de l'établissement et de l'intervenant en pré-consultation (remplace « validation des infirmiers »)</w:t>
            </w:r>
          </w:p>
        </w:tc>
        <w:tc>
          <w:tcPr>
            <w:tcW w:type="dxa" w:w="1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8.3</w:t>
            </w:r>
          </w:p>
        </w:tc>
        <w:tc>
          <w:tcPr>
            <w:tcW w:type="dxa" w:w="2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w:t>
            </w:r>
          </w:p>
        </w:tc>
      </w:tr>
      <w:tr>
        <w:trPr>
          <w:cantSplit/>
        </w:trPr>
        <w:tc>
          <w:tcPr>
            <w:tcW w:type="dxa" w:w="8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A8</w:t>
            </w:r>
          </w:p>
        </w:tc>
        <w:tc>
          <w:tcPr>
            <w:tcW w:type="dxa" w:w="5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Liste définitive des champs de pré-consultation</w:t>
            </w:r>
          </w:p>
        </w:tc>
        <w:tc>
          <w:tcPr>
            <w:tcW w:type="dxa" w:w="13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8.4</w:t>
            </w:r>
          </w:p>
        </w:tc>
        <w:tc>
          <w:tcPr>
            <w:tcW w:type="dxa" w:w="23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Médecin référent</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A9</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Scope exact de chaque accès et validité d'une demande ou d'un QR</w:t>
            </w:r>
          </w:p>
        </w:tc>
        <w:tc>
          <w:tcPr>
            <w:tcW w:type="dxa" w:w="1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9.3, 9.5</w:t>
            </w:r>
          </w:p>
        </w:tc>
        <w:tc>
          <w:tcPr>
            <w:tcW w:type="dxa" w:w="2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 médecin référent</w:t>
            </w:r>
          </w:p>
        </w:tc>
      </w:tr>
      <w:tr>
        <w:trPr>
          <w:cantSplit/>
        </w:trPr>
        <w:tc>
          <w:tcPr>
            <w:tcW w:type="dxa" w:w="8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A10</w:t>
            </w:r>
          </w:p>
        </w:tc>
        <w:tc>
          <w:tcPr>
            <w:tcW w:type="dxa" w:w="5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Liste définitive des champs communs de consultation</w:t>
            </w:r>
          </w:p>
        </w:tc>
        <w:tc>
          <w:tcPr>
            <w:tcW w:type="dxa" w:w="13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10.2</w:t>
            </w:r>
          </w:p>
        </w:tc>
        <w:tc>
          <w:tcPr>
            <w:tcW w:type="dxa" w:w="23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Médecin référent</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A11</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Conservation des justificatifs et politique de stockage documentaire</w:t>
            </w:r>
          </w:p>
        </w:tc>
        <w:tc>
          <w:tcPr>
            <w:tcW w:type="dxa" w:w="1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12.1</w:t>
            </w:r>
          </w:p>
        </w:tc>
        <w:tc>
          <w:tcPr>
            <w:tcW w:type="dxa" w:w="2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 juriste</w:t>
            </w:r>
          </w:p>
        </w:tc>
      </w:tr>
      <w:tr>
        <w:trPr>
          <w:cantSplit/>
        </w:trPr>
        <w:tc>
          <w:tcPr>
            <w:tcW w:type="dxa" w:w="8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A12</w:t>
            </w:r>
          </w:p>
        </w:tc>
        <w:tc>
          <w:tcPr>
            <w:tcW w:type="dxa" w:w="5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Arbitrage Neon / Render Postgres (nouveau)</w:t>
            </w:r>
          </w:p>
        </w:tc>
        <w:tc>
          <w:tcPr>
            <w:tcW w:type="dxa" w:w="13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14.6</w:t>
            </w:r>
          </w:p>
        </w:tc>
        <w:tc>
          <w:tcPr>
            <w:tcW w:type="dxa" w:w="23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Développeur</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A13</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Hébergeur ivoirien et plan de bascule (nouveau)</w:t>
            </w:r>
          </w:p>
        </w:tc>
        <w:tc>
          <w:tcPr>
            <w:tcW w:type="dxa" w:w="1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14.7</w:t>
            </w:r>
          </w:p>
        </w:tc>
        <w:tc>
          <w:tcPr>
            <w:tcW w:type="dxa" w:w="2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w:t>
            </w:r>
          </w:p>
        </w:tc>
      </w:tr>
      <w:tr>
        <w:trPr>
          <w:cantSplit/>
        </w:trPr>
        <w:tc>
          <w:tcPr>
            <w:tcW w:type="dxa" w:w="8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A14</w:t>
            </w:r>
          </w:p>
        </w:tc>
        <w:tc>
          <w:tcPr>
            <w:tcW w:type="dxa" w:w="5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Règles juridiques locales applicables</w:t>
            </w:r>
          </w:p>
        </w:tc>
        <w:tc>
          <w:tcPr>
            <w:tcW w:type="dxa" w:w="13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22</w:t>
            </w:r>
          </w:p>
        </w:tc>
        <w:tc>
          <w:tcPr>
            <w:tcW w:type="dxa" w:w="23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Juriste</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A15</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Conservation et suppression des données</w:t>
            </w:r>
          </w:p>
        </w:tc>
        <w:tc>
          <w:tcPr>
            <w:tcW w:type="dxa" w:w="1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22</w:t>
            </w:r>
          </w:p>
        </w:tc>
        <w:tc>
          <w:tcPr>
            <w:tcW w:type="dxa" w:w="2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 juriste</w:t>
            </w:r>
          </w:p>
        </w:tc>
      </w:tr>
      <w:tr>
        <w:trPr>
          <w:cantSplit/>
        </w:trPr>
        <w:tc>
          <w:tcPr>
            <w:tcW w:type="dxa" w:w="8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A16</w:t>
            </w:r>
          </w:p>
        </w:tc>
        <w:tc>
          <w:tcPr>
            <w:tcW w:type="dxa" w:w="5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Procédure d'incident</w:t>
            </w:r>
          </w:p>
        </w:tc>
        <w:tc>
          <w:tcPr>
            <w:tcW w:type="dxa" w:w="13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22</w:t>
            </w:r>
          </w:p>
        </w:tc>
        <w:tc>
          <w:tcPr>
            <w:tcW w:type="dxa" w:w="23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 développeur</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A17</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Unité et prix de facturation B2B</w:t>
            </w:r>
          </w:p>
        </w:tc>
        <w:tc>
          <w:tcPr>
            <w:tcW w:type="dxa" w:w="1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19.1</w:t>
            </w:r>
          </w:p>
        </w:tc>
        <w:tc>
          <w:tcPr>
            <w:tcW w:type="dxa" w:w="2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w:t>
            </w:r>
          </w:p>
        </w:tc>
      </w:tr>
      <w:tr>
        <w:trPr>
          <w:cantSplit/>
        </w:trPr>
        <w:tc>
          <w:tcPr>
            <w:tcW w:type="dxa" w:w="8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A18</w:t>
            </w:r>
          </w:p>
        </w:tc>
        <w:tc>
          <w:tcPr>
            <w:tcW w:type="dxa" w:w="5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Responsable du paiement des services cloud</w:t>
            </w:r>
          </w:p>
        </w:tc>
        <w:tc>
          <w:tcPr>
            <w:tcW w:type="dxa" w:w="13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20.5</w:t>
            </w:r>
          </w:p>
        </w:tc>
        <w:tc>
          <w:tcPr>
            <w:tcW w:type="dxa" w:w="23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w:t>
            </w:r>
          </w:p>
        </w:tc>
      </w:tr>
      <w:tr>
        <w:trPr>
          <w:cantSplit/>
        </w:trPr>
        <w:tc>
          <w:tcPr>
            <w:tcW w:type="dxa" w:w="8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A19</w:t>
            </w:r>
          </w:p>
        </w:tc>
        <w:tc>
          <w:tcPr>
            <w:tcW w:type="dxa" w:w="52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SLA et support</w:t>
            </w:r>
          </w:p>
        </w:tc>
        <w:tc>
          <w:tcPr>
            <w:tcW w:type="dxa" w:w="1300"/>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20.5</w:t>
            </w:r>
          </w:p>
        </w:tc>
        <w:tc>
          <w:tcPr>
            <w:tcW w:type="dxa" w:w="23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sz w:val="18"/>
                <w:szCs w:val="18"/>
              </w:rPr>
              <w:t xml:space="preserve">Fondateur</w:t>
            </w:r>
          </w:p>
        </w:tc>
      </w:tr>
      <w:tr>
        <w:trPr>
          <w:cantSplit/>
        </w:trPr>
        <w:tc>
          <w:tcPr>
            <w:tcW w:type="dxa" w:w="8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A20</w:t>
            </w:r>
          </w:p>
        </w:tc>
        <w:tc>
          <w:tcPr>
            <w:tcW w:type="dxa" w:w="52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Architecture finale de synchronisation V2</w:t>
            </w:r>
          </w:p>
        </w:tc>
        <w:tc>
          <w:tcPr>
            <w:tcW w:type="dxa" w:w="1300"/>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17</w:t>
            </w:r>
          </w:p>
        </w:tc>
        <w:tc>
          <w:tcPr>
            <w:tcW w:type="dxa" w:w="23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sz w:val="18"/>
                <w:szCs w:val="18"/>
              </w:rPr>
              <w:t xml:space="preserve">Développeur</w:t>
            </w:r>
          </w:p>
        </w:tc>
      </w:tr>
    </w:tbl>
    <w:p>
      <w:pPr>
        <w:spacing w:after="120"/>
      </w:pPr>
    </w:p>
    <w:p>
      <w:pPr>
        <w:pStyle w:val="Heading1"/>
      </w:pPr>
      <w:bookmarkStart w:name="secx2" w:id="1"/>
      <w:r>
        <w:t xml:space="preserve">Annexe B — Glossaire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Terme</w:t>
            </w:r>
          </w:p>
        </w:tc>
        <w:tc>
          <w:tcPr>
            <w:tcW w:type="dxa" w:w="7038"/>
            <w:tcBorders>
              <w:top w:val="single" w:color="C9D4CC" w:sz="4"/>
              <w:left w:val="single" w:color="C9D4CC" w:sz="4"/>
              <w:bottom w:val="single" w:color="C9D4CC" w:sz="4"/>
              <w:right w:val="single" w:color="C9D4CC" w:sz="4"/>
            </w:tcBorders>
            <w:shd w:fill="3E5C4A" w:color="auto" w:val="clear"/>
            <w:tcMar>
              <w:top w:type="dxa" w:w="70"/>
              <w:left w:type="dxa" w:w="100"/>
              <w:bottom w:type="dxa" w:w="70"/>
              <w:right w:type="dxa" w:w="100"/>
            </w:tcMar>
            <w:vAlign w:val="top"/>
          </w:tcPr>
          <w:p>
            <w:pPr>
              <w:keepNext w:val="false"/>
              <w:spacing w:after="30" w:line="252"/>
              <w:jc w:val="left"/>
            </w:pPr>
            <w:r>
              <w:rPr>
                <w:b/>
                <w:bCs/>
                <w:color w:val="FFFFFF"/>
                <w:sz w:val="19"/>
                <w:szCs w:val="19"/>
              </w:rPr>
              <w:t xml:space="preserve">Définition</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AccessGrant</w:t>
            </w:r>
          </w:p>
        </w:tc>
        <w:tc>
          <w:tcPr>
            <w:tcW w:type="dxa" w:w="7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Objet serveur qui matérialise une autorisation temporaire, limitée et révocable donnée par un patient à un professionnel dans un établissement.</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Attestation SVG</w:t>
            </w:r>
          </w:p>
        </w:tc>
        <w:tc>
          <w:tcPr>
            <w:tcW w:type="dxa" w:w="70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Tracé du geste de confirmation d'un professionnel ; ce n'est pas une signature électronique qualifiée.</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Audit append-only</w:t>
            </w:r>
          </w:p>
        </w:tc>
        <w:tc>
          <w:tcPr>
            <w:tcW w:type="dxa" w:w="7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Journal où l'on ajoute des événements sans jamais modifier ni supprimer les précédents.</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Code établissement</w:t>
            </w:r>
          </w:p>
        </w:tc>
        <w:tc>
          <w:tcPr>
            <w:tcW w:type="dxa" w:w="70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Clé interne qui permet à un professionnel de demander son rattachement ; ne prouve pas sa qualification.</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Établissement actif</w:t>
            </w:r>
          </w:p>
        </w:tc>
        <w:tc>
          <w:tcPr>
            <w:tcW w:type="dxa" w:w="7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Établissement choisi par un professionnel pour une prise en charge ; il est figé sur celle-ci.</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MFA / TOTP</w:t>
            </w:r>
          </w:p>
        </w:tc>
        <w:tc>
          <w:tcPr>
            <w:tcW w:type="dxa" w:w="70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Authentification à second facteur par code temporaire généré sur le téléphone.</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PWA</w:t>
            </w:r>
          </w:p>
        </w:tc>
        <w:tc>
          <w:tcPr>
            <w:tcW w:type="dxa" w:w="7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Application web installable, utilisable depuis un navigateur mobile.</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Pré-consultation</w:t>
            </w:r>
          </w:p>
        </w:tc>
        <w:tc>
          <w:tcPr>
            <w:tcW w:type="dxa" w:w="70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Relevé de constantes et d'observations saisi dans le compte du patient avant la consultation médicale.</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Provenance</w:t>
            </w:r>
          </w:p>
        </w:tc>
        <w:tc>
          <w:tcPr>
            <w:tcW w:type="dxa" w:w="7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Origine et statut d'une donnée : déclarée, relevée, confirmée, contestée, validée.</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Root</w:t>
            </w:r>
          </w:p>
        </w:tc>
        <w:tc>
          <w:tcPr>
            <w:tcW w:type="dxa" w:w="70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Administrateur d'un établissement : le créateur, après validation par la startup.</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Scope</w:t>
            </w:r>
          </w:p>
        </w:tc>
        <w:tc>
          <w:tcPr>
            <w:tcW w:type="dxa" w:w="7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Périmètre des données qu'un AccessGrant autorise.</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Startup</w:t>
            </w:r>
          </w:p>
        </w:tc>
        <w:tc>
          <w:tcPr>
            <w:tcW w:type="dxa" w:w="7038"/>
            <w:tcBorders>
              <w:top w:val="single" w:color="C9D4CC" w:sz="4"/>
              <w:left w:val="single" w:color="C9D4CC" w:sz="4"/>
              <w:bottom w:val="single" w:color="C9D4CC" w:sz="4"/>
              <w:right w:val="single" w:color="C9D4CC" w:sz="4"/>
            </w:tcBorders>
            <w:shd w:fill="FAFBFA"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L'organisation qui édite et exploite le produit ; elle valide l'activation des établissements.</w:t>
            </w:r>
          </w:p>
        </w:tc>
      </w:tr>
      <w:tr>
        <w:trPr>
          <w:cantSplit/>
        </w:trPr>
        <w:tc>
          <w:tcPr>
            <w:tcW w:type="dxa" w:w="2600"/>
            <w:tcBorders>
              <w:top w:val="single" w:color="C9D4CC" w:sz="4"/>
              <w:left w:val="single" w:color="C9D4CC" w:sz="4"/>
              <w:bottom w:val="single" w:color="C9D4CC" w:sz="4"/>
              <w:right w:val="single" w:color="C9D4CC" w:sz="4"/>
            </w:tcBorders>
            <w:shd w:fill="F3F6F4" w:color="auto" w:val="clear"/>
            <w:tcMar>
              <w:top w:type="dxa" w:w="70"/>
              <w:left w:type="dxa" w:w="100"/>
              <w:bottom w:type="dxa" w:w="70"/>
              <w:right w:type="dxa" w:w="100"/>
            </w:tcMar>
            <w:vAlign w:val="top"/>
          </w:tcPr>
          <w:p>
            <w:pPr>
              <w:keepNext w:val="false"/>
              <w:spacing w:after="30" w:line="252"/>
              <w:jc w:val="left"/>
            </w:pPr>
            <w:r>
              <w:rPr>
                <w:b/>
                <w:bCs/>
                <w:sz w:val="19"/>
                <w:szCs w:val="19"/>
              </w:rPr>
              <w:t xml:space="preserve">URL signée</w:t>
            </w:r>
          </w:p>
        </w:tc>
        <w:tc>
          <w:tcPr>
            <w:tcW w:type="dxa" w:w="7038"/>
            <w:tcBorders>
              <w:top w:val="single" w:color="C9D4CC" w:sz="4"/>
              <w:left w:val="single" w:color="C9D4CC" w:sz="4"/>
              <w:bottom w:val="single" w:color="C9D4CC" w:sz="4"/>
              <w:right w:val="single" w:color="C9D4CC" w:sz="4"/>
            </w:tcBorders>
            <w:shd w:fill="FFFFFF" w:color="auto" w:val="clear"/>
            <w:tcMar>
              <w:top w:type="dxa" w:w="70"/>
              <w:left w:type="dxa" w:w="100"/>
              <w:bottom w:type="dxa" w:w="70"/>
              <w:right w:type="dxa" w:w="100"/>
            </w:tcMar>
            <w:vAlign w:val="top"/>
          </w:tcPr>
          <w:p>
            <w:pPr>
              <w:keepNext w:val="false"/>
              <w:spacing w:after="30" w:line="252"/>
              <w:jc w:val="left"/>
            </w:pPr>
            <w:r>
              <w:rPr>
                <w:b w:val="false"/>
                <w:bCs w:val="false"/>
                <w:sz w:val="19"/>
                <w:szCs w:val="19"/>
              </w:rPr>
              <w:t xml:space="preserve">Lien temporaire et à usage contrôlé vers un fichier privé.</w:t>
            </w:r>
          </w:p>
        </w:tc>
      </w:tr>
    </w:tbl>
    <w:p>
      <w:pPr>
        <w:spacing w:after="120"/>
      </w:pPr>
    </w:p>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tabs>
        <w:tab w:val="right" w:pos="9638"/>
      </w:tabs>
    </w:pPr>
    <w:r>
      <w:rPr>
        <w:color w:val="5F6B63"/>
        <w:sz w:val="16"/>
        <w:szCs w:val="16"/>
      </w:rPr>
      <w:t xml:space="preserve">Confidentiel — document de travail</w:t>
    </w:r>
    <w:r>
      <w:rPr>
        <w:color w:val="5F6B63"/>
        <w:sz w:val="16"/>
        <w:szCs w:val="16"/>
      </w:rPr>
      <w:t xml:space="preserve">	Page </w:t>
    </w:r>
    <w:r>
      <w:rPr>
        <w:color w:val="5F6B63"/>
        <w:sz w:val="16"/>
        <w:szCs w:val="16"/>
      </w:rPr>
      <w:fldChar w:fldCharType="begin"/>
      <w:instrText xml:space="preserve">PAGE</w:instrText>
      <w:fldChar w:fldCharType="separate"/>
      <w:fldChar w:fldCharType="end"/>
    </w:r>
    <w:r>
      <w:rPr>
        <w:color w:val="5F6B63"/>
        <w:sz w:val="16"/>
        <w:szCs w:val="16"/>
      </w:rPr>
      <w:t xml:space="preserve"> / </w:t>
    </w:r>
    <w:r>
      <w:rPr>
        <w:color w:val="5F6B6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CC" w:sz="4" w:space="4"/>
      </w:pBdr>
      <w:jc w:val="right"/>
    </w:pPr>
    <w:r>
      <w:rPr>
        <w:color w:val="5F6B63"/>
        <w:sz w:val="16"/>
        <w:szCs w:val="16"/>
      </w:rPr>
      <w:t xml:space="preserve">Mon Carnet Numérique — Cahier des charges V8 — 03/10/2026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mall">
    <w:name w:val="Footer Small"/>
    <w:basedOn w:val="Normal"/>
    <w:rPr>
      <w:rFonts w:ascii="Arial" w:cs="Arial" w:eastAsia="Arial" w:hAnsi="Arial"/>
      <w:color w:val="5F6B63"/>
      <w:sz w:val="16"/>
      <w:szCs w:val="16"/>
    </w:rPr>
  </w:style>
  <w:style w:type="paragraph" w:styleId="Heading1">
    <w:name w:val="Heading 1"/>
    <w:basedOn w:val="Normal"/>
    <w:next w:val="Normal"/>
    <w:qFormat/>
    <w:pPr>
      <w:keepNext/>
      <w:pBdr>
        <w:bottom w:val="single" w:color="3E5C4A" w:sz="8" w:space="4"/>
      </w:pBdr>
      <w:spacing w:after="160" w:before="400"/>
      <w:outlineLvl w:val="0"/>
    </w:pPr>
    <w:rPr>
      <w:rFonts w:ascii="Arial" w:cs="Arial" w:eastAsia="Arial" w:hAnsi="Arial"/>
      <w:b/>
      <w:bCs/>
      <w:color w:val="2F4A3A"/>
      <w:sz w:val="32"/>
      <w:szCs w:val="32"/>
    </w:rPr>
  </w:style>
  <w:style w:type="paragraph" w:styleId="Heading2">
    <w:name w:val="Heading 2"/>
    <w:basedOn w:val="Normal"/>
    <w:next w:val="Normal"/>
    <w:qFormat/>
    <w:pPr>
      <w:keepNext/>
      <w:spacing w:after="100" w:before="260"/>
      <w:outlineLvl w:val="1"/>
    </w:pPr>
    <w:rPr>
      <w:rFonts w:ascii="Arial" w:cs="Arial" w:eastAsia="Arial" w:hAnsi="Arial"/>
      <w:b/>
      <w:bCs/>
      <w:color w:val="3E5C4A"/>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2F4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Carnet Numérique — Cahier des charges V8</dc:title>
  <dc:creator>Mon Carnet Numérique</dc:creator>
  <cp:lastModifiedBy>Un-named</cp:lastModifiedBy>
  <cp:revision>1</cp:revision>
  <dcterms:created xsi:type="dcterms:W3CDTF">2026-10-03T08:59:20.896Z</dcterms:created>
  <dcterms:modified xsi:type="dcterms:W3CDTF">2026-10-03T08:59:20.896Z</dcterms:modified>
</cp:coreProperties>
</file>

<file path=docProps/custom.xml><?xml version="1.0" encoding="utf-8"?>
<Properties xmlns="http://schemas.openxmlformats.org/officeDocument/2006/custom-properties" xmlns:vt="http://schemas.openxmlformats.org/officeDocument/2006/docPropsVTypes"/>
</file>