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b/>
          <w:i w:val="0"/>
          <w:color w:val="212529"/>
          <w:sz w:val="38"/>
        </w:rPr>
        <w:t>Annexe W   Benchmark concurrentiel, killer features et matrice de décision</w:t>
      </w:r>
    </w:p>
    <w:p>
      <w:pPr>
        <w:spacing w:after="20"/>
      </w:pPr>
      <w:r>
        <w:rPr>
          <w:rFonts w:ascii="Calibri" w:hAnsi="Calibri" w:cs="Calibri"/>
          <w:b w:val="0"/>
          <w:i w:val="0"/>
          <w:color w:val="868E96"/>
          <w:sz w:val="22"/>
        </w:rPr>
        <w:t>dropicture · cinq solutions comparées, gaps de marché, trois killer features analysées en SWOT et arbitrage pondéré</w:t>
      </w:r>
    </w:p>
    <w:p>
      <w:pPr>
        <w:spacing w:after="200"/>
      </w:pPr>
      <w:r>
        <w:rPr>
          <w:rFonts w:ascii="Calibri" w:hAnsi="Calibri" w:cs="Calibri"/>
          <w:b w:val="0"/>
          <w:i w:val="0"/>
          <w:color w:val="868E96"/>
          <w:sz w:val="17"/>
        </w:rPr>
        <w:t>RNCP40573  Expert en informatique et systèmes d'information, option DevOps · Amir Redjem · appelée en §10.1, §11.1.3 et §11.2.1 du mémoire</w:t>
      </w:r>
    </w:p>
    <w:p>
      <w:pPr>
        <w:spacing w:after="200"/>
        <w:jc w:val="both"/>
      </w:pPr>
      <w:r>
        <w:rPr>
          <w:rFonts w:ascii="Calibri" w:hAnsi="Calibri" w:cs="Calibri"/>
          <w:b w:val="0"/>
          <w:i w:val="0"/>
          <w:color w:val="212529"/>
          <w:sz w:val="20"/>
        </w:rPr>
        <w:t>Le marché du stockage et du partage de photographies est occupé par des acteurs installés. Prétendre s'y insérer sans avoir mesuré ce qu'ils font déjà relèverait de la conviction et non de l'analyse. Ce dossier compare cinq solutions sur une grille unique, identifie les manques qu'elles laissent, en tire trois propositions de fonctionnalité différenciante, puis les arbitre par une matrice pondérée. La fonctionnalité retenue devient la promesse fondatrice du produit.</w:t>
      </w:r>
    </w:p>
    <w:p>
      <w:pPr>
        <w:spacing w:before="240" w:after="100"/>
      </w:pPr>
      <w:r>
        <w:rPr>
          <w:rFonts w:ascii="Calibri" w:hAnsi="Calibri" w:cs="Calibri"/>
          <w:b/>
          <w:i w:val="0"/>
          <w:color w:val="1C7ED6"/>
          <w:sz w:val="26"/>
        </w:rPr>
        <w:t>1.  Grille de critères de comparaison</w:t>
      </w:r>
    </w:p>
    <w:p>
      <w:pPr>
        <w:spacing w:before="0" w:after="120"/>
        <w:jc w:val="both"/>
      </w:pPr>
      <w:r>
        <w:rPr>
          <w:rFonts w:ascii="Calibri" w:hAnsi="Calibri" w:cs="Calibri"/>
          <w:b w:val="0"/>
          <w:i w:val="0"/>
          <w:color w:val="212529"/>
          <w:sz w:val="20"/>
        </w:rPr>
        <w:t>Quatre familles de critères, quinze points d'observation. Chaque solution est notée de 1 à 5 sur chaque famille, la note étant la moyenne des points observés.</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2103"/>
        <w:gridCol w:w="6009"/>
        <w:gridCol w:w="1502"/>
        <w:gridCol w:w="5408"/>
      </w:tblGrid>
      <w:tr>
        <w:trPr>
          <w:tblHeader/>
        </w:trPr>
        <w:tc>
          <w:tcPr>
            <w:tcW w:type="dxa" w:w="2103"/>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Famille</w:t>
            </w:r>
          </w:p>
        </w:tc>
        <w:tc>
          <w:tcPr>
            <w:tcW w:type="dxa" w:w="6009"/>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Points observés</w:t>
            </w:r>
          </w:p>
        </w:tc>
        <w:tc>
          <w:tcPr>
            <w:tcW w:type="dxa" w:w="1502"/>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Poids retenu</w:t>
            </w:r>
          </w:p>
        </w:tc>
        <w:tc>
          <w:tcPr>
            <w:tcW w:type="dxa" w:w="5408"/>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Justification du poids</w:t>
            </w:r>
          </w:p>
        </w:tc>
      </w:tr>
      <w:tr>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Fonctionnalités</w:t>
            </w:r>
          </w:p>
        </w:tc>
        <w:tc>
          <w:tcPr>
            <w:tcW w:type="dxa" w:w="6009"/>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Téléversement, albums, publication sélective, réseau social, recherche, export de masse</w:t>
            </w:r>
          </w:p>
        </w:tc>
        <w:tc>
          <w:tcPr>
            <w:tcW w:type="dxa" w:w="1502"/>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30 %</w:t>
            </w:r>
          </w:p>
        </w:tc>
        <w:tc>
          <w:tcPr>
            <w:tcW w:type="dxa" w:w="54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Le produit se juge d'abord sur ce qu'il permet de faire</w:t>
            </w:r>
          </w:p>
        </w:tc>
      </w:tr>
      <w:tr>
        <w:tc>
          <w:tcPr>
            <w:tcW w:type="dxa" w:w="210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Technique</w:t>
            </w:r>
          </w:p>
        </w:tc>
        <w:tc>
          <w:tcPr>
            <w:tcW w:type="dxa" w:w="6009"/>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Format de stockage, ouverture de l'API, réversibilité, souveraineté de l'hébergement, chiffrement</w:t>
            </w:r>
          </w:p>
        </w:tc>
        <w:tc>
          <w:tcPr>
            <w:tcW w:type="dxa" w:w="1502"/>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30 %</w:t>
            </w:r>
          </w:p>
        </w:tc>
        <w:tc>
          <w:tcPr>
            <w:tcW w:type="dxa" w:w="5408"/>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La réversibilité et la souveraineté sont les deux critères d'architecture du projet</w:t>
            </w:r>
          </w:p>
        </w:tc>
      </w:tr>
      <w:tr>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Expérience utilisateur</w:t>
            </w:r>
          </w:p>
        </w:tc>
        <w:tc>
          <w:tcPr>
            <w:tcW w:type="dxa" w:w="6009"/>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Clarté du modèle de visibilité, nombre d'actions pour publier, lisibilité du profil public</w:t>
            </w:r>
          </w:p>
        </w:tc>
        <w:tc>
          <w:tcPr>
            <w:tcW w:type="dxa" w:w="1502"/>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25 %</w:t>
            </w:r>
          </w:p>
        </w:tc>
        <w:tc>
          <w:tcPr>
            <w:tcW w:type="dxa" w:w="54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Le modèle de visibilité est précisément ce que les acteurs installés rendent confus</w:t>
            </w:r>
          </w:p>
        </w:tc>
      </w:tr>
      <w:tr>
        <w:tc>
          <w:tcPr>
            <w:tcW w:type="dxa" w:w="210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Prix et modèle économique</w:t>
            </w:r>
          </w:p>
        </w:tc>
        <w:tc>
          <w:tcPr>
            <w:tcW w:type="dxa" w:w="6009"/>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Gratuité d'entrée, coût au gigaoctet, exploitation de la donnée à des fins publicitaires</w:t>
            </w:r>
          </w:p>
        </w:tc>
        <w:tc>
          <w:tcPr>
            <w:tcW w:type="dxa" w:w="1502"/>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15 %</w:t>
            </w:r>
          </w:p>
        </w:tc>
        <w:tc>
          <w:tcPr>
            <w:tcW w:type="dxa" w:w="5408"/>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Critère différenciant, mais non décisif sur un produit de démonstration</w:t>
            </w:r>
          </w:p>
        </w:tc>
      </w:tr>
    </w:tbl>
    <w:p>
      <w:pPr>
        <w:spacing w:after="0"/>
      </w:pPr>
    </w:p>
    <w:p>
      <w:pPr>
        <w:spacing w:before="240" w:after="100"/>
      </w:pPr>
      <w:r>
        <w:rPr>
          <w:rFonts w:ascii="Calibri" w:hAnsi="Calibri" w:cs="Calibri"/>
          <w:b/>
          <w:i w:val="0"/>
          <w:color w:val="1C7ED6"/>
          <w:sz w:val="26"/>
        </w:rPr>
        <w:t>2.  Tableau comparatif des solutions existantes</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1953"/>
        <w:gridCol w:w="3305"/>
        <w:gridCol w:w="901"/>
        <w:gridCol w:w="901"/>
        <w:gridCol w:w="751"/>
        <w:gridCol w:w="751"/>
        <w:gridCol w:w="1352"/>
        <w:gridCol w:w="5108"/>
      </w:tblGrid>
      <w:tr>
        <w:trPr>
          <w:tblHeader/>
        </w:trPr>
        <w:tc>
          <w:tcPr>
            <w:tcW w:type="dxa" w:w="1953"/>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Solution</w:t>
            </w:r>
          </w:p>
        </w:tc>
        <w:tc>
          <w:tcPr>
            <w:tcW w:type="dxa" w:w="3305"/>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Positionnement</w:t>
            </w:r>
          </w:p>
        </w:tc>
        <w:tc>
          <w:tcPr>
            <w:tcW w:type="dxa" w:w="9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Fonct.</w:t>
            </w:r>
          </w:p>
        </w:tc>
        <w:tc>
          <w:tcPr>
            <w:tcW w:type="dxa" w:w="9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Tech.</w:t>
            </w:r>
          </w:p>
        </w:tc>
        <w:tc>
          <w:tcPr>
            <w:tcW w:type="dxa" w:w="7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UX</w:t>
            </w:r>
          </w:p>
        </w:tc>
        <w:tc>
          <w:tcPr>
            <w:tcW w:type="dxa" w:w="7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Prix</w:t>
            </w:r>
          </w:p>
        </w:tc>
        <w:tc>
          <w:tcPr>
            <w:tcW w:type="dxa" w:w="1352"/>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Score pondéré</w:t>
            </w:r>
          </w:p>
        </w:tc>
        <w:tc>
          <w:tcPr>
            <w:tcW w:type="dxa" w:w="5108"/>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Limite principale relevée</w:t>
            </w:r>
          </w:p>
        </w:tc>
      </w:tr>
      <w:tr>
        <w:tc>
          <w:tcPr>
            <w:tcW w:type="dxa" w:w="195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Google Photos</w:t>
            </w:r>
          </w:p>
        </w:tc>
        <w:tc>
          <w:tcPr>
            <w:tcW w:type="dxa" w:w="330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Sauvegarde automatique de masse, recherche par contenu</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5</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2</w:t>
            </w:r>
          </w:p>
        </w:tc>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w:t>
            </w:r>
          </w:p>
        </w:tc>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w:t>
            </w:r>
          </w:p>
        </w:tc>
        <w:tc>
          <w:tcPr>
            <w:tcW w:type="dxa" w:w="135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3,25</w:t>
            </w:r>
          </w:p>
        </w:tc>
        <w:tc>
          <w:tcPr>
            <w:tcW w:type="dxa" w:w="51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Visibilité gérée par lien de partage, sans notion de bibliothèque publique. Hébergement hors Union, réversibilité faible</w:t>
            </w:r>
          </w:p>
        </w:tc>
      </w:tr>
      <w:tr>
        <w:tc>
          <w:tcPr>
            <w:tcW w:type="dxa" w:w="195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Apple iCloud Photos</w:t>
            </w:r>
          </w:p>
        </w:tc>
        <w:tc>
          <w:tcPr>
            <w:tcW w:type="dxa" w:w="330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Intégration native à l'écosystème matériel</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4</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2</w:t>
            </w:r>
          </w:p>
        </w:tc>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4</w:t>
            </w:r>
          </w:p>
        </w:tc>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w:t>
            </w:r>
          </w:p>
        </w:tc>
        <w:tc>
          <w:tcPr>
            <w:tcW w:type="dxa" w:w="1352"/>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3,25</w:t>
            </w:r>
          </w:p>
        </w:tc>
        <w:tc>
          <w:tcPr>
            <w:tcW w:type="dxa" w:w="5108"/>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Fermé à un seul écosystème. Aucun profil public. Pas d'API ouverte</w:t>
            </w:r>
          </w:p>
        </w:tc>
      </w:tr>
      <w:tr>
        <w:tc>
          <w:tcPr>
            <w:tcW w:type="dxa" w:w="195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Amazon Photos</w:t>
            </w:r>
          </w:p>
        </w:tc>
        <w:tc>
          <w:tcPr>
            <w:tcW w:type="dxa" w:w="330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Stockage adossé à un abonnement commercial</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2</w:t>
            </w:r>
          </w:p>
        </w:tc>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w:t>
            </w:r>
          </w:p>
        </w:tc>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w:t>
            </w:r>
          </w:p>
        </w:tc>
        <w:tc>
          <w:tcPr>
            <w:tcW w:type="dxa" w:w="135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2,90</w:t>
            </w:r>
          </w:p>
        </w:tc>
        <w:tc>
          <w:tcPr>
            <w:tcW w:type="dxa" w:w="51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Produit annexe d'un abonnement, feuille de route incertaine</w:t>
            </w:r>
          </w:p>
        </w:tc>
      </w:tr>
      <w:tr>
        <w:tc>
          <w:tcPr>
            <w:tcW w:type="dxa" w:w="195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Flickr</w:t>
            </w:r>
          </w:p>
        </w:tc>
        <w:tc>
          <w:tcPr>
            <w:tcW w:type="dxa" w:w="3305"/>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Communauté de photographes, profil public historique</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4</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w:t>
            </w:r>
          </w:p>
        </w:tc>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w:t>
            </w:r>
          </w:p>
        </w:tc>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w:t>
            </w:r>
          </w:p>
        </w:tc>
        <w:tc>
          <w:tcPr>
            <w:tcW w:type="dxa" w:w="1352"/>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3,30</w:t>
            </w:r>
          </w:p>
        </w:tc>
        <w:tc>
          <w:tcPr>
            <w:tcW w:type="dxa" w:w="5108"/>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Modèle de visibilité complexe, interface datée, avenir économique fragile</w:t>
            </w:r>
          </w:p>
        </w:tc>
      </w:tr>
      <w:tr>
        <w:tc>
          <w:tcPr>
            <w:tcW w:type="dxa" w:w="195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Immich (auto-hébergé)</w:t>
            </w:r>
          </w:p>
        </w:tc>
        <w:tc>
          <w:tcPr>
            <w:tcW w:type="dxa" w:w="3305"/>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Alternative libre à installer soi-même</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5</w:t>
            </w:r>
          </w:p>
        </w:tc>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2</w:t>
            </w:r>
          </w:p>
        </w:tc>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5</w:t>
            </w:r>
          </w:p>
        </w:tc>
        <w:tc>
          <w:tcPr>
            <w:tcW w:type="dxa" w:w="135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4,00</w:t>
            </w:r>
          </w:p>
        </w:tc>
        <w:tc>
          <w:tcPr>
            <w:tcW w:type="dxa" w:w="5108"/>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Exige d'administrer un serveur, ce qui exclut le public visé</w:t>
            </w:r>
          </w:p>
        </w:tc>
      </w:tr>
      <w:tr>
        <w:tc>
          <w:tcPr>
            <w:tcW w:type="dxa" w:w="1953"/>
            <w:tcBorders>
              <w:top w:val="single" w:sz="4" w:space="0" w:color="DEE2E6"/>
              <w:left w:val="single" w:sz="4" w:space="0" w:color="DEE2E6"/>
              <w:bottom w:val="single" w:sz="4" w:space="0" w:color="DEE2E6"/>
              <w:right w:val="single" w:sz="4" w:space="0" w:color="DEE2E6"/>
            </w:tcBorders>
            <w:shd w:val="clear" w:fill="E9FAC8"/>
          </w:tcPr>
          <w:p>
            <w:pPr>
              <w:spacing w:before="40" w:after="40"/>
            </w:pPr>
            <w:r>
              <w:rPr>
                <w:rFonts w:ascii="Calibri" w:hAnsi="Calibri" w:cs="Calibri"/>
                <w:b/>
                <w:i w:val="0"/>
                <w:color w:val="212529"/>
                <w:sz w:val="18"/>
              </w:rPr>
              <w:t>dropicture (cible)</w:t>
            </w:r>
          </w:p>
        </w:tc>
        <w:tc>
          <w:tcPr>
            <w:tcW w:type="dxa" w:w="3305"/>
            <w:tcBorders>
              <w:top w:val="single" w:sz="4" w:space="0" w:color="DEE2E6"/>
              <w:left w:val="single" w:sz="4" w:space="0" w:color="DEE2E6"/>
              <w:bottom w:val="single" w:sz="4" w:space="0" w:color="DEE2E6"/>
              <w:right w:val="single" w:sz="4" w:space="0" w:color="DEE2E6"/>
            </w:tcBorders>
            <w:shd w:val="clear" w:fill="E9FAC8"/>
          </w:tcPr>
          <w:p>
            <w:pPr>
              <w:spacing w:before="40" w:after="40"/>
            </w:pPr>
            <w:r>
              <w:rPr>
                <w:rFonts w:ascii="Calibri" w:hAnsi="Calibri" w:cs="Calibri"/>
                <w:b w:val="0"/>
                <w:i w:val="0"/>
                <w:color w:val="212529"/>
                <w:sz w:val="18"/>
              </w:rPr>
              <w:t>Bibliothèque privée par défaut, publication explicite et réversible</w:t>
            </w:r>
          </w:p>
        </w:tc>
        <w:tc>
          <w:tcPr>
            <w:tcW w:type="dxa" w:w="901"/>
            <w:tcBorders>
              <w:top w:val="single" w:sz="4" w:space="0" w:color="DEE2E6"/>
              <w:left w:val="single" w:sz="4" w:space="0" w:color="DEE2E6"/>
              <w:bottom w:val="single" w:sz="4" w:space="0" w:color="DEE2E6"/>
              <w:right w:val="single" w:sz="4" w:space="0" w:color="DEE2E6"/>
            </w:tcBorders>
            <w:shd w:val="clear" w:fill="E9FAC8"/>
          </w:tcPr>
          <w:p>
            <w:pPr>
              <w:spacing w:before="40" w:after="40"/>
              <w:jc w:val="center"/>
            </w:pPr>
            <w:r>
              <w:rPr>
                <w:rFonts w:ascii="Calibri" w:hAnsi="Calibri" w:cs="Calibri"/>
                <w:b w:val="0"/>
                <w:i w:val="0"/>
                <w:color w:val="212529"/>
                <w:sz w:val="18"/>
              </w:rPr>
              <w:t>3</w:t>
            </w:r>
          </w:p>
        </w:tc>
        <w:tc>
          <w:tcPr>
            <w:tcW w:type="dxa" w:w="901"/>
            <w:tcBorders>
              <w:top w:val="single" w:sz="4" w:space="0" w:color="DEE2E6"/>
              <w:left w:val="single" w:sz="4" w:space="0" w:color="DEE2E6"/>
              <w:bottom w:val="single" w:sz="4" w:space="0" w:color="DEE2E6"/>
              <w:right w:val="single" w:sz="4" w:space="0" w:color="DEE2E6"/>
            </w:tcBorders>
            <w:shd w:val="clear" w:fill="E9FAC8"/>
          </w:tcPr>
          <w:p>
            <w:pPr>
              <w:spacing w:before="40" w:after="40"/>
              <w:jc w:val="center"/>
            </w:pPr>
            <w:r>
              <w:rPr>
                <w:rFonts w:ascii="Calibri" w:hAnsi="Calibri" w:cs="Calibri"/>
                <w:b w:val="0"/>
                <w:i w:val="0"/>
                <w:color w:val="212529"/>
                <w:sz w:val="18"/>
              </w:rPr>
              <w:t>5</w:t>
            </w:r>
          </w:p>
        </w:tc>
        <w:tc>
          <w:tcPr>
            <w:tcW w:type="dxa" w:w="751"/>
            <w:tcBorders>
              <w:top w:val="single" w:sz="4" w:space="0" w:color="DEE2E6"/>
              <w:left w:val="single" w:sz="4" w:space="0" w:color="DEE2E6"/>
              <w:bottom w:val="single" w:sz="4" w:space="0" w:color="DEE2E6"/>
              <w:right w:val="single" w:sz="4" w:space="0" w:color="DEE2E6"/>
            </w:tcBorders>
            <w:shd w:val="clear" w:fill="E9FAC8"/>
          </w:tcPr>
          <w:p>
            <w:pPr>
              <w:spacing w:before="40" w:after="40"/>
              <w:jc w:val="center"/>
            </w:pPr>
            <w:r>
              <w:rPr>
                <w:rFonts w:ascii="Calibri" w:hAnsi="Calibri" w:cs="Calibri"/>
                <w:b w:val="0"/>
                <w:i w:val="0"/>
                <w:color w:val="212529"/>
                <w:sz w:val="18"/>
              </w:rPr>
              <w:t>5</w:t>
            </w:r>
          </w:p>
        </w:tc>
        <w:tc>
          <w:tcPr>
            <w:tcW w:type="dxa" w:w="751"/>
            <w:tcBorders>
              <w:top w:val="single" w:sz="4" w:space="0" w:color="DEE2E6"/>
              <w:left w:val="single" w:sz="4" w:space="0" w:color="DEE2E6"/>
              <w:bottom w:val="single" w:sz="4" w:space="0" w:color="DEE2E6"/>
              <w:right w:val="single" w:sz="4" w:space="0" w:color="DEE2E6"/>
            </w:tcBorders>
            <w:shd w:val="clear" w:fill="E9FAC8"/>
          </w:tcPr>
          <w:p>
            <w:pPr>
              <w:spacing w:before="40" w:after="40"/>
              <w:jc w:val="center"/>
            </w:pPr>
            <w:r>
              <w:rPr>
                <w:rFonts w:ascii="Calibri" w:hAnsi="Calibri" w:cs="Calibri"/>
                <w:b w:val="0"/>
                <w:i w:val="0"/>
                <w:color w:val="212529"/>
                <w:sz w:val="18"/>
              </w:rPr>
              <w:t>4</w:t>
            </w:r>
          </w:p>
        </w:tc>
        <w:tc>
          <w:tcPr>
            <w:tcW w:type="dxa" w:w="1352"/>
            <w:tcBorders>
              <w:top w:val="single" w:sz="4" w:space="0" w:color="DEE2E6"/>
              <w:left w:val="single" w:sz="4" w:space="0" w:color="DEE2E6"/>
              <w:bottom w:val="single" w:sz="4" w:space="0" w:color="DEE2E6"/>
              <w:right w:val="single" w:sz="4" w:space="0" w:color="DEE2E6"/>
            </w:tcBorders>
            <w:shd w:val="clear" w:fill="E9FAC8"/>
          </w:tcPr>
          <w:p>
            <w:pPr>
              <w:spacing w:before="40" w:after="40"/>
              <w:jc w:val="center"/>
            </w:pPr>
            <w:r>
              <w:rPr>
                <w:rFonts w:ascii="Calibri" w:hAnsi="Calibri" w:cs="Calibri"/>
                <w:b w:val="0"/>
                <w:i w:val="0"/>
                <w:color w:val="212529"/>
                <w:sz w:val="18"/>
              </w:rPr>
              <w:t>4,25</w:t>
            </w:r>
          </w:p>
        </w:tc>
        <w:tc>
          <w:tcPr>
            <w:tcW w:type="dxa" w:w="5108"/>
            <w:tcBorders>
              <w:top w:val="single" w:sz="4" w:space="0" w:color="DEE2E6"/>
              <w:left w:val="single" w:sz="4" w:space="0" w:color="DEE2E6"/>
              <w:bottom w:val="single" w:sz="4" w:space="0" w:color="DEE2E6"/>
              <w:right w:val="single" w:sz="4" w:space="0" w:color="DEE2E6"/>
            </w:tcBorders>
            <w:shd w:val="clear" w:fill="E9FAC8"/>
          </w:tcPr>
          <w:p>
            <w:pPr>
              <w:spacing w:before="40" w:after="40"/>
            </w:pPr>
            <w:r>
              <w:rPr>
                <w:rFonts w:ascii="Calibri" w:hAnsi="Calibri" w:cs="Calibri"/>
                <w:b w:val="0"/>
                <w:i w:val="0"/>
                <w:color w:val="212529"/>
                <w:sz w:val="18"/>
              </w:rPr>
              <w:t>Périmètre fonctionnel volontairement réduit, sans recherche par contenu ni application mobile</w:t>
            </w:r>
          </w:p>
        </w:tc>
      </w:tr>
    </w:tbl>
    <w:p>
      <w:pPr>
        <w:spacing w:after="0"/>
      </w:pPr>
    </w:p>
    <w:p>
      <w:pPr>
        <w:spacing w:before="120" w:after="120"/>
        <w:jc w:val="both"/>
      </w:pPr>
      <w:r>
        <w:rPr>
          <w:rFonts w:ascii="Calibri" w:hAnsi="Calibri" w:cs="Calibri"/>
          <w:b w:val="0"/>
          <w:i w:val="0"/>
          <w:color w:val="212529"/>
          <w:sz w:val="20"/>
        </w:rPr>
        <w:t>La lecture du tableau n'est pas flatteuse pour le projet sur le plan fonctionnel, et c'est volontaire. Face à des acteurs qui indexent le contenu par apprentissage automatique, la surenchère de fonctionnalités est perdue d'avance. L'écart se joue ailleurs, sur le contrôle réel que l'utilisateur exerce sur la visibilité de ses médias, et sur la réversibilité technique du service.</w:t>
      </w:r>
    </w:p>
    <w:p>
      <w:r>
        <w:br w:type="page"/>
      </w:r>
    </w:p>
    <w:p>
      <w:pPr>
        <w:spacing w:before="240" w:after="100"/>
      </w:pPr>
      <w:r>
        <w:rPr>
          <w:rFonts w:ascii="Calibri" w:hAnsi="Calibri" w:cs="Calibri"/>
          <w:b/>
          <w:i w:val="0"/>
          <w:color w:val="1C7ED6"/>
          <w:sz w:val="26"/>
        </w:rPr>
        <w:t>3.  Gaps de marché identifiés</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751"/>
        <w:gridCol w:w="3906"/>
        <w:gridCol w:w="2103"/>
        <w:gridCol w:w="4356"/>
        <w:gridCol w:w="3906"/>
      </w:tblGrid>
      <w:tr>
        <w:trPr>
          <w:tblHeader/>
        </w:trPr>
        <w:tc>
          <w:tcPr>
            <w:tcW w:type="dxa" w:w="7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Réf.</w:t>
            </w:r>
          </w:p>
        </w:tc>
        <w:tc>
          <w:tcPr>
            <w:tcW w:type="dxa" w:w="390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Gap constaté</w:t>
            </w:r>
          </w:p>
        </w:tc>
        <w:tc>
          <w:tcPr>
            <w:tcW w:type="dxa" w:w="2103"/>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Chez qui</w:t>
            </w:r>
          </w:p>
        </w:tc>
        <w:tc>
          <w:tcPr>
            <w:tcW w:type="dxa" w:w="43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Conséquence pour l'utilisateur</w:t>
            </w:r>
          </w:p>
        </w:tc>
        <w:tc>
          <w:tcPr>
            <w:tcW w:type="dxa" w:w="390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Opportunité</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G1</w:t>
            </w:r>
          </w:p>
        </w:tc>
        <w:tc>
          <w:tcPr>
            <w:tcW w:type="dxa" w:w="39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La visibilité est portée par un lien de partage, pas par un état du média</w:t>
            </w:r>
          </w:p>
        </w:tc>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Google, Apple, Amazon</w:t>
            </w:r>
          </w:p>
        </w:tc>
        <w:tc>
          <w:tcPr>
            <w:tcW w:type="dxa" w:w="435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Un média partagé une fois reste accessible à qui détient le lien, même après oubli</w:t>
            </w:r>
          </w:p>
        </w:tc>
        <w:tc>
          <w:tcPr>
            <w:tcW w:type="dxa" w:w="39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Faire de la publication un état réversible, stocké et audité</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G2</w:t>
            </w:r>
          </w:p>
        </w:tc>
        <w:tc>
          <w:tcPr>
            <w:tcW w:type="dxa" w:w="390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Le passage du privé au public n'est ni groupé ni annulable simplement</w:t>
            </w:r>
          </w:p>
        </w:tc>
        <w:tc>
          <w:tcPr>
            <w:tcW w:type="dxa" w:w="210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Tous les acteurs grand public</w:t>
            </w:r>
          </w:p>
        </w:tc>
        <w:tc>
          <w:tcPr>
            <w:tcW w:type="dxa" w:w="435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L'utilisateur renonce à publier plutôt que de risquer une erreur</w:t>
            </w:r>
          </w:p>
        </w:tc>
        <w:tc>
          <w:tcPr>
            <w:tcW w:type="dxa" w:w="390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Publication et dépublication par lot, idempotentes</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G3</w:t>
            </w:r>
          </w:p>
        </w:tc>
        <w:tc>
          <w:tcPr>
            <w:tcW w:type="dxa" w:w="39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Aucune vitrine personnelle sans compte ni application</w:t>
            </w:r>
          </w:p>
        </w:tc>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Google, Apple, Amazon</w:t>
            </w:r>
          </w:p>
        </w:tc>
        <w:tc>
          <w:tcPr>
            <w:tcW w:type="dxa" w:w="435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Montrer son travail impose au visiteur de créer un compte ou d'installer une application</w:t>
            </w:r>
          </w:p>
        </w:tc>
        <w:tc>
          <w:tcPr>
            <w:tcW w:type="dxa" w:w="39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Profil public en page statique, indexable, servie par un CDN</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G4</w:t>
            </w:r>
          </w:p>
        </w:tc>
        <w:tc>
          <w:tcPr>
            <w:tcW w:type="dxa" w:w="390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Pas d'accès programmatique personnel à sa propre bibliothèque</w:t>
            </w:r>
          </w:p>
        </w:tc>
        <w:tc>
          <w:tcPr>
            <w:tcW w:type="dxa" w:w="2103"/>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Google, Apple, Amazon</w:t>
            </w:r>
          </w:p>
        </w:tc>
        <w:tc>
          <w:tcPr>
            <w:tcW w:type="dxa" w:w="435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L'utilisateur ne peut ni automatiser ni migrer sans outil tiers</w:t>
            </w:r>
          </w:p>
        </w:tc>
        <w:tc>
          <w:tcPr>
            <w:tcW w:type="dxa" w:w="3906"/>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Clé d'API personnelle, révocable et rotative</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G5</w:t>
            </w:r>
          </w:p>
        </w:tc>
        <w:tc>
          <w:tcPr>
            <w:tcW w:type="dxa" w:w="39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Souveraineté et réversibilité non démontrables</w:t>
            </w:r>
          </w:p>
        </w:tc>
        <w:tc>
          <w:tcPr>
            <w:tcW w:type="dxa" w:w="2103"/>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Tous sauf Immich</w:t>
            </w:r>
          </w:p>
        </w:tc>
        <w:tc>
          <w:tcPr>
            <w:tcW w:type="dxa" w:w="435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Aucune garantie sur la localisation ni sur la sortie des données</w:t>
            </w:r>
          </w:p>
        </w:tc>
        <w:tc>
          <w:tcPr>
            <w:tcW w:type="dxa" w:w="3906"/>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Hébergement européen, infrastructure reconstructible par le code</w:t>
            </w:r>
          </w:p>
        </w:tc>
      </w:tr>
    </w:tbl>
    <w:p>
      <w:pPr>
        <w:spacing w:after="0"/>
      </w:pPr>
    </w:p>
    <w:p>
      <w:pPr>
        <w:spacing w:before="240" w:after="100"/>
      </w:pPr>
      <w:r>
        <w:rPr>
          <w:rFonts w:ascii="Calibri" w:hAnsi="Calibri" w:cs="Calibri"/>
          <w:b/>
          <w:i w:val="0"/>
          <w:color w:val="1C7ED6"/>
          <w:sz w:val="26"/>
        </w:rPr>
        <w:t>4.  Trois killer features candidates</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751"/>
        <w:gridCol w:w="2554"/>
        <w:gridCol w:w="5108"/>
        <w:gridCol w:w="1201"/>
        <w:gridCol w:w="1352"/>
        <w:gridCol w:w="1502"/>
        <w:gridCol w:w="2554"/>
      </w:tblGrid>
      <w:tr>
        <w:trPr>
          <w:tblHeader/>
        </w:trPr>
        <w:tc>
          <w:tcPr>
            <w:tcW w:type="dxa" w:w="7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Réf.</w:t>
            </w:r>
          </w:p>
        </w:tc>
        <w:tc>
          <w:tcPr>
            <w:tcW w:type="dxa" w:w="2554"/>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Fonctionnalité proposée</w:t>
            </w:r>
          </w:p>
        </w:tc>
        <w:tc>
          <w:tcPr>
            <w:tcW w:type="dxa" w:w="5108"/>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Description</w:t>
            </w:r>
          </w:p>
        </w:tc>
        <w:tc>
          <w:tcPr>
            <w:tcW w:type="dxa" w:w="12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Gaps couverts</w:t>
            </w:r>
          </w:p>
        </w:tc>
        <w:tc>
          <w:tcPr>
            <w:tcW w:type="dxa" w:w="1352"/>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Faisabilité technique (0 à 10)</w:t>
            </w:r>
          </w:p>
        </w:tc>
        <w:tc>
          <w:tcPr>
            <w:tcW w:type="dxa" w:w="1502"/>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Effort estimé</w:t>
            </w:r>
          </w:p>
        </w:tc>
        <w:tc>
          <w:tcPr>
            <w:tcW w:type="dxa" w:w="2554"/>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Dépendances</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8"/>
              </w:rPr>
              <w:t>KF1</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Privé par défaut, publication explicite et réversible par lot</w:t>
            </w:r>
          </w:p>
        </w:tc>
        <w:tc>
          <w:tcPr>
            <w:tcW w:type="dxa" w:w="5108"/>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Tout média déposé reste invisible tant que son propriétaire ne le publie pas. La publication est un état daté porté par la ligne, activable et révocable par lot de 200 éléments, avec qualification des échecs élément par élément.</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G1, G2</w:t>
            </w:r>
          </w:p>
        </w:tc>
        <w:tc>
          <w:tcPr>
            <w:tcW w:type="dxa" w:w="135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9</w:t>
            </w:r>
          </w:p>
        </w:tc>
        <w:tc>
          <w:tcPr>
            <w:tcW w:type="dxa" w:w="150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12 j-h · 6 000 €</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Modèle de données (Annexe E), API de bibliothèque (Annexe Q), séquence de publication (Annexe I.2)</w:t>
            </w:r>
          </w:p>
        </w:tc>
      </w:tr>
      <w:tr>
        <w:tc>
          <w:tcPr>
            <w:tcW w:type="dxa" w:w="7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i w:val="0"/>
                <w:color w:val="212529"/>
                <w:sz w:val="18"/>
              </w:rPr>
              <w:t>KF2</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Profil public en page statique servie par CDN</w:t>
            </w:r>
          </w:p>
        </w:tc>
        <w:tc>
          <w:tcPr>
            <w:tcW w:type="dxa" w:w="5108"/>
            <w:tcBorders>
              <w:top w:val="single" w:sz="4" w:space="0" w:color="DEE2E6"/>
              <w:left w:val="single" w:sz="4" w:space="0" w:color="DEE2E6"/>
              <w:bottom w:val="single" w:sz="4" w:space="0" w:color="DEE2E6"/>
              <w:right w:val="single" w:sz="4" w:space="0" w:color="DEE2E6"/>
            </w:tcBorders>
            <w:shd w:val="clear" w:fill="F8F9FA"/>
          </w:tcPr>
          <w:p>
            <w:pPr>
              <w:spacing w:before="40" w:after="40"/>
              <w:jc w:val="both"/>
            </w:pPr>
            <w:r>
              <w:rPr>
                <w:rFonts w:ascii="Calibri" w:hAnsi="Calibri" w:cs="Calibri"/>
                <w:b w:val="0"/>
                <w:i w:val="0"/>
                <w:color w:val="212529"/>
                <w:sz w:val="18"/>
              </w:rPr>
              <w:t>Le profil public est exporté sans exécution serveur et diffusé depuis un CDN. Il reste consultable sans compte, indexable, et son coût de diffusion est décorrélé du nombre de visiteurs.</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G3, G5</w:t>
            </w:r>
          </w:p>
        </w:tc>
        <w:tc>
          <w:tcPr>
            <w:tcW w:type="dxa" w:w="1352"/>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7</w:t>
            </w:r>
          </w:p>
        </w:tc>
        <w:tc>
          <w:tcPr>
            <w:tcW w:type="dxa" w:w="1502"/>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9 j-h · 4 500 €</w:t>
            </w:r>
          </w:p>
        </w:tc>
        <w:tc>
          <w:tcPr>
            <w:tcW w:type="dxa" w:w="255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Export statique Next.js, distribution CloudFront, contrainte d'adressage /u/?u=pseudo</w:t>
            </w:r>
          </w:p>
        </w:tc>
      </w:tr>
      <w:tr>
        <w:tc>
          <w:tcPr>
            <w:tcW w:type="dxa" w:w="7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i w:val="0"/>
                <w:color w:val="212529"/>
                <w:sz w:val="18"/>
              </w:rPr>
              <w:t>KF3</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Clé d'API personnelle, rotative et révocable</w:t>
            </w:r>
          </w:p>
        </w:tc>
        <w:tc>
          <w:tcPr>
            <w:tcW w:type="dxa" w:w="5108"/>
            <w:tcBorders>
              <w:top w:val="single" w:sz="4" w:space="0" w:color="DEE2E6"/>
              <w:left w:val="single" w:sz="4" w:space="0" w:color="DEE2E6"/>
              <w:bottom w:val="single" w:sz="4" w:space="0" w:color="DEE2E6"/>
              <w:right w:val="single" w:sz="4" w:space="0" w:color="DEE2E6"/>
            </w:tcBorders>
          </w:tcPr>
          <w:p>
            <w:pPr>
              <w:spacing w:before="40" w:after="40"/>
              <w:jc w:val="both"/>
            </w:pPr>
            <w:r>
              <w:rPr>
                <w:rFonts w:ascii="Calibri" w:hAnsi="Calibri" w:cs="Calibri"/>
                <w:b w:val="0"/>
                <w:i w:val="0"/>
                <w:color w:val="212529"/>
                <w:sz w:val="18"/>
              </w:rPr>
              <w:t>Chaque membre dispose d'une clé propre pour accéder à sa bibliothèque par programme, avec génération, rotation et révocation immédiates, et unicité garantie par index partiel.</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G4, G5</w:t>
            </w:r>
          </w:p>
        </w:tc>
        <w:tc>
          <w:tcPr>
            <w:tcW w:type="dxa" w:w="135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8</w:t>
            </w:r>
          </w:p>
        </w:tc>
        <w:tc>
          <w:tcPr>
            <w:tcW w:type="dxa" w:w="1502"/>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6 j-h · 3 000 €</w:t>
            </w:r>
          </w:p>
        </w:tc>
        <w:tc>
          <w:tcPr>
            <w:tcW w:type="dxa" w:w="255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Stratégie d'authentification (Annexe H), contrat d'interface (Annexe Q)</w:t>
            </w:r>
          </w:p>
        </w:tc>
      </w:tr>
    </w:tbl>
    <w:p>
      <w:pPr>
        <w:spacing w:after="0"/>
      </w:pPr>
    </w:p>
    <w:p>
      <w:r>
        <w:br w:type="page"/>
      </w:r>
    </w:p>
    <w:p>
      <w:pPr>
        <w:spacing w:before="240" w:after="100"/>
      </w:pPr>
      <w:r>
        <w:rPr>
          <w:rFonts w:ascii="Calibri" w:hAnsi="Calibri" w:cs="Calibri"/>
          <w:b/>
          <w:i w:val="0"/>
          <w:color w:val="1C7ED6"/>
          <w:sz w:val="26"/>
        </w:rPr>
        <w:t>5.  Analyse SWOT de chaque killer feature</w:t>
      </w:r>
    </w:p>
    <w:p>
      <w:pPr>
        <w:spacing w:before="0" w:after="60"/>
        <w:jc w:val="both"/>
      </w:pPr>
      <w:r>
        <w:rPr>
          <w:rFonts w:ascii="Calibri" w:hAnsi="Calibri" w:cs="Calibri"/>
          <w:b/>
          <w:i w:val="0"/>
          <w:color w:val="212529"/>
          <w:sz w:val="21"/>
        </w:rPr>
        <w:t>KF1  Privé par défaut, publication explicite et réversible par lot</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Forces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Faiblesses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Opportunités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Menaces</w:t>
            </w:r>
          </w:p>
        </w:tc>
      </w:tr>
      <w:tr>
        <w:tc>
          <w:tcPr>
            <w:tcW w:type="dxa" w:w="3756"/>
            <w:tcBorders>
              <w:top w:val="single" w:sz="4" w:space="0" w:color="DEE2E6"/>
              <w:left w:val="single" w:sz="4" w:space="0" w:color="DEE2E6"/>
              <w:bottom w:val="single" w:sz="4" w:space="0" w:color="DEE2E6"/>
              <w:right w:val="single" w:sz="4" w:space="0" w:color="DEE2E6"/>
            </w:tcBorders>
            <w:shd w:val="clear" w:fill="E9FAC8"/>
          </w:tcPr>
          <w:p>
            <w:pPr>
              <w:spacing w:before="40" w:after="40"/>
              <w:jc w:val="both"/>
            </w:pPr>
            <w:r>
              <w:rPr>
                <w:rFonts w:ascii="Calibri" w:hAnsi="Calibri" w:cs="Calibri"/>
                <w:b w:val="0"/>
                <w:i w:val="0"/>
                <w:color w:val="212529"/>
                <w:sz w:val="18"/>
              </w:rPr>
              <w:t>Répond à une inquiétude réelle et documentée sur la maîtrise de la visibilité. Se traduit par une règle simple, énonçable en une phrase. Coût d'implémentation faible, la visibilité étant un simple horodatage sur la ligne.</w:t>
            </w:r>
          </w:p>
        </w:tc>
        <w:tc>
          <w:tcPr>
            <w:tcW w:type="dxa" w:w="3756"/>
            <w:tcBorders>
              <w:top w:val="single" w:sz="4" w:space="0" w:color="DEE2E6"/>
              <w:left w:val="single" w:sz="4" w:space="0" w:color="DEE2E6"/>
              <w:bottom w:val="single" w:sz="4" w:space="0" w:color="DEE2E6"/>
              <w:right w:val="single" w:sz="4" w:space="0" w:color="DEE2E6"/>
            </w:tcBorders>
            <w:shd w:val="clear" w:fill="FFE3E3"/>
          </w:tcPr>
          <w:p>
            <w:pPr>
              <w:spacing w:before="40" w:after="40"/>
              <w:jc w:val="both"/>
            </w:pPr>
            <w:r>
              <w:rPr>
                <w:rFonts w:ascii="Calibri" w:hAnsi="Calibri" w:cs="Calibri"/>
                <w:b w:val="0"/>
                <w:i w:val="0"/>
                <w:color w:val="212529"/>
                <w:sz w:val="18"/>
              </w:rPr>
              <w:t>N'apporte aucune fonctionnalité visible tant que l'utilisateur n'a rien déposé. Difficile à démontrer en capture d'écran, l'absence de fuite ne se voit pas.</w:t>
            </w:r>
          </w:p>
        </w:tc>
        <w:tc>
          <w:tcPr>
            <w:tcW w:type="dxa" w:w="3756"/>
            <w:tcBorders>
              <w:top w:val="single" w:sz="4" w:space="0" w:color="DEE2E6"/>
              <w:left w:val="single" w:sz="4" w:space="0" w:color="DEE2E6"/>
              <w:bottom w:val="single" w:sz="4" w:space="0" w:color="DEE2E6"/>
              <w:right w:val="single" w:sz="4" w:space="0" w:color="DEE2E6"/>
            </w:tcBorders>
            <w:shd w:val="clear" w:fill="D0EBFF"/>
          </w:tcPr>
          <w:p>
            <w:pPr>
              <w:spacing w:before="40" w:after="40"/>
              <w:jc w:val="both"/>
            </w:pPr>
            <w:r>
              <w:rPr>
                <w:rFonts w:ascii="Calibri" w:hAnsi="Calibri" w:cs="Calibri"/>
                <w:b w:val="0"/>
                <w:i w:val="0"/>
                <w:color w:val="212529"/>
                <w:sz w:val="18"/>
              </w:rPr>
              <w:t>Aligne le produit sur le RGPD et sur la minimisation, ce qui sert aussi la conformité. Permet un discours produit clair face à des acteurs dont le modèle de visibilité est confus.</w:t>
            </w:r>
          </w:p>
        </w:tc>
        <w:tc>
          <w:tcPr>
            <w:tcW w:type="dxa" w:w="3756"/>
            <w:tcBorders>
              <w:top w:val="single" w:sz="4" w:space="0" w:color="DEE2E6"/>
              <w:left w:val="single" w:sz="4" w:space="0" w:color="DEE2E6"/>
              <w:bottom w:val="single" w:sz="4" w:space="0" w:color="DEE2E6"/>
              <w:right w:val="single" w:sz="4" w:space="0" w:color="DEE2E6"/>
            </w:tcBorders>
            <w:shd w:val="clear" w:fill="FFF3BF"/>
          </w:tcPr>
          <w:p>
            <w:pPr>
              <w:spacing w:before="40" w:after="40"/>
              <w:jc w:val="both"/>
            </w:pPr>
            <w:r>
              <w:rPr>
                <w:rFonts w:ascii="Calibri" w:hAnsi="Calibri" w:cs="Calibri"/>
                <w:b w:val="0"/>
                <w:i w:val="0"/>
                <w:color w:val="212529"/>
                <w:sz w:val="18"/>
              </w:rPr>
              <w:t>Un concurrent peut annoncer la même promesse sans la tenir techniquement. La promesse engage, une seule fuite la détruit.</w:t>
            </w:r>
          </w:p>
        </w:tc>
      </w:tr>
    </w:tbl>
    <w:p>
      <w:pPr>
        <w:spacing w:after="0"/>
      </w:pPr>
    </w:p>
    <w:p>
      <w:pPr>
        <w:spacing w:before="0" w:after="60"/>
        <w:jc w:val="both"/>
      </w:pPr>
      <w:r>
        <w:rPr>
          <w:rFonts w:ascii="Calibri" w:hAnsi="Calibri" w:cs="Calibri"/>
          <w:b/>
          <w:i w:val="0"/>
          <w:color w:val="212529"/>
          <w:sz w:val="21"/>
        </w:rPr>
        <w:t>KF2  Profil public en page statique servie par CDN</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Forces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Faiblesses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Opportunités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Menaces</w:t>
            </w:r>
          </w:p>
        </w:tc>
      </w:tr>
      <w:tr>
        <w:tc>
          <w:tcPr>
            <w:tcW w:type="dxa" w:w="3756"/>
            <w:tcBorders>
              <w:top w:val="single" w:sz="4" w:space="0" w:color="DEE2E6"/>
              <w:left w:val="single" w:sz="4" w:space="0" w:color="DEE2E6"/>
              <w:bottom w:val="single" w:sz="4" w:space="0" w:color="DEE2E6"/>
              <w:right w:val="single" w:sz="4" w:space="0" w:color="DEE2E6"/>
            </w:tcBorders>
            <w:shd w:val="clear" w:fill="E9FAC8"/>
          </w:tcPr>
          <w:p>
            <w:pPr>
              <w:spacing w:before="40" w:after="40"/>
              <w:jc w:val="both"/>
            </w:pPr>
            <w:r>
              <w:rPr>
                <w:rFonts w:ascii="Calibri" w:hAnsi="Calibri" w:cs="Calibri"/>
                <w:b w:val="0"/>
                <w:i w:val="0"/>
                <w:color w:val="212529"/>
                <w:sz w:val="18"/>
              </w:rPr>
              <w:t>Coût de diffusion quasi nul et indépendant du trafic. Temps d'affichage très court. Aucune surface d'exécution exposée, donc surface d'attaque réduite.</w:t>
            </w:r>
          </w:p>
        </w:tc>
        <w:tc>
          <w:tcPr>
            <w:tcW w:type="dxa" w:w="3756"/>
            <w:tcBorders>
              <w:top w:val="single" w:sz="4" w:space="0" w:color="DEE2E6"/>
              <w:left w:val="single" w:sz="4" w:space="0" w:color="DEE2E6"/>
              <w:bottom w:val="single" w:sz="4" w:space="0" w:color="DEE2E6"/>
              <w:right w:val="single" w:sz="4" w:space="0" w:color="DEE2E6"/>
            </w:tcBorders>
            <w:shd w:val="clear" w:fill="FFE3E3"/>
          </w:tcPr>
          <w:p>
            <w:pPr>
              <w:spacing w:before="40" w:after="40"/>
              <w:jc w:val="both"/>
            </w:pPr>
            <w:r>
              <w:rPr>
                <w:rFonts w:ascii="Calibri" w:hAnsi="Calibri" w:cs="Calibri"/>
                <w:b w:val="0"/>
                <w:i w:val="0"/>
                <w:color w:val="212529"/>
                <w:sz w:val="18"/>
              </w:rPr>
              <w:t>Contraint l'adressage du profil à une forme /u/?u=pseudo, moins lisible qu'un chemin. Fraîcheur du contenu dépendante de l'invalidation du cache.</w:t>
            </w:r>
          </w:p>
        </w:tc>
        <w:tc>
          <w:tcPr>
            <w:tcW w:type="dxa" w:w="3756"/>
            <w:tcBorders>
              <w:top w:val="single" w:sz="4" w:space="0" w:color="DEE2E6"/>
              <w:left w:val="single" w:sz="4" w:space="0" w:color="DEE2E6"/>
              <w:bottom w:val="single" w:sz="4" w:space="0" w:color="DEE2E6"/>
              <w:right w:val="single" w:sz="4" w:space="0" w:color="DEE2E6"/>
            </w:tcBorders>
            <w:shd w:val="clear" w:fill="D0EBFF"/>
          </w:tcPr>
          <w:p>
            <w:pPr>
              <w:spacing w:before="40" w:after="40"/>
              <w:jc w:val="both"/>
            </w:pPr>
            <w:r>
              <w:rPr>
                <w:rFonts w:ascii="Calibri" w:hAnsi="Calibri" w:cs="Calibri"/>
                <w:b w:val="0"/>
                <w:i w:val="0"/>
                <w:color w:val="212529"/>
                <w:sz w:val="18"/>
              </w:rPr>
              <w:t>Ouvre l'indexation par les moteurs de recherche, donc une acquisition sans coût publicitaire. Démontre une compétence d'architecture rarement mise en œuvre à cette échelle.</w:t>
            </w:r>
          </w:p>
        </w:tc>
        <w:tc>
          <w:tcPr>
            <w:tcW w:type="dxa" w:w="3756"/>
            <w:tcBorders>
              <w:top w:val="single" w:sz="4" w:space="0" w:color="DEE2E6"/>
              <w:left w:val="single" w:sz="4" w:space="0" w:color="DEE2E6"/>
              <w:bottom w:val="single" w:sz="4" w:space="0" w:color="DEE2E6"/>
              <w:right w:val="single" w:sz="4" w:space="0" w:color="DEE2E6"/>
            </w:tcBorders>
            <w:shd w:val="clear" w:fill="FFF3BF"/>
          </w:tcPr>
          <w:p>
            <w:pPr>
              <w:spacing w:before="40" w:after="40"/>
              <w:jc w:val="both"/>
            </w:pPr>
            <w:r>
              <w:rPr>
                <w:rFonts w:ascii="Calibri" w:hAnsi="Calibri" w:cs="Calibri"/>
                <w:b w:val="0"/>
                <w:i w:val="0"/>
                <w:color w:val="212529"/>
                <w:sz w:val="18"/>
              </w:rPr>
              <w:t>Une évolution du cadre de l'export statique du framework peut casser la chaîne. Le compromis d'adressage peut être jugé sévèrement par un utilisateur non technique.</w:t>
            </w:r>
          </w:p>
        </w:tc>
      </w:tr>
    </w:tbl>
    <w:p>
      <w:pPr>
        <w:spacing w:after="0"/>
      </w:pPr>
    </w:p>
    <w:p>
      <w:pPr>
        <w:spacing w:before="0" w:after="60"/>
        <w:jc w:val="both"/>
      </w:pPr>
      <w:r>
        <w:rPr>
          <w:rFonts w:ascii="Calibri" w:hAnsi="Calibri" w:cs="Calibri"/>
          <w:b/>
          <w:i w:val="0"/>
          <w:color w:val="212529"/>
          <w:sz w:val="21"/>
        </w:rPr>
        <w:t>KF3  Clé d'API personnelle, rotative et révocable</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3756"/>
        <w:gridCol w:w="3756"/>
        <w:gridCol w:w="3756"/>
        <w:gridCol w:w="3756"/>
      </w:tblGrid>
      <w:tr>
        <w:trPr>
          <w:tblHeader/>
        </w:trPr>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Forces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Faiblesses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Opportunités</w:t>
            </w:r>
          </w:p>
        </w:tc>
        <w:tc>
          <w:tcPr>
            <w:tcW w:type="dxa" w:w="3756"/>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Menaces</w:t>
            </w:r>
          </w:p>
        </w:tc>
      </w:tr>
      <w:tr>
        <w:tc>
          <w:tcPr>
            <w:tcW w:type="dxa" w:w="3756"/>
            <w:tcBorders>
              <w:top w:val="single" w:sz="4" w:space="0" w:color="DEE2E6"/>
              <w:left w:val="single" w:sz="4" w:space="0" w:color="DEE2E6"/>
              <w:bottom w:val="single" w:sz="4" w:space="0" w:color="DEE2E6"/>
              <w:right w:val="single" w:sz="4" w:space="0" w:color="DEE2E6"/>
            </w:tcBorders>
            <w:shd w:val="clear" w:fill="E9FAC8"/>
          </w:tcPr>
          <w:p>
            <w:pPr>
              <w:spacing w:before="40" w:after="40"/>
              <w:jc w:val="both"/>
            </w:pPr>
            <w:r>
              <w:rPr>
                <w:rFonts w:ascii="Calibri" w:hAnsi="Calibri" w:cs="Calibri"/>
                <w:b w:val="0"/>
                <w:i w:val="0"/>
                <w:color w:val="212529"/>
                <w:sz w:val="18"/>
              </w:rPr>
              <w:t>Réversibilité démontrable, l'utilisateur peut sortir ses données par lui-même. Faible coût, l'ossature d'authentification existant déjà.</w:t>
            </w:r>
          </w:p>
        </w:tc>
        <w:tc>
          <w:tcPr>
            <w:tcW w:type="dxa" w:w="3756"/>
            <w:tcBorders>
              <w:top w:val="single" w:sz="4" w:space="0" w:color="DEE2E6"/>
              <w:left w:val="single" w:sz="4" w:space="0" w:color="DEE2E6"/>
              <w:bottom w:val="single" w:sz="4" w:space="0" w:color="DEE2E6"/>
              <w:right w:val="single" w:sz="4" w:space="0" w:color="DEE2E6"/>
            </w:tcBorders>
            <w:shd w:val="clear" w:fill="FFE3E3"/>
          </w:tcPr>
          <w:p>
            <w:pPr>
              <w:spacing w:before="40" w:after="40"/>
              <w:jc w:val="both"/>
            </w:pPr>
            <w:r>
              <w:rPr>
                <w:rFonts w:ascii="Calibri" w:hAnsi="Calibri" w:cs="Calibri"/>
                <w:b w:val="0"/>
                <w:i w:val="0"/>
                <w:color w:val="212529"/>
                <w:sz w:val="18"/>
              </w:rPr>
              <w:t>Concerne une minorité d'utilisateurs. Élargit la surface d'attaque en créant un second chemin d'authentification.</w:t>
            </w:r>
          </w:p>
        </w:tc>
        <w:tc>
          <w:tcPr>
            <w:tcW w:type="dxa" w:w="3756"/>
            <w:tcBorders>
              <w:top w:val="single" w:sz="4" w:space="0" w:color="DEE2E6"/>
              <w:left w:val="single" w:sz="4" w:space="0" w:color="DEE2E6"/>
              <w:bottom w:val="single" w:sz="4" w:space="0" w:color="DEE2E6"/>
              <w:right w:val="single" w:sz="4" w:space="0" w:color="DEE2E6"/>
            </w:tcBorders>
            <w:shd w:val="clear" w:fill="D0EBFF"/>
          </w:tcPr>
          <w:p>
            <w:pPr>
              <w:spacing w:before="40" w:after="40"/>
              <w:jc w:val="both"/>
            </w:pPr>
            <w:r>
              <w:rPr>
                <w:rFonts w:ascii="Calibri" w:hAnsi="Calibri" w:cs="Calibri"/>
                <w:b w:val="0"/>
                <w:i w:val="0"/>
                <w:color w:val="212529"/>
                <w:sz w:val="18"/>
              </w:rPr>
              <w:t>Répond au règlement européen sur les données et à l'exigence de portabilité. Ouvre un usage automatisé et des intégrations tierces.</w:t>
            </w:r>
          </w:p>
        </w:tc>
        <w:tc>
          <w:tcPr>
            <w:tcW w:type="dxa" w:w="3756"/>
            <w:tcBorders>
              <w:top w:val="single" w:sz="4" w:space="0" w:color="DEE2E6"/>
              <w:left w:val="single" w:sz="4" w:space="0" w:color="DEE2E6"/>
              <w:bottom w:val="single" w:sz="4" w:space="0" w:color="DEE2E6"/>
              <w:right w:val="single" w:sz="4" w:space="0" w:color="DEE2E6"/>
            </w:tcBorders>
            <w:shd w:val="clear" w:fill="FFF3BF"/>
          </w:tcPr>
          <w:p>
            <w:pPr>
              <w:spacing w:before="40" w:after="40"/>
              <w:jc w:val="both"/>
            </w:pPr>
            <w:r>
              <w:rPr>
                <w:rFonts w:ascii="Calibri" w:hAnsi="Calibri" w:cs="Calibri"/>
                <w:b w:val="0"/>
                <w:i w:val="0"/>
                <w:color w:val="212529"/>
                <w:sz w:val="18"/>
              </w:rPr>
              <w:t>Une clé fuitée donne un accès durable si la révocation n'est pas immédiate. Impose une limitation de débit dédiée.</w:t>
            </w:r>
          </w:p>
        </w:tc>
      </w:tr>
    </w:tbl>
    <w:p>
      <w:pPr>
        <w:spacing w:after="0"/>
      </w:pPr>
    </w:p>
    <w:p>
      <w:pPr>
        <w:spacing w:before="240" w:after="100"/>
      </w:pPr>
      <w:r>
        <w:rPr>
          <w:rFonts w:ascii="Calibri" w:hAnsi="Calibri" w:cs="Calibri"/>
          <w:b/>
          <w:i w:val="0"/>
          <w:color w:val="1C7ED6"/>
          <w:sz w:val="26"/>
        </w:rPr>
        <w:t>6.  Matrice de décision pondérée</w:t>
      </w:r>
    </w:p>
    <w:p>
      <w:pPr>
        <w:spacing w:before="0" w:after="120"/>
        <w:jc w:val="both"/>
      </w:pPr>
      <w:r>
        <w:rPr>
          <w:rFonts w:ascii="Calibri" w:hAnsi="Calibri" w:cs="Calibri"/>
          <w:b w:val="0"/>
          <w:i w:val="0"/>
          <w:color w:val="212529"/>
          <w:sz w:val="20"/>
        </w:rPr>
        <w:t>Quatre critères pondérés, notés de 1 à 5. Le score est la somme des notes multipliées par leur poids, ramenée sur 5.</w:t>
      </w:r>
    </w:p>
    <w:tbl>
      <w:tblPr>
        <w:tblW w:type="auto" w:w="0"/>
        <w:jc w:val="center"/>
        <w:tblLayout w:type="fixed"/>
        <w:tblLook w:firstColumn="1" w:firstRow="1" w:lastColumn="0" w:lastRow="0" w:noHBand="0" w:noVBand="1" w:val="04A0"/>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Pr>
      <w:tblGrid>
        <w:gridCol w:w="2704"/>
        <w:gridCol w:w="901"/>
        <w:gridCol w:w="1051"/>
        <w:gridCol w:w="1201"/>
        <w:gridCol w:w="1051"/>
        <w:gridCol w:w="1201"/>
        <w:gridCol w:w="1051"/>
        <w:gridCol w:w="1201"/>
        <w:gridCol w:w="4657"/>
      </w:tblGrid>
      <w:tr>
        <w:trPr>
          <w:tblHeader/>
        </w:trPr>
        <w:tc>
          <w:tcPr>
            <w:tcW w:type="dxa" w:w="2704"/>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Critère</w:t>
            </w:r>
          </w:p>
        </w:tc>
        <w:tc>
          <w:tcPr>
            <w:tcW w:type="dxa" w:w="9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Poids</w:t>
            </w:r>
          </w:p>
        </w:tc>
        <w:tc>
          <w:tcPr>
            <w:tcW w:type="dxa" w:w="10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KF1 note</w:t>
            </w:r>
          </w:p>
        </w:tc>
        <w:tc>
          <w:tcPr>
            <w:tcW w:type="dxa" w:w="12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KF1 pondéré</w:t>
            </w:r>
          </w:p>
        </w:tc>
        <w:tc>
          <w:tcPr>
            <w:tcW w:type="dxa" w:w="10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KF2 note</w:t>
            </w:r>
          </w:p>
        </w:tc>
        <w:tc>
          <w:tcPr>
            <w:tcW w:type="dxa" w:w="12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KF2 pondéré</w:t>
            </w:r>
          </w:p>
        </w:tc>
        <w:tc>
          <w:tcPr>
            <w:tcW w:type="dxa" w:w="105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KF3 note</w:t>
            </w:r>
          </w:p>
        </w:tc>
        <w:tc>
          <w:tcPr>
            <w:tcW w:type="dxa" w:w="1201"/>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KF3 pondéré</w:t>
            </w:r>
          </w:p>
        </w:tc>
        <w:tc>
          <w:tcPr>
            <w:tcW w:type="dxa" w:w="4657"/>
            <w:tcBorders>
              <w:top w:val="single" w:sz="4" w:space="0" w:color="DEE2E6"/>
              <w:left w:val="single" w:sz="4" w:space="0" w:color="DEE2E6"/>
              <w:bottom w:val="single" w:sz="4" w:space="0" w:color="DEE2E6"/>
              <w:right w:val="single" w:sz="4" w:space="0" w:color="DEE2E6"/>
            </w:tcBorders>
            <w:shd w:val="clear" w:fill="495057"/>
          </w:tcPr>
          <w:p>
            <w:pPr>
              <w:spacing w:before="40" w:after="40"/>
              <w:jc w:val="center"/>
            </w:pPr>
            <w:r>
              <w:rPr>
                <w:rFonts w:ascii="Calibri" w:hAnsi="Calibri" w:cs="Calibri"/>
                <w:b/>
                <w:i w:val="0"/>
                <w:color w:val="FFFFFF"/>
                <w:sz w:val="18"/>
              </w:rPr>
              <w:t>Ce que le critère mesure</w:t>
            </w:r>
          </w:p>
        </w:tc>
      </w:tr>
      <w:tr>
        <w:tc>
          <w:tcPr>
            <w:tcW w:type="dxa" w:w="270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Faisabilité technique</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30 %</w:t>
            </w:r>
          </w:p>
        </w:tc>
        <w:tc>
          <w:tcPr>
            <w:tcW w:type="dxa" w:w="10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5</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1,50</w:t>
            </w:r>
          </w:p>
        </w:tc>
        <w:tc>
          <w:tcPr>
            <w:tcW w:type="dxa" w:w="10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1,20</w:t>
            </w:r>
          </w:p>
        </w:tc>
        <w:tc>
          <w:tcPr>
            <w:tcW w:type="dxa" w:w="10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1,20</w:t>
            </w:r>
          </w:p>
        </w:tc>
        <w:tc>
          <w:tcPr>
            <w:tcW w:type="dxa" w:w="4657"/>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Distance aux compétences maîtrisées et au socle déjà en place</w:t>
            </w:r>
          </w:p>
        </w:tc>
      </w:tr>
      <w:tr>
        <w:tc>
          <w:tcPr>
            <w:tcW w:type="dxa" w:w="270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Valeur pour l'utilisateur</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35 %</w:t>
            </w:r>
          </w:p>
        </w:tc>
        <w:tc>
          <w:tcPr>
            <w:tcW w:type="dxa" w:w="10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5</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1,75</w:t>
            </w:r>
          </w:p>
        </w:tc>
        <w:tc>
          <w:tcPr>
            <w:tcW w:type="dxa" w:w="10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1,05</w:t>
            </w:r>
          </w:p>
        </w:tc>
        <w:tc>
          <w:tcPr>
            <w:tcW w:type="dxa" w:w="10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2</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0,70</w:t>
            </w:r>
          </w:p>
        </w:tc>
        <w:tc>
          <w:tcPr>
            <w:tcW w:type="dxa" w:w="4657"/>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Ampleur du gap comblé, rapportée au public visé</w:t>
            </w:r>
          </w:p>
        </w:tc>
      </w:tr>
      <w:tr>
        <w:tc>
          <w:tcPr>
            <w:tcW w:type="dxa" w:w="2704"/>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i w:val="0"/>
                <w:color w:val="212529"/>
                <w:sz w:val="18"/>
              </w:rPr>
              <w:t>Innovation et différenciation</w:t>
            </w:r>
          </w:p>
        </w:tc>
        <w:tc>
          <w:tcPr>
            <w:tcW w:type="dxa" w:w="9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20 %</w:t>
            </w:r>
          </w:p>
        </w:tc>
        <w:tc>
          <w:tcPr>
            <w:tcW w:type="dxa" w:w="10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0,80</w:t>
            </w:r>
          </w:p>
        </w:tc>
        <w:tc>
          <w:tcPr>
            <w:tcW w:type="dxa" w:w="10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4</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0,80</w:t>
            </w:r>
          </w:p>
        </w:tc>
        <w:tc>
          <w:tcPr>
            <w:tcW w:type="dxa" w:w="105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3</w:t>
            </w:r>
          </w:p>
        </w:tc>
        <w:tc>
          <w:tcPr>
            <w:tcW w:type="dxa" w:w="1201"/>
            <w:tcBorders>
              <w:top w:val="single" w:sz="4" w:space="0" w:color="DEE2E6"/>
              <w:left w:val="single" w:sz="4" w:space="0" w:color="DEE2E6"/>
              <w:bottom w:val="single" w:sz="4" w:space="0" w:color="DEE2E6"/>
              <w:right w:val="single" w:sz="4" w:space="0" w:color="DEE2E6"/>
            </w:tcBorders>
          </w:tcPr>
          <w:p>
            <w:pPr>
              <w:spacing w:before="40" w:after="40"/>
              <w:jc w:val="center"/>
            </w:pPr>
            <w:r>
              <w:rPr>
                <w:rFonts w:ascii="Calibri" w:hAnsi="Calibri" w:cs="Calibri"/>
                <w:b w:val="0"/>
                <w:i w:val="0"/>
                <w:color w:val="212529"/>
                <w:sz w:val="18"/>
              </w:rPr>
              <w:t>0,60</w:t>
            </w:r>
          </w:p>
        </w:tc>
        <w:tc>
          <w:tcPr>
            <w:tcW w:type="dxa" w:w="4657"/>
            <w:tcBorders>
              <w:top w:val="single" w:sz="4" w:space="0" w:color="DEE2E6"/>
              <w:left w:val="single" w:sz="4" w:space="0" w:color="DEE2E6"/>
              <w:bottom w:val="single" w:sz="4" w:space="0" w:color="DEE2E6"/>
              <w:right w:val="single" w:sz="4" w:space="0" w:color="DEE2E6"/>
            </w:tcBorders>
          </w:tcPr>
          <w:p>
            <w:pPr>
              <w:spacing w:before="40" w:after="40"/>
            </w:pPr>
            <w:r>
              <w:rPr>
                <w:rFonts w:ascii="Calibri" w:hAnsi="Calibri" w:cs="Calibri"/>
                <w:b w:val="0"/>
                <w:i w:val="0"/>
                <w:color w:val="212529"/>
                <w:sz w:val="18"/>
              </w:rPr>
              <w:t>Écart réel avec ce que proposent les acteurs comparés</w:t>
            </w:r>
          </w:p>
        </w:tc>
      </w:tr>
      <w:tr>
        <w:tc>
          <w:tcPr>
            <w:tcW w:type="dxa" w:w="2704"/>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i w:val="0"/>
                <w:color w:val="212529"/>
                <w:sz w:val="18"/>
              </w:rPr>
              <w:t>Temps de mise en œuvre</w:t>
            </w:r>
          </w:p>
        </w:tc>
        <w:tc>
          <w:tcPr>
            <w:tcW w:type="dxa" w:w="9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15 %</w:t>
            </w:r>
          </w:p>
        </w:tc>
        <w:tc>
          <w:tcPr>
            <w:tcW w:type="dxa" w:w="10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5</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0,75</w:t>
            </w:r>
          </w:p>
        </w:tc>
        <w:tc>
          <w:tcPr>
            <w:tcW w:type="dxa" w:w="10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3</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0,45</w:t>
            </w:r>
          </w:p>
        </w:tc>
        <w:tc>
          <w:tcPr>
            <w:tcW w:type="dxa" w:w="105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4</w:t>
            </w:r>
          </w:p>
        </w:tc>
        <w:tc>
          <w:tcPr>
            <w:tcW w:type="dxa" w:w="1201"/>
            <w:tcBorders>
              <w:top w:val="single" w:sz="4" w:space="0" w:color="DEE2E6"/>
              <w:left w:val="single" w:sz="4" w:space="0" w:color="DEE2E6"/>
              <w:bottom w:val="single" w:sz="4" w:space="0" w:color="DEE2E6"/>
              <w:right w:val="single" w:sz="4" w:space="0" w:color="DEE2E6"/>
            </w:tcBorders>
            <w:shd w:val="clear" w:fill="F8F9FA"/>
          </w:tcPr>
          <w:p>
            <w:pPr>
              <w:spacing w:before="40" w:after="40"/>
              <w:jc w:val="center"/>
            </w:pPr>
            <w:r>
              <w:rPr>
                <w:rFonts w:ascii="Calibri" w:hAnsi="Calibri" w:cs="Calibri"/>
                <w:b w:val="0"/>
                <w:i w:val="0"/>
                <w:color w:val="212529"/>
                <w:sz w:val="18"/>
              </w:rPr>
              <w:t>0,60</w:t>
            </w:r>
          </w:p>
        </w:tc>
        <w:tc>
          <w:tcPr>
            <w:tcW w:type="dxa" w:w="4657"/>
            <w:tcBorders>
              <w:top w:val="single" w:sz="4" w:space="0" w:color="DEE2E6"/>
              <w:left w:val="single" w:sz="4" w:space="0" w:color="DEE2E6"/>
              <w:bottom w:val="single" w:sz="4" w:space="0" w:color="DEE2E6"/>
              <w:right w:val="single" w:sz="4" w:space="0" w:color="DEE2E6"/>
            </w:tcBorders>
            <w:shd w:val="clear" w:fill="F8F9FA"/>
          </w:tcPr>
          <w:p>
            <w:pPr>
              <w:spacing w:before="40" w:after="40"/>
            </w:pPr>
            <w:r>
              <w:rPr>
                <w:rFonts w:ascii="Calibri" w:hAnsi="Calibri" w:cs="Calibri"/>
                <w:b w:val="0"/>
                <w:i w:val="0"/>
                <w:color w:val="212529"/>
                <w:sz w:val="18"/>
              </w:rPr>
              <w:t>Charge estimée rapportée à la fenêtre du projet</w:t>
            </w:r>
          </w:p>
        </w:tc>
      </w:tr>
      <w:tr>
        <w:tc>
          <w:tcPr>
            <w:tcW w:type="dxa" w:w="2704"/>
            <w:tcBorders>
              <w:top w:val="single" w:sz="4" w:space="0" w:color="DEE2E6"/>
              <w:left w:val="single" w:sz="4" w:space="0" w:color="DEE2E6"/>
              <w:bottom w:val="single" w:sz="4" w:space="0" w:color="DEE2E6"/>
              <w:right w:val="single" w:sz="4" w:space="0" w:color="DEE2E6"/>
            </w:tcBorders>
            <w:shd w:val="clear" w:fill="F1F3F5"/>
          </w:tcPr>
          <w:p>
            <w:pPr>
              <w:spacing w:before="40" w:after="40"/>
            </w:pPr>
            <w:r>
              <w:rPr>
                <w:rFonts w:ascii="Calibri" w:hAnsi="Calibri" w:cs="Calibri"/>
                <w:b/>
                <w:i w:val="0"/>
                <w:color w:val="212529"/>
                <w:sz w:val="18"/>
              </w:rPr>
              <w:t>Total</w:t>
            </w:r>
          </w:p>
        </w:tc>
        <w:tc>
          <w:tcPr>
            <w:tcW w:type="dxa" w:w="90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100 %</w:t>
            </w:r>
          </w:p>
        </w:tc>
        <w:tc>
          <w:tcPr>
            <w:tcW w:type="dxa" w:w="105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r>
          </w:p>
        </w:tc>
        <w:tc>
          <w:tcPr>
            <w:tcW w:type="dxa" w:w="120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4,80</w:t>
            </w:r>
          </w:p>
        </w:tc>
        <w:tc>
          <w:tcPr>
            <w:tcW w:type="dxa" w:w="105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r>
          </w:p>
        </w:tc>
        <w:tc>
          <w:tcPr>
            <w:tcW w:type="dxa" w:w="120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3,50</w:t>
            </w:r>
          </w:p>
        </w:tc>
        <w:tc>
          <w:tcPr>
            <w:tcW w:type="dxa" w:w="105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r>
          </w:p>
        </w:tc>
        <w:tc>
          <w:tcPr>
            <w:tcW w:type="dxa" w:w="1201"/>
            <w:tcBorders>
              <w:top w:val="single" w:sz="4" w:space="0" w:color="DEE2E6"/>
              <w:left w:val="single" w:sz="4" w:space="0" w:color="DEE2E6"/>
              <w:bottom w:val="single" w:sz="4" w:space="0" w:color="DEE2E6"/>
              <w:right w:val="single" w:sz="4" w:space="0" w:color="DEE2E6"/>
            </w:tcBorders>
            <w:shd w:val="clear" w:fill="F1F3F5"/>
          </w:tcPr>
          <w:p>
            <w:pPr>
              <w:spacing w:before="40" w:after="40"/>
              <w:jc w:val="center"/>
            </w:pPr>
            <w:r>
              <w:rPr>
                <w:rFonts w:ascii="Calibri" w:hAnsi="Calibri" w:cs="Calibri"/>
                <w:b w:val="0"/>
                <w:i w:val="0"/>
                <w:color w:val="212529"/>
                <w:sz w:val="18"/>
              </w:rPr>
              <w:t>3,10</w:t>
            </w:r>
          </w:p>
        </w:tc>
        <w:tc>
          <w:tcPr>
            <w:tcW w:type="dxa" w:w="4657"/>
            <w:tcBorders>
              <w:top w:val="single" w:sz="4" w:space="0" w:color="DEE2E6"/>
              <w:left w:val="single" w:sz="4" w:space="0" w:color="DEE2E6"/>
              <w:bottom w:val="single" w:sz="4" w:space="0" w:color="DEE2E6"/>
              <w:right w:val="single" w:sz="4" w:space="0" w:color="DEE2E6"/>
            </w:tcBorders>
            <w:shd w:val="clear" w:fill="F1F3F5"/>
          </w:tcPr>
          <w:p>
            <w:pPr>
              <w:spacing w:before="40" w:after="40"/>
            </w:pPr>
            <w:r>
              <w:rPr>
                <w:rFonts w:ascii="Calibri" w:hAnsi="Calibri" w:cs="Calibri"/>
                <w:b w:val="0"/>
                <w:i w:val="0"/>
                <w:color w:val="212529"/>
                <w:sz w:val="18"/>
              </w:rPr>
              <w:t>Score sur 5</w:t>
            </w:r>
          </w:p>
        </w:tc>
      </w:tr>
    </w:tbl>
    <w:p>
      <w:pPr>
        <w:spacing w:after="0"/>
      </w:pPr>
    </w:p>
    <w:p>
      <w:pPr>
        <w:spacing w:before="240" w:after="100"/>
      </w:pPr>
      <w:r>
        <w:rPr>
          <w:rFonts w:ascii="Calibri" w:hAnsi="Calibri" w:cs="Calibri"/>
          <w:b/>
          <w:i w:val="0"/>
          <w:color w:val="1C7ED6"/>
          <w:sz w:val="26"/>
        </w:rPr>
        <w:t>7.  Justification du choix final</w:t>
      </w:r>
    </w:p>
    <w:p>
      <w:pPr>
        <w:spacing w:before="0" w:after="120"/>
        <w:jc w:val="both"/>
      </w:pPr>
      <w:r>
        <w:rPr>
          <w:rFonts w:ascii="Calibri" w:hAnsi="Calibri" w:cs="Calibri"/>
          <w:b w:val="0"/>
          <w:i w:val="0"/>
          <w:color w:val="212529"/>
          <w:sz w:val="20"/>
        </w:rPr>
        <w:t>KF1 est retenue comme fonctionnalité fondatrice, avec un score de 4,80 sur 5. Elle l'emporte parce qu'elle est la seule à combler un gap qui touche l'ensemble du public visé et non une fraction, tout en étant la moins coûteuse à implémenter. Elle devient la règle de gestion structurante du système, énoncée au niveau métier de la cartographie (cf. Annexe A) et vérifiée par une suite de tests dédiée (cf. Annexe Z).</w:t>
      </w:r>
    </w:p>
    <w:p>
      <w:pPr>
        <w:spacing w:before="0" w:after="120"/>
        <w:jc w:val="both"/>
      </w:pPr>
      <w:r>
        <w:rPr>
          <w:rFonts w:ascii="Calibri" w:hAnsi="Calibri" w:cs="Calibri"/>
          <w:b w:val="0"/>
          <w:i w:val="0"/>
          <w:color w:val="212529"/>
          <w:sz w:val="20"/>
        </w:rPr>
        <w:t>KF2 et KF3 ne sont pas écartées, elles sont reclassées en fonctions de soutien et livrées dans le même périmètre, KF2 parce qu'elle rend la publication visible sans coût de diffusion, KF3 parce qu'elle rend la promesse de réversibilité vérifiable. Leur score plus faible traduit un public concerné plus étroit, pas un rejet. Cet ordre de priorité est repris dans la matrice MoSCoW (cf. Annexe X) et dans le découpage des lots (cf. Annexe L).</w:t>
      </w:r>
    </w:p>
    <w:p>
      <w:pPr>
        <w:spacing w:before="0" w:after="120"/>
        <w:jc w:val="both"/>
      </w:pPr>
      <w:r>
        <w:rPr>
          <w:rFonts w:ascii="Calibri" w:hAnsi="Calibri" w:cs="Calibri"/>
          <w:b w:val="0"/>
          <w:i w:val="0"/>
          <w:color w:val="212529"/>
          <w:sz w:val="20"/>
        </w:rPr>
        <w:t>Limite assumée de l'exercice. Les notes attribuées aux solutions concurrentes reposent sur leur documentation publique et sur un usage direct, non sur un audit technique interne. Elles situent un positionnement, elles ne mesurent pas une performance.</w:t>
      </w:r>
    </w:p>
    <w:p>
      <w:pPr>
        <w:spacing w:before="240"/>
      </w:pPr>
      <w:r>
        <w:rPr>
          <w:rFonts w:ascii="Calibri" w:hAnsi="Calibri" w:cs="Calibri"/>
          <w:b w:val="0"/>
          <w:i w:val="0"/>
          <w:color w:val="868E96"/>
          <w:sz w:val="16"/>
        </w:rPr>
        <w:t>Sources : mémoire §10.1 (contexte), §11.1.3 (résultats de veille), §11.2.1 (fonctionnalités requises) · Annexe V (dossier de veille) · Annexe X (personas et user stories) · Annexe A (règle de gestion fondatrice).</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