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653F3D" w14:textId="77777777" w:rsidR="00882FE7" w:rsidRDefault="00000000">
      <w:pPr>
        <w:spacing w:after="40"/>
      </w:pPr>
      <w:r>
        <w:rPr>
          <w:rFonts w:cs="Calibri"/>
          <w:b/>
          <w:color w:val="212529"/>
          <w:sz w:val="38"/>
        </w:rPr>
        <w:t>Annexe V   Dossier de veille technologique et réglementaire</w:t>
      </w:r>
    </w:p>
    <w:p w14:paraId="5A37C8DF" w14:textId="77777777" w:rsidR="00882FE7" w:rsidRDefault="00000000">
      <w:pPr>
        <w:spacing w:after="20"/>
      </w:pPr>
      <w:r>
        <w:rPr>
          <w:rFonts w:cs="Calibri"/>
          <w:color w:val="868E96"/>
          <w:sz w:val="22"/>
        </w:rPr>
        <w:t>dropicture · dispositif de veille, évaluation des sources, orientations réglementaires et recommandations innovantes</w:t>
      </w:r>
    </w:p>
    <w:p w14:paraId="2921F851" w14:textId="77777777" w:rsidR="00882FE7" w:rsidRDefault="00000000">
      <w:pPr>
        <w:spacing w:after="200"/>
      </w:pPr>
      <w:r>
        <w:rPr>
          <w:rFonts w:cs="Calibri"/>
          <w:color w:val="868E96"/>
          <w:sz w:val="17"/>
        </w:rPr>
        <w:t>RNCP40573  Expert en informatique et systèmes d'information, option DevOps · Amir Redjem · appelée en §11.1.2, §11.1.3 et §11.1.4 du mémoire</w:t>
      </w:r>
    </w:p>
    <w:p w14:paraId="17400515" w14:textId="77777777" w:rsidR="00882FE7" w:rsidRDefault="00000000">
      <w:pPr>
        <w:spacing w:after="200"/>
        <w:jc w:val="both"/>
      </w:pPr>
      <w:r>
        <w:rPr>
          <w:rFonts w:cs="Calibri"/>
          <w:color w:val="212529"/>
        </w:rPr>
        <w:t>Une veille n'a de valeur que si elle est traçable. Ce dossier expose le dispositif réellement tenu pendant le projet, la façon dont chaque source a été qualifiée, les textes réglementaires qui ont pesé sur des décisions d'architecture, et les recommandations qui en découlent. Les conclusions structurantes sont consignées au journal des décisions d'architecture (cf. Annexe J), de sorte qu'une décision de veille reste réexaminable plus tard, y compris par quelqu'un d'autre.</w:t>
      </w:r>
    </w:p>
    <w:p w14:paraId="0E0FBF50" w14:textId="77777777" w:rsidR="00882FE7" w:rsidRDefault="00000000">
      <w:pPr>
        <w:spacing w:before="240" w:after="100"/>
      </w:pPr>
      <w:r>
        <w:rPr>
          <w:rFonts w:cs="Calibri"/>
          <w:b/>
          <w:color w:val="1C7ED6"/>
          <w:sz w:val="26"/>
        </w:rPr>
        <w:t>1.  Dispositif de veille et sources mobilisées</w:t>
      </w:r>
    </w:p>
    <w:p w14:paraId="0D2B1AE2" w14:textId="77777777" w:rsidR="00882FE7" w:rsidRDefault="00000000">
      <w:pPr>
        <w:spacing w:after="120"/>
        <w:jc w:val="both"/>
      </w:pPr>
      <w:r>
        <w:rPr>
          <w:rFonts w:cs="Calibri"/>
          <w:color w:val="212529"/>
        </w:rPr>
        <w:t>Les sources sont volontairement hétérogènes. L'objectif est de recouper l'information plutôt que de la voir répétée. La colonne de fiabilité applique la grille d'évaluation exposée en section 2, notée de 1 à 5.</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Look w:val="04A0" w:firstRow="1" w:lastRow="0" w:firstColumn="1" w:lastColumn="0" w:noHBand="0" w:noVBand="1"/>
      </w:tblPr>
      <w:tblGrid>
        <w:gridCol w:w="751"/>
        <w:gridCol w:w="3906"/>
        <w:gridCol w:w="1352"/>
        <w:gridCol w:w="2103"/>
        <w:gridCol w:w="6009"/>
        <w:gridCol w:w="901"/>
      </w:tblGrid>
      <w:tr w:rsidR="00882FE7" w14:paraId="54809030" w14:textId="77777777">
        <w:trPr>
          <w:tblHeader/>
          <w:jc w:val="center"/>
        </w:trPr>
        <w:tc>
          <w:tcPr>
            <w:tcW w:w="751" w:type="dxa"/>
            <w:tcBorders>
              <w:top w:val="single" w:sz="4" w:space="0" w:color="DEE2E6"/>
              <w:left w:val="single" w:sz="4" w:space="0" w:color="DEE2E6"/>
              <w:bottom w:val="single" w:sz="4" w:space="0" w:color="DEE2E6"/>
              <w:right w:val="single" w:sz="4" w:space="0" w:color="DEE2E6"/>
            </w:tcBorders>
            <w:shd w:val="clear" w:color="auto" w:fill="495057"/>
          </w:tcPr>
          <w:p w14:paraId="49B31A21" w14:textId="77777777" w:rsidR="00882FE7" w:rsidRDefault="00000000">
            <w:pPr>
              <w:spacing w:before="40" w:after="40"/>
              <w:jc w:val="center"/>
            </w:pPr>
            <w:r>
              <w:rPr>
                <w:rFonts w:cs="Calibri"/>
                <w:b/>
                <w:color w:val="FFFFFF"/>
                <w:sz w:val="18"/>
              </w:rPr>
              <w:t>Réf.</w:t>
            </w:r>
          </w:p>
        </w:tc>
        <w:tc>
          <w:tcPr>
            <w:tcW w:w="3906" w:type="dxa"/>
            <w:tcBorders>
              <w:top w:val="single" w:sz="4" w:space="0" w:color="DEE2E6"/>
              <w:left w:val="single" w:sz="4" w:space="0" w:color="DEE2E6"/>
              <w:bottom w:val="single" w:sz="4" w:space="0" w:color="DEE2E6"/>
              <w:right w:val="single" w:sz="4" w:space="0" w:color="DEE2E6"/>
            </w:tcBorders>
            <w:shd w:val="clear" w:color="auto" w:fill="495057"/>
          </w:tcPr>
          <w:p w14:paraId="76FE4F82" w14:textId="77777777" w:rsidR="00882FE7" w:rsidRDefault="00000000">
            <w:pPr>
              <w:spacing w:before="40" w:after="40"/>
              <w:jc w:val="center"/>
            </w:pPr>
            <w:r>
              <w:rPr>
                <w:rFonts w:cs="Calibri"/>
                <w:b/>
                <w:color w:val="FFFFFF"/>
                <w:sz w:val="18"/>
              </w:rPr>
              <w:t>Source</w:t>
            </w:r>
          </w:p>
        </w:tc>
        <w:tc>
          <w:tcPr>
            <w:tcW w:w="1352" w:type="dxa"/>
            <w:tcBorders>
              <w:top w:val="single" w:sz="4" w:space="0" w:color="DEE2E6"/>
              <w:left w:val="single" w:sz="4" w:space="0" w:color="DEE2E6"/>
              <w:bottom w:val="single" w:sz="4" w:space="0" w:color="DEE2E6"/>
              <w:right w:val="single" w:sz="4" w:space="0" w:color="DEE2E6"/>
            </w:tcBorders>
            <w:shd w:val="clear" w:color="auto" w:fill="495057"/>
          </w:tcPr>
          <w:p w14:paraId="153D212B" w14:textId="77777777" w:rsidR="00882FE7" w:rsidRDefault="00000000">
            <w:pPr>
              <w:spacing w:before="40" w:after="40"/>
              <w:jc w:val="center"/>
            </w:pPr>
            <w:r>
              <w:rPr>
                <w:rFonts w:cs="Calibri"/>
                <w:b/>
                <w:color w:val="FFFFFF"/>
                <w:sz w:val="18"/>
              </w:rPr>
              <w:t>Nature</w:t>
            </w:r>
          </w:p>
        </w:tc>
        <w:tc>
          <w:tcPr>
            <w:tcW w:w="2103" w:type="dxa"/>
            <w:tcBorders>
              <w:top w:val="single" w:sz="4" w:space="0" w:color="DEE2E6"/>
              <w:left w:val="single" w:sz="4" w:space="0" w:color="DEE2E6"/>
              <w:bottom w:val="single" w:sz="4" w:space="0" w:color="DEE2E6"/>
              <w:right w:val="single" w:sz="4" w:space="0" w:color="DEE2E6"/>
            </w:tcBorders>
            <w:shd w:val="clear" w:color="auto" w:fill="495057"/>
          </w:tcPr>
          <w:p w14:paraId="652E3A86" w14:textId="77777777" w:rsidR="00882FE7" w:rsidRDefault="00000000">
            <w:pPr>
              <w:spacing w:before="40" w:after="40"/>
              <w:jc w:val="center"/>
            </w:pPr>
            <w:r>
              <w:rPr>
                <w:rFonts w:cs="Calibri"/>
                <w:b/>
                <w:color w:val="FFFFFF"/>
                <w:sz w:val="18"/>
              </w:rPr>
              <w:t>Rythme</w:t>
            </w:r>
          </w:p>
        </w:tc>
        <w:tc>
          <w:tcPr>
            <w:tcW w:w="6009" w:type="dxa"/>
            <w:tcBorders>
              <w:top w:val="single" w:sz="4" w:space="0" w:color="DEE2E6"/>
              <w:left w:val="single" w:sz="4" w:space="0" w:color="DEE2E6"/>
              <w:bottom w:val="single" w:sz="4" w:space="0" w:color="DEE2E6"/>
              <w:right w:val="single" w:sz="4" w:space="0" w:color="DEE2E6"/>
            </w:tcBorders>
            <w:shd w:val="clear" w:color="auto" w:fill="495057"/>
          </w:tcPr>
          <w:p w14:paraId="39880098" w14:textId="77777777" w:rsidR="00882FE7" w:rsidRDefault="00000000">
            <w:pPr>
              <w:spacing w:before="40" w:after="40"/>
              <w:jc w:val="center"/>
            </w:pPr>
            <w:r>
              <w:rPr>
                <w:rFonts w:cs="Calibri"/>
                <w:b/>
                <w:color w:val="FFFFFF"/>
                <w:sz w:val="18"/>
              </w:rPr>
              <w:t>Ce qui y est cherché</w:t>
            </w:r>
          </w:p>
        </w:tc>
        <w:tc>
          <w:tcPr>
            <w:tcW w:w="901" w:type="dxa"/>
            <w:tcBorders>
              <w:top w:val="single" w:sz="4" w:space="0" w:color="DEE2E6"/>
              <w:left w:val="single" w:sz="4" w:space="0" w:color="DEE2E6"/>
              <w:bottom w:val="single" w:sz="4" w:space="0" w:color="DEE2E6"/>
              <w:right w:val="single" w:sz="4" w:space="0" w:color="DEE2E6"/>
            </w:tcBorders>
            <w:shd w:val="clear" w:color="auto" w:fill="495057"/>
          </w:tcPr>
          <w:p w14:paraId="318B9FDC" w14:textId="77777777" w:rsidR="00882FE7" w:rsidRDefault="00000000">
            <w:pPr>
              <w:spacing w:before="40" w:after="40"/>
              <w:jc w:val="center"/>
            </w:pPr>
            <w:r>
              <w:rPr>
                <w:rFonts w:cs="Calibri"/>
                <w:b/>
                <w:color w:val="FFFFFF"/>
                <w:sz w:val="18"/>
              </w:rPr>
              <w:t>Fiab.</w:t>
            </w:r>
          </w:p>
        </w:tc>
      </w:tr>
      <w:tr w:rsidR="00882FE7" w14:paraId="30285A18" w14:textId="77777777">
        <w:trPr>
          <w:jc w:val="center"/>
        </w:trPr>
        <w:tc>
          <w:tcPr>
            <w:tcW w:w="751" w:type="dxa"/>
            <w:tcBorders>
              <w:top w:val="single" w:sz="4" w:space="0" w:color="DEE2E6"/>
              <w:left w:val="single" w:sz="4" w:space="0" w:color="DEE2E6"/>
              <w:bottom w:val="single" w:sz="4" w:space="0" w:color="DEE2E6"/>
              <w:right w:val="single" w:sz="4" w:space="0" w:color="DEE2E6"/>
            </w:tcBorders>
          </w:tcPr>
          <w:p w14:paraId="63287666" w14:textId="77777777" w:rsidR="00882FE7" w:rsidRDefault="00000000">
            <w:pPr>
              <w:spacing w:before="40" w:after="40"/>
              <w:jc w:val="center"/>
            </w:pPr>
            <w:r>
              <w:rPr>
                <w:rFonts w:cs="Calibri"/>
                <w:b/>
                <w:color w:val="212529"/>
                <w:sz w:val="18"/>
              </w:rPr>
              <w:t>S1</w:t>
            </w:r>
          </w:p>
        </w:tc>
        <w:tc>
          <w:tcPr>
            <w:tcW w:w="3906" w:type="dxa"/>
            <w:tcBorders>
              <w:top w:val="single" w:sz="4" w:space="0" w:color="DEE2E6"/>
              <w:left w:val="single" w:sz="4" w:space="0" w:color="DEE2E6"/>
              <w:bottom w:val="single" w:sz="4" w:space="0" w:color="DEE2E6"/>
              <w:right w:val="single" w:sz="4" w:space="0" w:color="DEE2E6"/>
            </w:tcBorders>
          </w:tcPr>
          <w:p w14:paraId="225315A7" w14:textId="77777777" w:rsidR="00882FE7" w:rsidRDefault="00000000">
            <w:pPr>
              <w:spacing w:before="40" w:after="40"/>
            </w:pPr>
            <w:r>
              <w:rPr>
                <w:rFonts w:cs="Calibri"/>
                <w:color w:val="212529"/>
                <w:sz w:val="18"/>
              </w:rPr>
              <w:t>Documentations et notes de version officielles (nestjs.com, nextjs.org, bun.sh, postgresql.org, docs.docker.com, developer.hashicorp.com, prometheus.io, grafana.com)</w:t>
            </w:r>
          </w:p>
        </w:tc>
        <w:tc>
          <w:tcPr>
            <w:tcW w:w="1352" w:type="dxa"/>
            <w:tcBorders>
              <w:top w:val="single" w:sz="4" w:space="0" w:color="DEE2E6"/>
              <w:left w:val="single" w:sz="4" w:space="0" w:color="DEE2E6"/>
              <w:bottom w:val="single" w:sz="4" w:space="0" w:color="DEE2E6"/>
              <w:right w:val="single" w:sz="4" w:space="0" w:color="DEE2E6"/>
            </w:tcBorders>
          </w:tcPr>
          <w:p w14:paraId="68725F0A" w14:textId="77777777" w:rsidR="00882FE7" w:rsidRDefault="00000000">
            <w:pPr>
              <w:spacing w:before="40" w:after="40"/>
              <w:jc w:val="center"/>
            </w:pPr>
            <w:r>
              <w:rPr>
                <w:rFonts w:cs="Calibri"/>
                <w:color w:val="212529"/>
                <w:sz w:val="18"/>
              </w:rPr>
              <w:t>Primaire</w:t>
            </w:r>
          </w:p>
        </w:tc>
        <w:tc>
          <w:tcPr>
            <w:tcW w:w="2103" w:type="dxa"/>
            <w:tcBorders>
              <w:top w:val="single" w:sz="4" w:space="0" w:color="DEE2E6"/>
              <w:left w:val="single" w:sz="4" w:space="0" w:color="DEE2E6"/>
              <w:bottom w:val="single" w:sz="4" w:space="0" w:color="DEE2E6"/>
              <w:right w:val="single" w:sz="4" w:space="0" w:color="DEE2E6"/>
            </w:tcBorders>
          </w:tcPr>
          <w:p w14:paraId="06B4E564" w14:textId="77777777" w:rsidR="00882FE7" w:rsidRDefault="00000000">
            <w:pPr>
              <w:spacing w:before="40" w:after="40"/>
            </w:pPr>
            <w:r>
              <w:rPr>
                <w:rFonts w:cs="Calibri"/>
                <w:color w:val="212529"/>
                <w:sz w:val="18"/>
              </w:rPr>
              <w:t>À chaque montée de version</w:t>
            </w:r>
          </w:p>
        </w:tc>
        <w:tc>
          <w:tcPr>
            <w:tcW w:w="6009" w:type="dxa"/>
            <w:tcBorders>
              <w:top w:val="single" w:sz="4" w:space="0" w:color="DEE2E6"/>
              <w:left w:val="single" w:sz="4" w:space="0" w:color="DEE2E6"/>
              <w:bottom w:val="single" w:sz="4" w:space="0" w:color="DEE2E6"/>
              <w:right w:val="single" w:sz="4" w:space="0" w:color="DEE2E6"/>
            </w:tcBorders>
          </w:tcPr>
          <w:p w14:paraId="64D0F03D" w14:textId="77777777" w:rsidR="00882FE7" w:rsidRDefault="00000000">
            <w:pPr>
              <w:spacing w:before="40" w:after="40"/>
            </w:pPr>
            <w:r>
              <w:rPr>
                <w:rFonts w:cs="Calibri"/>
                <w:color w:val="212529"/>
                <w:sz w:val="18"/>
              </w:rPr>
              <w:t>Ruptures de compatibilité, cadence de publication, état de maintenance</w:t>
            </w:r>
          </w:p>
        </w:tc>
        <w:tc>
          <w:tcPr>
            <w:tcW w:w="901" w:type="dxa"/>
            <w:tcBorders>
              <w:top w:val="single" w:sz="4" w:space="0" w:color="DEE2E6"/>
              <w:left w:val="single" w:sz="4" w:space="0" w:color="DEE2E6"/>
              <w:bottom w:val="single" w:sz="4" w:space="0" w:color="DEE2E6"/>
              <w:right w:val="single" w:sz="4" w:space="0" w:color="DEE2E6"/>
            </w:tcBorders>
          </w:tcPr>
          <w:p w14:paraId="3E9D35DE" w14:textId="77777777" w:rsidR="00882FE7" w:rsidRDefault="00000000">
            <w:pPr>
              <w:spacing w:before="40" w:after="40"/>
              <w:jc w:val="center"/>
            </w:pPr>
            <w:r>
              <w:rPr>
                <w:rFonts w:cs="Calibri"/>
                <w:color w:val="212529"/>
                <w:sz w:val="18"/>
              </w:rPr>
              <w:t>5</w:t>
            </w:r>
          </w:p>
        </w:tc>
      </w:tr>
      <w:tr w:rsidR="00882FE7" w14:paraId="58155D16" w14:textId="77777777">
        <w:trPr>
          <w:jc w:val="center"/>
        </w:trPr>
        <w:tc>
          <w:tcPr>
            <w:tcW w:w="751" w:type="dxa"/>
            <w:tcBorders>
              <w:top w:val="single" w:sz="4" w:space="0" w:color="DEE2E6"/>
              <w:left w:val="single" w:sz="4" w:space="0" w:color="DEE2E6"/>
              <w:bottom w:val="single" w:sz="4" w:space="0" w:color="DEE2E6"/>
              <w:right w:val="single" w:sz="4" w:space="0" w:color="DEE2E6"/>
            </w:tcBorders>
            <w:shd w:val="clear" w:color="auto" w:fill="F8F9FA"/>
          </w:tcPr>
          <w:p w14:paraId="17151965" w14:textId="77777777" w:rsidR="00882FE7" w:rsidRDefault="00000000">
            <w:pPr>
              <w:spacing w:before="40" w:after="40"/>
              <w:jc w:val="center"/>
            </w:pPr>
            <w:r>
              <w:rPr>
                <w:rFonts w:cs="Calibri"/>
                <w:b/>
                <w:color w:val="212529"/>
                <w:sz w:val="18"/>
              </w:rPr>
              <w:t>S2</w:t>
            </w:r>
          </w:p>
        </w:tc>
        <w:tc>
          <w:tcPr>
            <w:tcW w:w="3906" w:type="dxa"/>
            <w:tcBorders>
              <w:top w:val="single" w:sz="4" w:space="0" w:color="DEE2E6"/>
              <w:left w:val="single" w:sz="4" w:space="0" w:color="DEE2E6"/>
              <w:bottom w:val="single" w:sz="4" w:space="0" w:color="DEE2E6"/>
              <w:right w:val="single" w:sz="4" w:space="0" w:color="DEE2E6"/>
            </w:tcBorders>
            <w:shd w:val="clear" w:color="auto" w:fill="F8F9FA"/>
          </w:tcPr>
          <w:p w14:paraId="1F7C06E5" w14:textId="77777777" w:rsidR="00882FE7" w:rsidRDefault="00000000">
            <w:pPr>
              <w:spacing w:before="40" w:after="40"/>
            </w:pPr>
            <w:r>
              <w:rPr>
                <w:rFonts w:cs="Calibri"/>
                <w:color w:val="212529"/>
                <w:sz w:val="18"/>
              </w:rPr>
              <w:t>Dépôts GitHub des projets retenus, releases, issues, security advisories</w:t>
            </w:r>
          </w:p>
        </w:tc>
        <w:tc>
          <w:tcPr>
            <w:tcW w:w="1352" w:type="dxa"/>
            <w:tcBorders>
              <w:top w:val="single" w:sz="4" w:space="0" w:color="DEE2E6"/>
              <w:left w:val="single" w:sz="4" w:space="0" w:color="DEE2E6"/>
              <w:bottom w:val="single" w:sz="4" w:space="0" w:color="DEE2E6"/>
              <w:right w:val="single" w:sz="4" w:space="0" w:color="DEE2E6"/>
            </w:tcBorders>
            <w:shd w:val="clear" w:color="auto" w:fill="F8F9FA"/>
          </w:tcPr>
          <w:p w14:paraId="74213271" w14:textId="77777777" w:rsidR="00882FE7" w:rsidRDefault="00000000">
            <w:pPr>
              <w:spacing w:before="40" w:after="40"/>
              <w:jc w:val="center"/>
            </w:pPr>
            <w:r>
              <w:rPr>
                <w:rFonts w:cs="Calibri"/>
                <w:color w:val="212529"/>
                <w:sz w:val="18"/>
              </w:rPr>
              <w:t>Primaire</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3898FC2F" w14:textId="77777777" w:rsidR="00882FE7" w:rsidRDefault="00000000">
            <w:pPr>
              <w:spacing w:before="40" w:after="40"/>
            </w:pPr>
            <w:r>
              <w:rPr>
                <w:rFonts w:cs="Calibri"/>
                <w:color w:val="212529"/>
                <w:sz w:val="18"/>
              </w:rPr>
              <w:t>Hebdomadaire</w:t>
            </w:r>
          </w:p>
        </w:tc>
        <w:tc>
          <w:tcPr>
            <w:tcW w:w="6009" w:type="dxa"/>
            <w:tcBorders>
              <w:top w:val="single" w:sz="4" w:space="0" w:color="DEE2E6"/>
              <w:left w:val="single" w:sz="4" w:space="0" w:color="DEE2E6"/>
              <w:bottom w:val="single" w:sz="4" w:space="0" w:color="DEE2E6"/>
              <w:right w:val="single" w:sz="4" w:space="0" w:color="DEE2E6"/>
            </w:tcBorders>
            <w:shd w:val="clear" w:color="auto" w:fill="F8F9FA"/>
          </w:tcPr>
          <w:p w14:paraId="600F5689" w14:textId="77777777" w:rsidR="00882FE7" w:rsidRDefault="00000000">
            <w:pPr>
              <w:spacing w:before="40" w:after="40"/>
            </w:pPr>
            <w:r>
              <w:rPr>
                <w:rFonts w:cs="Calibri"/>
                <w:color w:val="212529"/>
                <w:sz w:val="18"/>
              </w:rPr>
              <w:t>Vitalité du projet, délai de correction des failles, nombre de mainteneurs actifs</w:t>
            </w:r>
          </w:p>
        </w:tc>
        <w:tc>
          <w:tcPr>
            <w:tcW w:w="901" w:type="dxa"/>
            <w:tcBorders>
              <w:top w:val="single" w:sz="4" w:space="0" w:color="DEE2E6"/>
              <w:left w:val="single" w:sz="4" w:space="0" w:color="DEE2E6"/>
              <w:bottom w:val="single" w:sz="4" w:space="0" w:color="DEE2E6"/>
              <w:right w:val="single" w:sz="4" w:space="0" w:color="DEE2E6"/>
            </w:tcBorders>
            <w:shd w:val="clear" w:color="auto" w:fill="F8F9FA"/>
          </w:tcPr>
          <w:p w14:paraId="4777C034" w14:textId="77777777" w:rsidR="00882FE7" w:rsidRDefault="00000000">
            <w:pPr>
              <w:spacing w:before="40" w:after="40"/>
              <w:jc w:val="center"/>
            </w:pPr>
            <w:r>
              <w:rPr>
                <w:rFonts w:cs="Calibri"/>
                <w:color w:val="212529"/>
                <w:sz w:val="18"/>
              </w:rPr>
              <w:t>5</w:t>
            </w:r>
          </w:p>
        </w:tc>
      </w:tr>
      <w:tr w:rsidR="00882FE7" w14:paraId="16083F98" w14:textId="77777777">
        <w:trPr>
          <w:jc w:val="center"/>
        </w:trPr>
        <w:tc>
          <w:tcPr>
            <w:tcW w:w="751" w:type="dxa"/>
            <w:tcBorders>
              <w:top w:val="single" w:sz="4" w:space="0" w:color="DEE2E6"/>
              <w:left w:val="single" w:sz="4" w:space="0" w:color="DEE2E6"/>
              <w:bottom w:val="single" w:sz="4" w:space="0" w:color="DEE2E6"/>
              <w:right w:val="single" w:sz="4" w:space="0" w:color="DEE2E6"/>
            </w:tcBorders>
          </w:tcPr>
          <w:p w14:paraId="46A0F8CC" w14:textId="77777777" w:rsidR="00882FE7" w:rsidRDefault="00000000">
            <w:pPr>
              <w:spacing w:before="40" w:after="40"/>
              <w:jc w:val="center"/>
            </w:pPr>
            <w:r>
              <w:rPr>
                <w:rFonts w:cs="Calibri"/>
                <w:b/>
                <w:color w:val="212529"/>
                <w:sz w:val="18"/>
              </w:rPr>
              <w:t>S3</w:t>
            </w:r>
          </w:p>
        </w:tc>
        <w:tc>
          <w:tcPr>
            <w:tcW w:w="3906" w:type="dxa"/>
            <w:tcBorders>
              <w:top w:val="single" w:sz="4" w:space="0" w:color="DEE2E6"/>
              <w:left w:val="single" w:sz="4" w:space="0" w:color="DEE2E6"/>
              <w:bottom w:val="single" w:sz="4" w:space="0" w:color="DEE2E6"/>
              <w:right w:val="single" w:sz="4" w:space="0" w:color="DEE2E6"/>
            </w:tcBorders>
          </w:tcPr>
          <w:p w14:paraId="287581DA" w14:textId="77777777" w:rsidR="00882FE7" w:rsidRDefault="00000000">
            <w:pPr>
              <w:spacing w:before="40" w:after="40"/>
            </w:pPr>
            <w:r>
              <w:rPr>
                <w:rFonts w:cs="Calibri"/>
                <w:color w:val="212529"/>
                <w:sz w:val="18"/>
              </w:rPr>
              <w:t>GitHub Advisory Database, CVE et NVD</w:t>
            </w:r>
          </w:p>
        </w:tc>
        <w:tc>
          <w:tcPr>
            <w:tcW w:w="1352" w:type="dxa"/>
            <w:tcBorders>
              <w:top w:val="single" w:sz="4" w:space="0" w:color="DEE2E6"/>
              <w:left w:val="single" w:sz="4" w:space="0" w:color="DEE2E6"/>
              <w:bottom w:val="single" w:sz="4" w:space="0" w:color="DEE2E6"/>
              <w:right w:val="single" w:sz="4" w:space="0" w:color="DEE2E6"/>
            </w:tcBorders>
          </w:tcPr>
          <w:p w14:paraId="3F035692" w14:textId="77777777" w:rsidR="00882FE7" w:rsidRDefault="00000000">
            <w:pPr>
              <w:spacing w:before="40" w:after="40"/>
              <w:jc w:val="center"/>
            </w:pPr>
            <w:r>
              <w:rPr>
                <w:rFonts w:cs="Calibri"/>
                <w:color w:val="212529"/>
                <w:sz w:val="18"/>
              </w:rPr>
              <w:t>Primaire</w:t>
            </w:r>
          </w:p>
        </w:tc>
        <w:tc>
          <w:tcPr>
            <w:tcW w:w="2103" w:type="dxa"/>
            <w:tcBorders>
              <w:top w:val="single" w:sz="4" w:space="0" w:color="DEE2E6"/>
              <w:left w:val="single" w:sz="4" w:space="0" w:color="DEE2E6"/>
              <w:bottom w:val="single" w:sz="4" w:space="0" w:color="DEE2E6"/>
              <w:right w:val="single" w:sz="4" w:space="0" w:color="DEE2E6"/>
            </w:tcBorders>
          </w:tcPr>
          <w:p w14:paraId="7E1CF8BA" w14:textId="77777777" w:rsidR="00882FE7" w:rsidRDefault="00000000">
            <w:pPr>
              <w:spacing w:before="40" w:after="40"/>
            </w:pPr>
            <w:r>
              <w:rPr>
                <w:rFonts w:cs="Calibri"/>
                <w:color w:val="212529"/>
                <w:sz w:val="18"/>
              </w:rPr>
              <w:t>Continu, via les alertes du pipeline</w:t>
            </w:r>
          </w:p>
        </w:tc>
        <w:tc>
          <w:tcPr>
            <w:tcW w:w="6009" w:type="dxa"/>
            <w:tcBorders>
              <w:top w:val="single" w:sz="4" w:space="0" w:color="DEE2E6"/>
              <w:left w:val="single" w:sz="4" w:space="0" w:color="DEE2E6"/>
              <w:bottom w:val="single" w:sz="4" w:space="0" w:color="DEE2E6"/>
              <w:right w:val="single" w:sz="4" w:space="0" w:color="DEE2E6"/>
            </w:tcBorders>
          </w:tcPr>
          <w:p w14:paraId="387EE1AB" w14:textId="77777777" w:rsidR="00882FE7" w:rsidRDefault="00000000">
            <w:pPr>
              <w:spacing w:before="40" w:after="40"/>
            </w:pPr>
            <w:r>
              <w:rPr>
                <w:rFonts w:cs="Calibri"/>
                <w:color w:val="212529"/>
                <w:sz w:val="18"/>
              </w:rPr>
              <w:t>Vulnérabilités des dépendances effectivement embarquées</w:t>
            </w:r>
          </w:p>
        </w:tc>
        <w:tc>
          <w:tcPr>
            <w:tcW w:w="901" w:type="dxa"/>
            <w:tcBorders>
              <w:top w:val="single" w:sz="4" w:space="0" w:color="DEE2E6"/>
              <w:left w:val="single" w:sz="4" w:space="0" w:color="DEE2E6"/>
              <w:bottom w:val="single" w:sz="4" w:space="0" w:color="DEE2E6"/>
              <w:right w:val="single" w:sz="4" w:space="0" w:color="DEE2E6"/>
            </w:tcBorders>
          </w:tcPr>
          <w:p w14:paraId="76A43EC0" w14:textId="77777777" w:rsidR="00882FE7" w:rsidRDefault="00000000">
            <w:pPr>
              <w:spacing w:before="40" w:after="40"/>
              <w:jc w:val="center"/>
            </w:pPr>
            <w:r>
              <w:rPr>
                <w:rFonts w:cs="Calibri"/>
                <w:color w:val="212529"/>
                <w:sz w:val="18"/>
              </w:rPr>
              <w:t>5</w:t>
            </w:r>
          </w:p>
        </w:tc>
      </w:tr>
      <w:tr w:rsidR="00882FE7" w14:paraId="64F4401C" w14:textId="77777777">
        <w:trPr>
          <w:jc w:val="center"/>
        </w:trPr>
        <w:tc>
          <w:tcPr>
            <w:tcW w:w="751" w:type="dxa"/>
            <w:tcBorders>
              <w:top w:val="single" w:sz="4" w:space="0" w:color="DEE2E6"/>
              <w:left w:val="single" w:sz="4" w:space="0" w:color="DEE2E6"/>
              <w:bottom w:val="single" w:sz="4" w:space="0" w:color="DEE2E6"/>
              <w:right w:val="single" w:sz="4" w:space="0" w:color="DEE2E6"/>
            </w:tcBorders>
            <w:shd w:val="clear" w:color="auto" w:fill="F8F9FA"/>
          </w:tcPr>
          <w:p w14:paraId="557C56A6" w14:textId="77777777" w:rsidR="00882FE7" w:rsidRDefault="00000000">
            <w:pPr>
              <w:spacing w:before="40" w:after="40"/>
              <w:jc w:val="center"/>
            </w:pPr>
            <w:r>
              <w:rPr>
                <w:rFonts w:cs="Calibri"/>
                <w:b/>
                <w:color w:val="212529"/>
                <w:sz w:val="18"/>
              </w:rPr>
              <w:t>S4</w:t>
            </w:r>
          </w:p>
        </w:tc>
        <w:tc>
          <w:tcPr>
            <w:tcW w:w="3906" w:type="dxa"/>
            <w:tcBorders>
              <w:top w:val="single" w:sz="4" w:space="0" w:color="DEE2E6"/>
              <w:left w:val="single" w:sz="4" w:space="0" w:color="DEE2E6"/>
              <w:bottom w:val="single" w:sz="4" w:space="0" w:color="DEE2E6"/>
              <w:right w:val="single" w:sz="4" w:space="0" w:color="DEE2E6"/>
            </w:tcBorders>
            <w:shd w:val="clear" w:color="auto" w:fill="F8F9FA"/>
          </w:tcPr>
          <w:p w14:paraId="1E15137F" w14:textId="77777777" w:rsidR="00882FE7" w:rsidRDefault="00000000">
            <w:pPr>
              <w:spacing w:before="40" w:after="40"/>
            </w:pPr>
            <w:r>
              <w:rPr>
                <w:rFonts w:cs="Calibri"/>
                <w:color w:val="212529"/>
                <w:sz w:val="18"/>
              </w:rPr>
              <w:t>ANSSI, CNIL, OWASP</w:t>
            </w:r>
          </w:p>
        </w:tc>
        <w:tc>
          <w:tcPr>
            <w:tcW w:w="1352" w:type="dxa"/>
            <w:tcBorders>
              <w:top w:val="single" w:sz="4" w:space="0" w:color="DEE2E6"/>
              <w:left w:val="single" w:sz="4" w:space="0" w:color="DEE2E6"/>
              <w:bottom w:val="single" w:sz="4" w:space="0" w:color="DEE2E6"/>
              <w:right w:val="single" w:sz="4" w:space="0" w:color="DEE2E6"/>
            </w:tcBorders>
            <w:shd w:val="clear" w:color="auto" w:fill="F8F9FA"/>
          </w:tcPr>
          <w:p w14:paraId="2999A5E9" w14:textId="77777777" w:rsidR="00882FE7" w:rsidRDefault="00000000">
            <w:pPr>
              <w:spacing w:before="40" w:after="40"/>
              <w:jc w:val="center"/>
            </w:pPr>
            <w:r>
              <w:rPr>
                <w:rFonts w:cs="Calibri"/>
                <w:color w:val="212529"/>
                <w:sz w:val="18"/>
              </w:rPr>
              <w:t>Normatif</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067EAD05" w14:textId="77777777" w:rsidR="00882FE7" w:rsidRDefault="00000000">
            <w:pPr>
              <w:spacing w:before="40" w:after="40"/>
            </w:pPr>
            <w:r>
              <w:rPr>
                <w:rFonts w:cs="Calibri"/>
                <w:color w:val="212529"/>
                <w:sz w:val="18"/>
              </w:rPr>
              <w:t>Mensuel</w:t>
            </w:r>
          </w:p>
        </w:tc>
        <w:tc>
          <w:tcPr>
            <w:tcW w:w="6009" w:type="dxa"/>
            <w:tcBorders>
              <w:top w:val="single" w:sz="4" w:space="0" w:color="DEE2E6"/>
              <w:left w:val="single" w:sz="4" w:space="0" w:color="DEE2E6"/>
              <w:bottom w:val="single" w:sz="4" w:space="0" w:color="DEE2E6"/>
              <w:right w:val="single" w:sz="4" w:space="0" w:color="DEE2E6"/>
            </w:tcBorders>
            <w:shd w:val="clear" w:color="auto" w:fill="F8F9FA"/>
          </w:tcPr>
          <w:p w14:paraId="44C05655" w14:textId="77777777" w:rsidR="00882FE7" w:rsidRDefault="00000000">
            <w:pPr>
              <w:spacing w:before="40" w:after="40"/>
            </w:pPr>
            <w:r>
              <w:rPr>
                <w:rFonts w:cs="Calibri"/>
                <w:color w:val="212529"/>
                <w:sz w:val="18"/>
              </w:rPr>
              <w:t>Recommandations de durcissement, obligations RGPD, vulnérabilités applicatives</w:t>
            </w:r>
          </w:p>
        </w:tc>
        <w:tc>
          <w:tcPr>
            <w:tcW w:w="901" w:type="dxa"/>
            <w:tcBorders>
              <w:top w:val="single" w:sz="4" w:space="0" w:color="DEE2E6"/>
              <w:left w:val="single" w:sz="4" w:space="0" w:color="DEE2E6"/>
              <w:bottom w:val="single" w:sz="4" w:space="0" w:color="DEE2E6"/>
              <w:right w:val="single" w:sz="4" w:space="0" w:color="DEE2E6"/>
            </w:tcBorders>
            <w:shd w:val="clear" w:color="auto" w:fill="F8F9FA"/>
          </w:tcPr>
          <w:p w14:paraId="21BCD997" w14:textId="77777777" w:rsidR="00882FE7" w:rsidRDefault="00000000">
            <w:pPr>
              <w:spacing w:before="40" w:after="40"/>
              <w:jc w:val="center"/>
            </w:pPr>
            <w:r>
              <w:rPr>
                <w:rFonts w:cs="Calibri"/>
                <w:color w:val="212529"/>
                <w:sz w:val="18"/>
              </w:rPr>
              <w:t>5</w:t>
            </w:r>
          </w:p>
        </w:tc>
      </w:tr>
      <w:tr w:rsidR="00882FE7" w14:paraId="64D62500" w14:textId="77777777">
        <w:trPr>
          <w:jc w:val="center"/>
        </w:trPr>
        <w:tc>
          <w:tcPr>
            <w:tcW w:w="751" w:type="dxa"/>
            <w:tcBorders>
              <w:top w:val="single" w:sz="4" w:space="0" w:color="DEE2E6"/>
              <w:left w:val="single" w:sz="4" w:space="0" w:color="DEE2E6"/>
              <w:bottom w:val="single" w:sz="4" w:space="0" w:color="DEE2E6"/>
              <w:right w:val="single" w:sz="4" w:space="0" w:color="DEE2E6"/>
            </w:tcBorders>
          </w:tcPr>
          <w:p w14:paraId="094C4C3D" w14:textId="77777777" w:rsidR="00882FE7" w:rsidRDefault="00000000">
            <w:pPr>
              <w:spacing w:before="40" w:after="40"/>
              <w:jc w:val="center"/>
            </w:pPr>
            <w:r>
              <w:rPr>
                <w:rFonts w:cs="Calibri"/>
                <w:b/>
                <w:color w:val="212529"/>
                <w:sz w:val="18"/>
              </w:rPr>
              <w:t>S5</w:t>
            </w:r>
          </w:p>
        </w:tc>
        <w:tc>
          <w:tcPr>
            <w:tcW w:w="3906" w:type="dxa"/>
            <w:tcBorders>
              <w:top w:val="single" w:sz="4" w:space="0" w:color="DEE2E6"/>
              <w:left w:val="single" w:sz="4" w:space="0" w:color="DEE2E6"/>
              <w:bottom w:val="single" w:sz="4" w:space="0" w:color="DEE2E6"/>
              <w:right w:val="single" w:sz="4" w:space="0" w:color="DEE2E6"/>
            </w:tcBorders>
          </w:tcPr>
          <w:p w14:paraId="4F158060" w14:textId="77777777" w:rsidR="00882FE7" w:rsidRDefault="00000000">
            <w:pPr>
              <w:spacing w:before="40" w:after="40"/>
            </w:pPr>
            <w:r>
              <w:rPr>
                <w:rFonts w:cs="Calibri"/>
                <w:color w:val="212529"/>
                <w:sz w:val="18"/>
              </w:rPr>
              <w:t>ISO/IEC 27001 version 2022, ISO/IEC 25010, ISO/IEC 27005, RGESN, WCAG 2.2 et RGAA 4</w:t>
            </w:r>
          </w:p>
        </w:tc>
        <w:tc>
          <w:tcPr>
            <w:tcW w:w="1352" w:type="dxa"/>
            <w:tcBorders>
              <w:top w:val="single" w:sz="4" w:space="0" w:color="DEE2E6"/>
              <w:left w:val="single" w:sz="4" w:space="0" w:color="DEE2E6"/>
              <w:bottom w:val="single" w:sz="4" w:space="0" w:color="DEE2E6"/>
              <w:right w:val="single" w:sz="4" w:space="0" w:color="DEE2E6"/>
            </w:tcBorders>
          </w:tcPr>
          <w:p w14:paraId="06EAAFE8" w14:textId="77777777" w:rsidR="00882FE7" w:rsidRDefault="00000000">
            <w:pPr>
              <w:spacing w:before="40" w:after="40"/>
              <w:jc w:val="center"/>
            </w:pPr>
            <w:r>
              <w:rPr>
                <w:rFonts w:cs="Calibri"/>
                <w:color w:val="212529"/>
                <w:sz w:val="18"/>
              </w:rPr>
              <w:t>Normatif</w:t>
            </w:r>
          </w:p>
        </w:tc>
        <w:tc>
          <w:tcPr>
            <w:tcW w:w="2103" w:type="dxa"/>
            <w:tcBorders>
              <w:top w:val="single" w:sz="4" w:space="0" w:color="DEE2E6"/>
              <w:left w:val="single" w:sz="4" w:space="0" w:color="DEE2E6"/>
              <w:bottom w:val="single" w:sz="4" w:space="0" w:color="DEE2E6"/>
              <w:right w:val="single" w:sz="4" w:space="0" w:color="DEE2E6"/>
            </w:tcBorders>
          </w:tcPr>
          <w:p w14:paraId="746B0044" w14:textId="77777777" w:rsidR="00882FE7" w:rsidRDefault="00000000">
            <w:pPr>
              <w:spacing w:before="40" w:after="40"/>
            </w:pPr>
            <w:r>
              <w:rPr>
                <w:rFonts w:cs="Calibri"/>
                <w:color w:val="212529"/>
                <w:sz w:val="18"/>
              </w:rPr>
              <w:t>À chaque revue de conformité</w:t>
            </w:r>
          </w:p>
        </w:tc>
        <w:tc>
          <w:tcPr>
            <w:tcW w:w="6009" w:type="dxa"/>
            <w:tcBorders>
              <w:top w:val="single" w:sz="4" w:space="0" w:color="DEE2E6"/>
              <w:left w:val="single" w:sz="4" w:space="0" w:color="DEE2E6"/>
              <w:bottom w:val="single" w:sz="4" w:space="0" w:color="DEE2E6"/>
              <w:right w:val="single" w:sz="4" w:space="0" w:color="DEE2E6"/>
            </w:tcBorders>
          </w:tcPr>
          <w:p w14:paraId="47F61841" w14:textId="77777777" w:rsidR="00882FE7" w:rsidRDefault="00000000">
            <w:pPr>
              <w:spacing w:before="40" w:after="40"/>
            </w:pPr>
            <w:r>
              <w:rPr>
                <w:rFonts w:cs="Calibri"/>
                <w:color w:val="212529"/>
                <w:sz w:val="18"/>
              </w:rPr>
              <w:t>Exigences de sécurité, de qualité, de sobriété et d'accessibilité</w:t>
            </w:r>
          </w:p>
        </w:tc>
        <w:tc>
          <w:tcPr>
            <w:tcW w:w="901" w:type="dxa"/>
            <w:tcBorders>
              <w:top w:val="single" w:sz="4" w:space="0" w:color="DEE2E6"/>
              <w:left w:val="single" w:sz="4" w:space="0" w:color="DEE2E6"/>
              <w:bottom w:val="single" w:sz="4" w:space="0" w:color="DEE2E6"/>
              <w:right w:val="single" w:sz="4" w:space="0" w:color="DEE2E6"/>
            </w:tcBorders>
          </w:tcPr>
          <w:p w14:paraId="470D5080" w14:textId="77777777" w:rsidR="00882FE7" w:rsidRDefault="00000000">
            <w:pPr>
              <w:spacing w:before="40" w:after="40"/>
              <w:jc w:val="center"/>
            </w:pPr>
            <w:r>
              <w:rPr>
                <w:rFonts w:cs="Calibri"/>
                <w:color w:val="212529"/>
                <w:sz w:val="18"/>
              </w:rPr>
              <w:t>5</w:t>
            </w:r>
          </w:p>
        </w:tc>
      </w:tr>
      <w:tr w:rsidR="00882FE7" w14:paraId="58DC2D8C" w14:textId="77777777">
        <w:trPr>
          <w:jc w:val="center"/>
        </w:trPr>
        <w:tc>
          <w:tcPr>
            <w:tcW w:w="751" w:type="dxa"/>
            <w:tcBorders>
              <w:top w:val="single" w:sz="4" w:space="0" w:color="DEE2E6"/>
              <w:left w:val="single" w:sz="4" w:space="0" w:color="DEE2E6"/>
              <w:bottom w:val="single" w:sz="4" w:space="0" w:color="DEE2E6"/>
              <w:right w:val="single" w:sz="4" w:space="0" w:color="DEE2E6"/>
            </w:tcBorders>
            <w:shd w:val="clear" w:color="auto" w:fill="F8F9FA"/>
          </w:tcPr>
          <w:p w14:paraId="06565D6D" w14:textId="77777777" w:rsidR="00882FE7" w:rsidRDefault="00000000">
            <w:pPr>
              <w:spacing w:before="40" w:after="40"/>
              <w:jc w:val="center"/>
            </w:pPr>
            <w:r>
              <w:rPr>
                <w:rFonts w:cs="Calibri"/>
                <w:b/>
                <w:color w:val="212529"/>
                <w:sz w:val="18"/>
              </w:rPr>
              <w:t>S6</w:t>
            </w:r>
          </w:p>
        </w:tc>
        <w:tc>
          <w:tcPr>
            <w:tcW w:w="3906" w:type="dxa"/>
            <w:tcBorders>
              <w:top w:val="single" w:sz="4" w:space="0" w:color="DEE2E6"/>
              <w:left w:val="single" w:sz="4" w:space="0" w:color="DEE2E6"/>
              <w:bottom w:val="single" w:sz="4" w:space="0" w:color="DEE2E6"/>
              <w:right w:val="single" w:sz="4" w:space="0" w:color="DEE2E6"/>
            </w:tcBorders>
            <w:shd w:val="clear" w:color="auto" w:fill="F8F9FA"/>
          </w:tcPr>
          <w:p w14:paraId="3A4ACBB5" w14:textId="77777777" w:rsidR="00882FE7" w:rsidRDefault="00000000">
            <w:pPr>
              <w:spacing w:before="40" w:after="40"/>
            </w:pPr>
            <w:r>
              <w:rPr>
                <w:rFonts w:cs="Calibri"/>
                <w:color w:val="212529"/>
                <w:sz w:val="18"/>
              </w:rPr>
              <w:t>ThoughtWorks Technology Radar, CNCF Landscape</w:t>
            </w:r>
          </w:p>
        </w:tc>
        <w:tc>
          <w:tcPr>
            <w:tcW w:w="1352" w:type="dxa"/>
            <w:tcBorders>
              <w:top w:val="single" w:sz="4" w:space="0" w:color="DEE2E6"/>
              <w:left w:val="single" w:sz="4" w:space="0" w:color="DEE2E6"/>
              <w:bottom w:val="single" w:sz="4" w:space="0" w:color="DEE2E6"/>
              <w:right w:val="single" w:sz="4" w:space="0" w:color="DEE2E6"/>
            </w:tcBorders>
            <w:shd w:val="clear" w:color="auto" w:fill="F8F9FA"/>
          </w:tcPr>
          <w:p w14:paraId="62759F91" w14:textId="77777777" w:rsidR="00882FE7" w:rsidRDefault="00000000">
            <w:pPr>
              <w:spacing w:before="40" w:after="40"/>
              <w:jc w:val="center"/>
            </w:pPr>
            <w:r>
              <w:rPr>
                <w:rFonts w:cs="Calibri"/>
                <w:color w:val="212529"/>
                <w:sz w:val="18"/>
              </w:rPr>
              <w:t>Prospective</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55775C16" w14:textId="77777777" w:rsidR="00882FE7" w:rsidRDefault="00000000">
            <w:pPr>
              <w:spacing w:before="40" w:after="40"/>
            </w:pPr>
            <w:r>
              <w:rPr>
                <w:rFonts w:cs="Calibri"/>
                <w:color w:val="212529"/>
                <w:sz w:val="18"/>
              </w:rPr>
              <w:t>Trimestriel à semestriel</w:t>
            </w:r>
          </w:p>
        </w:tc>
        <w:tc>
          <w:tcPr>
            <w:tcW w:w="6009" w:type="dxa"/>
            <w:tcBorders>
              <w:top w:val="single" w:sz="4" w:space="0" w:color="DEE2E6"/>
              <w:left w:val="single" w:sz="4" w:space="0" w:color="DEE2E6"/>
              <w:bottom w:val="single" w:sz="4" w:space="0" w:color="DEE2E6"/>
              <w:right w:val="single" w:sz="4" w:space="0" w:color="DEE2E6"/>
            </w:tcBorders>
            <w:shd w:val="clear" w:color="auto" w:fill="F8F9FA"/>
          </w:tcPr>
          <w:p w14:paraId="5F148CBC" w14:textId="77777777" w:rsidR="00882FE7" w:rsidRDefault="00000000">
            <w:pPr>
              <w:spacing w:before="40" w:after="40"/>
            </w:pPr>
            <w:r>
              <w:rPr>
                <w:rFonts w:cs="Calibri"/>
                <w:color w:val="212529"/>
                <w:sz w:val="18"/>
              </w:rPr>
              <w:t>Maturité réelle d'une technologie, tendances à écarter</w:t>
            </w:r>
          </w:p>
        </w:tc>
        <w:tc>
          <w:tcPr>
            <w:tcW w:w="901" w:type="dxa"/>
            <w:tcBorders>
              <w:top w:val="single" w:sz="4" w:space="0" w:color="DEE2E6"/>
              <w:left w:val="single" w:sz="4" w:space="0" w:color="DEE2E6"/>
              <w:bottom w:val="single" w:sz="4" w:space="0" w:color="DEE2E6"/>
              <w:right w:val="single" w:sz="4" w:space="0" w:color="DEE2E6"/>
            </w:tcBorders>
            <w:shd w:val="clear" w:color="auto" w:fill="F8F9FA"/>
          </w:tcPr>
          <w:p w14:paraId="3267F2D9" w14:textId="77777777" w:rsidR="00882FE7" w:rsidRDefault="00000000">
            <w:pPr>
              <w:spacing w:before="40" w:after="40"/>
              <w:jc w:val="center"/>
            </w:pPr>
            <w:r>
              <w:rPr>
                <w:rFonts w:cs="Calibri"/>
                <w:color w:val="212529"/>
                <w:sz w:val="18"/>
              </w:rPr>
              <w:t>4</w:t>
            </w:r>
          </w:p>
        </w:tc>
      </w:tr>
      <w:tr w:rsidR="00882FE7" w14:paraId="4A8DFB1D" w14:textId="77777777">
        <w:trPr>
          <w:jc w:val="center"/>
        </w:trPr>
        <w:tc>
          <w:tcPr>
            <w:tcW w:w="751" w:type="dxa"/>
            <w:tcBorders>
              <w:top w:val="single" w:sz="4" w:space="0" w:color="DEE2E6"/>
              <w:left w:val="single" w:sz="4" w:space="0" w:color="DEE2E6"/>
              <w:bottom w:val="single" w:sz="4" w:space="0" w:color="DEE2E6"/>
              <w:right w:val="single" w:sz="4" w:space="0" w:color="DEE2E6"/>
            </w:tcBorders>
          </w:tcPr>
          <w:p w14:paraId="11CC2EFA" w14:textId="77777777" w:rsidR="00882FE7" w:rsidRDefault="00000000">
            <w:pPr>
              <w:spacing w:before="40" w:after="40"/>
              <w:jc w:val="center"/>
            </w:pPr>
            <w:r>
              <w:rPr>
                <w:rFonts w:cs="Calibri"/>
                <w:b/>
                <w:color w:val="212529"/>
                <w:sz w:val="18"/>
              </w:rPr>
              <w:t>S7</w:t>
            </w:r>
          </w:p>
        </w:tc>
        <w:tc>
          <w:tcPr>
            <w:tcW w:w="3906" w:type="dxa"/>
            <w:tcBorders>
              <w:top w:val="single" w:sz="4" w:space="0" w:color="DEE2E6"/>
              <w:left w:val="single" w:sz="4" w:space="0" w:color="DEE2E6"/>
              <w:bottom w:val="single" w:sz="4" w:space="0" w:color="DEE2E6"/>
              <w:right w:val="single" w:sz="4" w:space="0" w:color="DEE2E6"/>
            </w:tcBorders>
          </w:tcPr>
          <w:p w14:paraId="6132DB80" w14:textId="77777777" w:rsidR="00882FE7" w:rsidRDefault="00000000">
            <w:pPr>
              <w:spacing w:before="40" w:after="40"/>
            </w:pPr>
            <w:r>
              <w:rPr>
                <w:rFonts w:cs="Calibri"/>
                <w:color w:val="212529"/>
                <w:sz w:val="18"/>
              </w:rPr>
              <w:t>State of DevOps Report (DORA), Stack Overflow Developer Survey</w:t>
            </w:r>
          </w:p>
        </w:tc>
        <w:tc>
          <w:tcPr>
            <w:tcW w:w="1352" w:type="dxa"/>
            <w:tcBorders>
              <w:top w:val="single" w:sz="4" w:space="0" w:color="DEE2E6"/>
              <w:left w:val="single" w:sz="4" w:space="0" w:color="DEE2E6"/>
              <w:bottom w:val="single" w:sz="4" w:space="0" w:color="DEE2E6"/>
              <w:right w:val="single" w:sz="4" w:space="0" w:color="DEE2E6"/>
            </w:tcBorders>
          </w:tcPr>
          <w:p w14:paraId="771B9D8E" w14:textId="77777777" w:rsidR="00882FE7" w:rsidRDefault="00000000">
            <w:pPr>
              <w:spacing w:before="40" w:after="40"/>
              <w:jc w:val="center"/>
            </w:pPr>
            <w:r>
              <w:rPr>
                <w:rFonts w:cs="Calibri"/>
                <w:color w:val="212529"/>
                <w:sz w:val="18"/>
              </w:rPr>
              <w:t>Étude</w:t>
            </w:r>
          </w:p>
        </w:tc>
        <w:tc>
          <w:tcPr>
            <w:tcW w:w="2103" w:type="dxa"/>
            <w:tcBorders>
              <w:top w:val="single" w:sz="4" w:space="0" w:color="DEE2E6"/>
              <w:left w:val="single" w:sz="4" w:space="0" w:color="DEE2E6"/>
              <w:bottom w:val="single" w:sz="4" w:space="0" w:color="DEE2E6"/>
              <w:right w:val="single" w:sz="4" w:space="0" w:color="DEE2E6"/>
            </w:tcBorders>
          </w:tcPr>
          <w:p w14:paraId="79784B8A" w14:textId="77777777" w:rsidR="00882FE7" w:rsidRDefault="00000000">
            <w:pPr>
              <w:spacing w:before="40" w:after="40"/>
            </w:pPr>
            <w:r>
              <w:rPr>
                <w:rFonts w:cs="Calibri"/>
                <w:color w:val="212529"/>
                <w:sz w:val="18"/>
              </w:rPr>
              <w:t>Annuel</w:t>
            </w:r>
          </w:p>
        </w:tc>
        <w:tc>
          <w:tcPr>
            <w:tcW w:w="6009" w:type="dxa"/>
            <w:tcBorders>
              <w:top w:val="single" w:sz="4" w:space="0" w:color="DEE2E6"/>
              <w:left w:val="single" w:sz="4" w:space="0" w:color="DEE2E6"/>
              <w:bottom w:val="single" w:sz="4" w:space="0" w:color="DEE2E6"/>
              <w:right w:val="single" w:sz="4" w:space="0" w:color="DEE2E6"/>
            </w:tcBorders>
          </w:tcPr>
          <w:p w14:paraId="16F6F02F" w14:textId="77777777" w:rsidR="00882FE7" w:rsidRDefault="00000000">
            <w:pPr>
              <w:spacing w:before="40" w:after="40"/>
            </w:pPr>
            <w:r>
              <w:rPr>
                <w:rFonts w:cs="Calibri"/>
                <w:color w:val="212529"/>
                <w:sz w:val="18"/>
              </w:rPr>
              <w:t>Données d'adoption, corrélations entre pratiques et performance</w:t>
            </w:r>
          </w:p>
        </w:tc>
        <w:tc>
          <w:tcPr>
            <w:tcW w:w="901" w:type="dxa"/>
            <w:tcBorders>
              <w:top w:val="single" w:sz="4" w:space="0" w:color="DEE2E6"/>
              <w:left w:val="single" w:sz="4" w:space="0" w:color="DEE2E6"/>
              <w:bottom w:val="single" w:sz="4" w:space="0" w:color="DEE2E6"/>
              <w:right w:val="single" w:sz="4" w:space="0" w:color="DEE2E6"/>
            </w:tcBorders>
          </w:tcPr>
          <w:p w14:paraId="1A690914" w14:textId="77777777" w:rsidR="00882FE7" w:rsidRDefault="00000000">
            <w:pPr>
              <w:spacing w:before="40" w:after="40"/>
              <w:jc w:val="center"/>
            </w:pPr>
            <w:r>
              <w:rPr>
                <w:rFonts w:cs="Calibri"/>
                <w:color w:val="212529"/>
                <w:sz w:val="18"/>
              </w:rPr>
              <w:t>4</w:t>
            </w:r>
          </w:p>
        </w:tc>
      </w:tr>
      <w:tr w:rsidR="00882FE7" w14:paraId="45CD677A" w14:textId="77777777">
        <w:trPr>
          <w:jc w:val="center"/>
        </w:trPr>
        <w:tc>
          <w:tcPr>
            <w:tcW w:w="751" w:type="dxa"/>
            <w:tcBorders>
              <w:top w:val="single" w:sz="4" w:space="0" w:color="DEE2E6"/>
              <w:left w:val="single" w:sz="4" w:space="0" w:color="DEE2E6"/>
              <w:bottom w:val="single" w:sz="4" w:space="0" w:color="DEE2E6"/>
              <w:right w:val="single" w:sz="4" w:space="0" w:color="DEE2E6"/>
            </w:tcBorders>
            <w:shd w:val="clear" w:color="auto" w:fill="F8F9FA"/>
          </w:tcPr>
          <w:p w14:paraId="43E75FE0" w14:textId="77777777" w:rsidR="00882FE7" w:rsidRDefault="00000000">
            <w:pPr>
              <w:spacing w:before="40" w:after="40"/>
              <w:jc w:val="center"/>
            </w:pPr>
            <w:r>
              <w:rPr>
                <w:rFonts w:cs="Calibri"/>
                <w:b/>
                <w:color w:val="212529"/>
                <w:sz w:val="18"/>
              </w:rPr>
              <w:t>S8</w:t>
            </w:r>
          </w:p>
        </w:tc>
        <w:tc>
          <w:tcPr>
            <w:tcW w:w="3906" w:type="dxa"/>
            <w:tcBorders>
              <w:top w:val="single" w:sz="4" w:space="0" w:color="DEE2E6"/>
              <w:left w:val="single" w:sz="4" w:space="0" w:color="DEE2E6"/>
              <w:bottom w:val="single" w:sz="4" w:space="0" w:color="DEE2E6"/>
              <w:right w:val="single" w:sz="4" w:space="0" w:color="DEE2E6"/>
            </w:tcBorders>
            <w:shd w:val="clear" w:color="auto" w:fill="F8F9FA"/>
          </w:tcPr>
          <w:p w14:paraId="1E55F423" w14:textId="77777777" w:rsidR="00882FE7" w:rsidRDefault="00000000">
            <w:pPr>
              <w:spacing w:before="40" w:after="40"/>
            </w:pPr>
            <w:r>
              <w:rPr>
                <w:rFonts w:cs="Calibri"/>
                <w:color w:val="212529"/>
                <w:sz w:val="18"/>
              </w:rPr>
              <w:t>Blogs d'ingénierie et changelogs des hébergeurs (Hetzner, Cloudflare, AWS)</w:t>
            </w:r>
          </w:p>
        </w:tc>
        <w:tc>
          <w:tcPr>
            <w:tcW w:w="1352" w:type="dxa"/>
            <w:tcBorders>
              <w:top w:val="single" w:sz="4" w:space="0" w:color="DEE2E6"/>
              <w:left w:val="single" w:sz="4" w:space="0" w:color="DEE2E6"/>
              <w:bottom w:val="single" w:sz="4" w:space="0" w:color="DEE2E6"/>
              <w:right w:val="single" w:sz="4" w:space="0" w:color="DEE2E6"/>
            </w:tcBorders>
            <w:shd w:val="clear" w:color="auto" w:fill="F8F9FA"/>
          </w:tcPr>
          <w:p w14:paraId="62839B6F" w14:textId="77777777" w:rsidR="00882FE7" w:rsidRDefault="00000000">
            <w:pPr>
              <w:spacing w:before="40" w:after="40"/>
              <w:jc w:val="center"/>
            </w:pPr>
            <w:r>
              <w:rPr>
                <w:rFonts w:cs="Calibri"/>
                <w:color w:val="212529"/>
                <w:sz w:val="18"/>
              </w:rPr>
              <w:t>Fournisseur</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6DEEDE6B" w14:textId="77777777" w:rsidR="00882FE7" w:rsidRDefault="00000000">
            <w:pPr>
              <w:spacing w:before="40" w:after="40"/>
            </w:pPr>
            <w:r>
              <w:rPr>
                <w:rFonts w:cs="Calibri"/>
                <w:color w:val="212529"/>
                <w:sz w:val="18"/>
              </w:rPr>
              <w:t>Mensuel</w:t>
            </w:r>
          </w:p>
        </w:tc>
        <w:tc>
          <w:tcPr>
            <w:tcW w:w="6009" w:type="dxa"/>
            <w:tcBorders>
              <w:top w:val="single" w:sz="4" w:space="0" w:color="DEE2E6"/>
              <w:left w:val="single" w:sz="4" w:space="0" w:color="DEE2E6"/>
              <w:bottom w:val="single" w:sz="4" w:space="0" w:color="DEE2E6"/>
              <w:right w:val="single" w:sz="4" w:space="0" w:color="DEE2E6"/>
            </w:tcBorders>
            <w:shd w:val="clear" w:color="auto" w:fill="F8F9FA"/>
          </w:tcPr>
          <w:p w14:paraId="7FD79AB0" w14:textId="77777777" w:rsidR="00882FE7" w:rsidRDefault="00000000">
            <w:pPr>
              <w:spacing w:before="40" w:after="40"/>
            </w:pPr>
            <w:r>
              <w:rPr>
                <w:rFonts w:cs="Calibri"/>
                <w:color w:val="212529"/>
                <w:sz w:val="18"/>
              </w:rPr>
              <w:t>Évolutions tarifaires, nouveaux services, incidents déclarés</w:t>
            </w:r>
          </w:p>
        </w:tc>
        <w:tc>
          <w:tcPr>
            <w:tcW w:w="901" w:type="dxa"/>
            <w:tcBorders>
              <w:top w:val="single" w:sz="4" w:space="0" w:color="DEE2E6"/>
              <w:left w:val="single" w:sz="4" w:space="0" w:color="DEE2E6"/>
              <w:bottom w:val="single" w:sz="4" w:space="0" w:color="DEE2E6"/>
              <w:right w:val="single" w:sz="4" w:space="0" w:color="DEE2E6"/>
            </w:tcBorders>
            <w:shd w:val="clear" w:color="auto" w:fill="F8F9FA"/>
          </w:tcPr>
          <w:p w14:paraId="0D5660D4" w14:textId="77777777" w:rsidR="00882FE7" w:rsidRDefault="00000000">
            <w:pPr>
              <w:spacing w:before="40" w:after="40"/>
              <w:jc w:val="center"/>
            </w:pPr>
            <w:r>
              <w:rPr>
                <w:rFonts w:cs="Calibri"/>
                <w:color w:val="212529"/>
                <w:sz w:val="18"/>
              </w:rPr>
              <w:t>3</w:t>
            </w:r>
          </w:p>
        </w:tc>
      </w:tr>
      <w:tr w:rsidR="00882FE7" w14:paraId="09F741BC" w14:textId="77777777">
        <w:trPr>
          <w:jc w:val="center"/>
        </w:trPr>
        <w:tc>
          <w:tcPr>
            <w:tcW w:w="751" w:type="dxa"/>
            <w:tcBorders>
              <w:top w:val="single" w:sz="4" w:space="0" w:color="DEE2E6"/>
              <w:left w:val="single" w:sz="4" w:space="0" w:color="DEE2E6"/>
              <w:bottom w:val="single" w:sz="4" w:space="0" w:color="DEE2E6"/>
              <w:right w:val="single" w:sz="4" w:space="0" w:color="DEE2E6"/>
            </w:tcBorders>
          </w:tcPr>
          <w:p w14:paraId="74079194" w14:textId="77777777" w:rsidR="00882FE7" w:rsidRDefault="00000000">
            <w:pPr>
              <w:spacing w:before="40" w:after="40"/>
              <w:jc w:val="center"/>
            </w:pPr>
            <w:r>
              <w:rPr>
                <w:rFonts w:cs="Calibri"/>
                <w:b/>
                <w:color w:val="212529"/>
                <w:sz w:val="18"/>
              </w:rPr>
              <w:t>S9</w:t>
            </w:r>
          </w:p>
        </w:tc>
        <w:tc>
          <w:tcPr>
            <w:tcW w:w="3906" w:type="dxa"/>
            <w:tcBorders>
              <w:top w:val="single" w:sz="4" w:space="0" w:color="DEE2E6"/>
              <w:left w:val="single" w:sz="4" w:space="0" w:color="DEE2E6"/>
              <w:bottom w:val="single" w:sz="4" w:space="0" w:color="DEE2E6"/>
              <w:right w:val="single" w:sz="4" w:space="0" w:color="DEE2E6"/>
            </w:tcBorders>
          </w:tcPr>
          <w:p w14:paraId="6168C7EF" w14:textId="77777777" w:rsidR="00882FE7" w:rsidRDefault="00000000">
            <w:pPr>
              <w:spacing w:before="40" w:after="40"/>
            </w:pPr>
            <w:r>
              <w:rPr>
                <w:rFonts w:cs="Calibri"/>
                <w:color w:val="212529"/>
                <w:sz w:val="18"/>
              </w:rPr>
              <w:t>Hacker News, Reddit r/devops, Lobsters</w:t>
            </w:r>
          </w:p>
        </w:tc>
        <w:tc>
          <w:tcPr>
            <w:tcW w:w="1352" w:type="dxa"/>
            <w:tcBorders>
              <w:top w:val="single" w:sz="4" w:space="0" w:color="DEE2E6"/>
              <w:left w:val="single" w:sz="4" w:space="0" w:color="DEE2E6"/>
              <w:bottom w:val="single" w:sz="4" w:space="0" w:color="DEE2E6"/>
              <w:right w:val="single" w:sz="4" w:space="0" w:color="DEE2E6"/>
            </w:tcBorders>
          </w:tcPr>
          <w:p w14:paraId="0BCB0EB1" w14:textId="77777777" w:rsidR="00882FE7" w:rsidRDefault="00000000">
            <w:pPr>
              <w:spacing w:before="40" w:after="40"/>
              <w:jc w:val="center"/>
            </w:pPr>
            <w:r>
              <w:rPr>
                <w:rFonts w:cs="Calibri"/>
                <w:color w:val="212529"/>
                <w:sz w:val="18"/>
              </w:rPr>
              <w:t>Communautaire</w:t>
            </w:r>
          </w:p>
        </w:tc>
        <w:tc>
          <w:tcPr>
            <w:tcW w:w="2103" w:type="dxa"/>
            <w:tcBorders>
              <w:top w:val="single" w:sz="4" w:space="0" w:color="DEE2E6"/>
              <w:left w:val="single" w:sz="4" w:space="0" w:color="DEE2E6"/>
              <w:bottom w:val="single" w:sz="4" w:space="0" w:color="DEE2E6"/>
              <w:right w:val="single" w:sz="4" w:space="0" w:color="DEE2E6"/>
            </w:tcBorders>
          </w:tcPr>
          <w:p w14:paraId="07FF613D" w14:textId="77777777" w:rsidR="00882FE7" w:rsidRDefault="00000000">
            <w:pPr>
              <w:spacing w:before="40" w:after="40"/>
            </w:pPr>
            <w:r>
              <w:rPr>
                <w:rFonts w:cs="Calibri"/>
                <w:color w:val="212529"/>
                <w:sz w:val="18"/>
              </w:rPr>
              <w:t>Quotidien, en survol</w:t>
            </w:r>
          </w:p>
        </w:tc>
        <w:tc>
          <w:tcPr>
            <w:tcW w:w="6009" w:type="dxa"/>
            <w:tcBorders>
              <w:top w:val="single" w:sz="4" w:space="0" w:color="DEE2E6"/>
              <w:left w:val="single" w:sz="4" w:space="0" w:color="DEE2E6"/>
              <w:bottom w:val="single" w:sz="4" w:space="0" w:color="DEE2E6"/>
              <w:right w:val="single" w:sz="4" w:space="0" w:color="DEE2E6"/>
            </w:tcBorders>
          </w:tcPr>
          <w:p w14:paraId="6B4218D4" w14:textId="77777777" w:rsidR="00882FE7" w:rsidRDefault="00000000">
            <w:pPr>
              <w:spacing w:before="40" w:after="40"/>
            </w:pPr>
            <w:r>
              <w:rPr>
                <w:rFonts w:cs="Calibri"/>
                <w:color w:val="212529"/>
                <w:sz w:val="18"/>
              </w:rPr>
              <w:t>Signaux faibles, retours d'exploitation, incidents de licence</w:t>
            </w:r>
          </w:p>
        </w:tc>
        <w:tc>
          <w:tcPr>
            <w:tcW w:w="901" w:type="dxa"/>
            <w:tcBorders>
              <w:top w:val="single" w:sz="4" w:space="0" w:color="DEE2E6"/>
              <w:left w:val="single" w:sz="4" w:space="0" w:color="DEE2E6"/>
              <w:bottom w:val="single" w:sz="4" w:space="0" w:color="DEE2E6"/>
              <w:right w:val="single" w:sz="4" w:space="0" w:color="DEE2E6"/>
            </w:tcBorders>
          </w:tcPr>
          <w:p w14:paraId="61BF7BA5" w14:textId="77777777" w:rsidR="00882FE7" w:rsidRDefault="00000000">
            <w:pPr>
              <w:spacing w:before="40" w:after="40"/>
              <w:jc w:val="center"/>
            </w:pPr>
            <w:r>
              <w:rPr>
                <w:rFonts w:cs="Calibri"/>
                <w:color w:val="212529"/>
                <w:sz w:val="18"/>
              </w:rPr>
              <w:t>2</w:t>
            </w:r>
          </w:p>
        </w:tc>
      </w:tr>
    </w:tbl>
    <w:p w14:paraId="6DA18623" w14:textId="77777777" w:rsidR="00882FE7" w:rsidRDefault="00882FE7">
      <w:pPr>
        <w:spacing w:after="0"/>
      </w:pPr>
    </w:p>
    <w:p w14:paraId="68A3D96F" w14:textId="77777777" w:rsidR="00882FE7" w:rsidRDefault="00000000">
      <w:pPr>
        <w:spacing w:before="120" w:after="120"/>
        <w:jc w:val="both"/>
      </w:pPr>
      <w:r>
        <w:rPr>
          <w:rFonts w:cs="Calibri"/>
          <w:color w:val="212529"/>
        </w:rPr>
        <w:lastRenderedPageBreak/>
        <w:t>Trois modes de collecte coexistent. Les flux RSS et les abonnements aux notes de version alimentent un tri hebdomadaire. Les alertes automatiques de sécurité (Dependabot, GitHub Advisory) remontent directement dans le dépôt et dans le pipeline, où l'analyse Trivy rafraîchit sa base de vulnérabilités à chaque exécution. Les études annuelles et les radars technologiques font l'objet d'une lecture planifiée, hors urgence, parce qu'ils servent l'arbitrage et non la réaction.</w:t>
      </w:r>
    </w:p>
    <w:p w14:paraId="70D966BD" w14:textId="77777777" w:rsidR="00882FE7" w:rsidRDefault="00000000">
      <w:pPr>
        <w:spacing w:before="240" w:after="100"/>
      </w:pPr>
      <w:r>
        <w:rPr>
          <w:rFonts w:cs="Calibri"/>
          <w:b/>
          <w:color w:val="1C7ED6"/>
          <w:sz w:val="26"/>
        </w:rPr>
        <w:t>2.  Grille d'évaluation des sources</w:t>
      </w:r>
    </w:p>
    <w:p w14:paraId="5F4764AF" w14:textId="77777777" w:rsidR="00882FE7" w:rsidRDefault="00000000">
      <w:pPr>
        <w:spacing w:after="120"/>
        <w:jc w:val="both"/>
      </w:pPr>
      <w:r>
        <w:rPr>
          <w:rFonts w:cs="Calibri"/>
          <w:color w:val="212529"/>
        </w:rPr>
        <w:t>Une source n'est pas retenue parce qu'elle est disponible, mais parce qu'elle est qualifiable. Cinq critères la notent, la note de fiabilité reportée en section 1 étant la moyenne arrondie.</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Look w:val="04A0" w:firstRow="1" w:lastRow="0" w:firstColumn="1" w:lastColumn="0" w:noHBand="0" w:noVBand="1"/>
      </w:tblPr>
      <w:tblGrid>
        <w:gridCol w:w="1802"/>
        <w:gridCol w:w="3906"/>
        <w:gridCol w:w="3004"/>
        <w:gridCol w:w="3004"/>
        <w:gridCol w:w="3305"/>
      </w:tblGrid>
      <w:tr w:rsidR="00882FE7" w14:paraId="6C7255B4" w14:textId="77777777">
        <w:trPr>
          <w:tblHeader/>
          <w:jc w:val="center"/>
        </w:trPr>
        <w:tc>
          <w:tcPr>
            <w:tcW w:w="1802" w:type="dxa"/>
            <w:tcBorders>
              <w:top w:val="single" w:sz="4" w:space="0" w:color="DEE2E6"/>
              <w:left w:val="single" w:sz="4" w:space="0" w:color="DEE2E6"/>
              <w:bottom w:val="single" w:sz="4" w:space="0" w:color="DEE2E6"/>
              <w:right w:val="single" w:sz="4" w:space="0" w:color="DEE2E6"/>
            </w:tcBorders>
            <w:shd w:val="clear" w:color="auto" w:fill="495057"/>
          </w:tcPr>
          <w:p w14:paraId="50EE695C" w14:textId="77777777" w:rsidR="00882FE7" w:rsidRDefault="00000000">
            <w:pPr>
              <w:spacing w:before="40" w:after="40"/>
              <w:jc w:val="center"/>
            </w:pPr>
            <w:r>
              <w:rPr>
                <w:rFonts w:cs="Calibri"/>
                <w:b/>
                <w:color w:val="FFFFFF"/>
                <w:sz w:val="18"/>
              </w:rPr>
              <w:t>Critère</w:t>
            </w:r>
          </w:p>
        </w:tc>
        <w:tc>
          <w:tcPr>
            <w:tcW w:w="3906" w:type="dxa"/>
            <w:tcBorders>
              <w:top w:val="single" w:sz="4" w:space="0" w:color="DEE2E6"/>
              <w:left w:val="single" w:sz="4" w:space="0" w:color="DEE2E6"/>
              <w:bottom w:val="single" w:sz="4" w:space="0" w:color="DEE2E6"/>
              <w:right w:val="single" w:sz="4" w:space="0" w:color="DEE2E6"/>
            </w:tcBorders>
            <w:shd w:val="clear" w:color="auto" w:fill="495057"/>
          </w:tcPr>
          <w:p w14:paraId="654CDBD1" w14:textId="77777777" w:rsidR="00882FE7" w:rsidRDefault="00000000">
            <w:pPr>
              <w:spacing w:before="40" w:after="40"/>
              <w:jc w:val="center"/>
            </w:pPr>
            <w:r>
              <w:rPr>
                <w:rFonts w:cs="Calibri"/>
                <w:b/>
                <w:color w:val="FFFFFF"/>
                <w:sz w:val="18"/>
              </w:rPr>
              <w:t>Question posée</w:t>
            </w:r>
          </w:p>
        </w:tc>
        <w:tc>
          <w:tcPr>
            <w:tcW w:w="3004" w:type="dxa"/>
            <w:tcBorders>
              <w:top w:val="single" w:sz="4" w:space="0" w:color="DEE2E6"/>
              <w:left w:val="single" w:sz="4" w:space="0" w:color="DEE2E6"/>
              <w:bottom w:val="single" w:sz="4" w:space="0" w:color="DEE2E6"/>
              <w:right w:val="single" w:sz="4" w:space="0" w:color="DEE2E6"/>
            </w:tcBorders>
            <w:shd w:val="clear" w:color="auto" w:fill="495057"/>
          </w:tcPr>
          <w:p w14:paraId="5099C242" w14:textId="77777777" w:rsidR="00882FE7" w:rsidRDefault="00000000">
            <w:pPr>
              <w:spacing w:before="40" w:after="40"/>
              <w:jc w:val="center"/>
            </w:pPr>
            <w:r>
              <w:rPr>
                <w:rFonts w:cs="Calibri"/>
                <w:b/>
                <w:color w:val="FFFFFF"/>
                <w:sz w:val="18"/>
              </w:rPr>
              <w:t>Note 1</w:t>
            </w:r>
          </w:p>
        </w:tc>
        <w:tc>
          <w:tcPr>
            <w:tcW w:w="3004" w:type="dxa"/>
            <w:tcBorders>
              <w:top w:val="single" w:sz="4" w:space="0" w:color="DEE2E6"/>
              <w:left w:val="single" w:sz="4" w:space="0" w:color="DEE2E6"/>
              <w:bottom w:val="single" w:sz="4" w:space="0" w:color="DEE2E6"/>
              <w:right w:val="single" w:sz="4" w:space="0" w:color="DEE2E6"/>
            </w:tcBorders>
            <w:shd w:val="clear" w:color="auto" w:fill="495057"/>
          </w:tcPr>
          <w:p w14:paraId="35BE35F1" w14:textId="77777777" w:rsidR="00882FE7" w:rsidRDefault="00000000">
            <w:pPr>
              <w:spacing w:before="40" w:after="40"/>
              <w:jc w:val="center"/>
            </w:pPr>
            <w:r>
              <w:rPr>
                <w:rFonts w:cs="Calibri"/>
                <w:b/>
                <w:color w:val="FFFFFF"/>
                <w:sz w:val="18"/>
              </w:rPr>
              <w:t>Note 3</w:t>
            </w:r>
          </w:p>
        </w:tc>
        <w:tc>
          <w:tcPr>
            <w:tcW w:w="3305" w:type="dxa"/>
            <w:tcBorders>
              <w:top w:val="single" w:sz="4" w:space="0" w:color="DEE2E6"/>
              <w:left w:val="single" w:sz="4" w:space="0" w:color="DEE2E6"/>
              <w:bottom w:val="single" w:sz="4" w:space="0" w:color="DEE2E6"/>
              <w:right w:val="single" w:sz="4" w:space="0" w:color="DEE2E6"/>
            </w:tcBorders>
            <w:shd w:val="clear" w:color="auto" w:fill="495057"/>
          </w:tcPr>
          <w:p w14:paraId="5D2841D4" w14:textId="77777777" w:rsidR="00882FE7" w:rsidRDefault="00000000">
            <w:pPr>
              <w:spacing w:before="40" w:after="40"/>
              <w:jc w:val="center"/>
            </w:pPr>
            <w:r>
              <w:rPr>
                <w:rFonts w:cs="Calibri"/>
                <w:b/>
                <w:color w:val="FFFFFF"/>
                <w:sz w:val="18"/>
              </w:rPr>
              <w:t>Note 5</w:t>
            </w:r>
          </w:p>
        </w:tc>
      </w:tr>
      <w:tr w:rsidR="00882FE7" w14:paraId="1947ED92" w14:textId="77777777">
        <w:trPr>
          <w:jc w:val="center"/>
        </w:trPr>
        <w:tc>
          <w:tcPr>
            <w:tcW w:w="1802" w:type="dxa"/>
            <w:tcBorders>
              <w:top w:val="single" w:sz="4" w:space="0" w:color="DEE2E6"/>
              <w:left w:val="single" w:sz="4" w:space="0" w:color="DEE2E6"/>
              <w:bottom w:val="single" w:sz="4" w:space="0" w:color="DEE2E6"/>
              <w:right w:val="single" w:sz="4" w:space="0" w:color="DEE2E6"/>
            </w:tcBorders>
          </w:tcPr>
          <w:p w14:paraId="794EC59C" w14:textId="77777777" w:rsidR="00882FE7" w:rsidRDefault="00000000">
            <w:pPr>
              <w:spacing w:before="40" w:after="40"/>
            </w:pPr>
            <w:r>
              <w:rPr>
                <w:rFonts w:cs="Calibri"/>
                <w:b/>
                <w:color w:val="212529"/>
                <w:sz w:val="18"/>
              </w:rPr>
              <w:t>Autorité</w:t>
            </w:r>
          </w:p>
        </w:tc>
        <w:tc>
          <w:tcPr>
            <w:tcW w:w="3906" w:type="dxa"/>
            <w:tcBorders>
              <w:top w:val="single" w:sz="4" w:space="0" w:color="DEE2E6"/>
              <w:left w:val="single" w:sz="4" w:space="0" w:color="DEE2E6"/>
              <w:bottom w:val="single" w:sz="4" w:space="0" w:color="DEE2E6"/>
              <w:right w:val="single" w:sz="4" w:space="0" w:color="DEE2E6"/>
            </w:tcBorders>
          </w:tcPr>
          <w:p w14:paraId="5DFFEF2D" w14:textId="77777777" w:rsidR="00882FE7" w:rsidRDefault="00000000">
            <w:pPr>
              <w:spacing w:before="40" w:after="40"/>
            </w:pPr>
            <w:r>
              <w:rPr>
                <w:rFonts w:cs="Calibri"/>
                <w:color w:val="212529"/>
                <w:sz w:val="18"/>
              </w:rPr>
              <w:t>Qui publie, et avec quelle responsabilité engagée</w:t>
            </w:r>
          </w:p>
        </w:tc>
        <w:tc>
          <w:tcPr>
            <w:tcW w:w="3004" w:type="dxa"/>
            <w:tcBorders>
              <w:top w:val="single" w:sz="4" w:space="0" w:color="DEE2E6"/>
              <w:left w:val="single" w:sz="4" w:space="0" w:color="DEE2E6"/>
              <w:bottom w:val="single" w:sz="4" w:space="0" w:color="DEE2E6"/>
              <w:right w:val="single" w:sz="4" w:space="0" w:color="DEE2E6"/>
            </w:tcBorders>
          </w:tcPr>
          <w:p w14:paraId="3E8774C7" w14:textId="77777777" w:rsidR="00882FE7" w:rsidRDefault="00000000">
            <w:pPr>
              <w:spacing w:before="40" w:after="40"/>
            </w:pPr>
            <w:r>
              <w:rPr>
                <w:rFonts w:cs="Calibri"/>
                <w:color w:val="212529"/>
                <w:sz w:val="18"/>
              </w:rPr>
              <w:t>Auteur anonyme</w:t>
            </w:r>
          </w:p>
        </w:tc>
        <w:tc>
          <w:tcPr>
            <w:tcW w:w="3004" w:type="dxa"/>
            <w:tcBorders>
              <w:top w:val="single" w:sz="4" w:space="0" w:color="DEE2E6"/>
              <w:left w:val="single" w:sz="4" w:space="0" w:color="DEE2E6"/>
              <w:bottom w:val="single" w:sz="4" w:space="0" w:color="DEE2E6"/>
              <w:right w:val="single" w:sz="4" w:space="0" w:color="DEE2E6"/>
            </w:tcBorders>
          </w:tcPr>
          <w:p w14:paraId="6D97D18E" w14:textId="77777777" w:rsidR="00882FE7" w:rsidRDefault="00000000">
            <w:pPr>
              <w:spacing w:before="40" w:after="40"/>
            </w:pPr>
            <w:r>
              <w:rPr>
                <w:rFonts w:cs="Calibri"/>
                <w:color w:val="212529"/>
                <w:sz w:val="18"/>
              </w:rPr>
              <w:t>Praticien identifié</w:t>
            </w:r>
          </w:p>
        </w:tc>
        <w:tc>
          <w:tcPr>
            <w:tcW w:w="3305" w:type="dxa"/>
            <w:tcBorders>
              <w:top w:val="single" w:sz="4" w:space="0" w:color="DEE2E6"/>
              <w:left w:val="single" w:sz="4" w:space="0" w:color="DEE2E6"/>
              <w:bottom w:val="single" w:sz="4" w:space="0" w:color="DEE2E6"/>
              <w:right w:val="single" w:sz="4" w:space="0" w:color="DEE2E6"/>
            </w:tcBorders>
          </w:tcPr>
          <w:p w14:paraId="744F1790" w14:textId="77777777" w:rsidR="00882FE7" w:rsidRDefault="00000000">
            <w:pPr>
              <w:spacing w:before="40" w:after="40"/>
            </w:pPr>
            <w:r>
              <w:rPr>
                <w:rFonts w:cs="Calibri"/>
                <w:color w:val="212529"/>
                <w:sz w:val="18"/>
              </w:rPr>
              <w:t>Éditeur du logiciel, autorité publique ou organisme de normalisation</w:t>
            </w:r>
          </w:p>
        </w:tc>
      </w:tr>
      <w:tr w:rsidR="00882FE7" w14:paraId="7E536B06" w14:textId="77777777">
        <w:trPr>
          <w:jc w:val="center"/>
        </w:trPr>
        <w:tc>
          <w:tcPr>
            <w:tcW w:w="1802" w:type="dxa"/>
            <w:tcBorders>
              <w:top w:val="single" w:sz="4" w:space="0" w:color="DEE2E6"/>
              <w:left w:val="single" w:sz="4" w:space="0" w:color="DEE2E6"/>
              <w:bottom w:val="single" w:sz="4" w:space="0" w:color="DEE2E6"/>
              <w:right w:val="single" w:sz="4" w:space="0" w:color="DEE2E6"/>
            </w:tcBorders>
            <w:shd w:val="clear" w:color="auto" w:fill="F8F9FA"/>
          </w:tcPr>
          <w:p w14:paraId="7771B00F" w14:textId="77777777" w:rsidR="00882FE7" w:rsidRDefault="00000000">
            <w:pPr>
              <w:spacing w:before="40" w:after="40"/>
            </w:pPr>
            <w:r>
              <w:rPr>
                <w:rFonts w:cs="Calibri"/>
                <w:b/>
                <w:color w:val="212529"/>
                <w:sz w:val="18"/>
              </w:rPr>
              <w:t>Vérifiabilité</w:t>
            </w:r>
          </w:p>
        </w:tc>
        <w:tc>
          <w:tcPr>
            <w:tcW w:w="3906" w:type="dxa"/>
            <w:tcBorders>
              <w:top w:val="single" w:sz="4" w:space="0" w:color="DEE2E6"/>
              <w:left w:val="single" w:sz="4" w:space="0" w:color="DEE2E6"/>
              <w:bottom w:val="single" w:sz="4" w:space="0" w:color="DEE2E6"/>
              <w:right w:val="single" w:sz="4" w:space="0" w:color="DEE2E6"/>
            </w:tcBorders>
            <w:shd w:val="clear" w:color="auto" w:fill="F8F9FA"/>
          </w:tcPr>
          <w:p w14:paraId="5F7C2E3A" w14:textId="77777777" w:rsidR="00882FE7" w:rsidRDefault="00000000">
            <w:pPr>
              <w:spacing w:before="40" w:after="40"/>
            </w:pPr>
            <w:r>
              <w:rPr>
                <w:rFonts w:cs="Calibri"/>
                <w:color w:val="212529"/>
                <w:sz w:val="18"/>
              </w:rPr>
              <w:t>L'affirmation est-elle recoupable ailleurs</w:t>
            </w:r>
          </w:p>
        </w:tc>
        <w:tc>
          <w:tcPr>
            <w:tcW w:w="3004" w:type="dxa"/>
            <w:tcBorders>
              <w:top w:val="single" w:sz="4" w:space="0" w:color="DEE2E6"/>
              <w:left w:val="single" w:sz="4" w:space="0" w:color="DEE2E6"/>
              <w:bottom w:val="single" w:sz="4" w:space="0" w:color="DEE2E6"/>
              <w:right w:val="single" w:sz="4" w:space="0" w:color="DEE2E6"/>
            </w:tcBorders>
            <w:shd w:val="clear" w:color="auto" w:fill="F8F9FA"/>
          </w:tcPr>
          <w:p w14:paraId="3A064DCC" w14:textId="77777777" w:rsidR="00882FE7" w:rsidRDefault="00000000">
            <w:pPr>
              <w:spacing w:before="40" w:after="40"/>
            </w:pPr>
            <w:r>
              <w:rPr>
                <w:rFonts w:cs="Calibri"/>
                <w:color w:val="212529"/>
                <w:sz w:val="18"/>
              </w:rPr>
              <w:t>Aucune référence</w:t>
            </w:r>
          </w:p>
        </w:tc>
        <w:tc>
          <w:tcPr>
            <w:tcW w:w="3004" w:type="dxa"/>
            <w:tcBorders>
              <w:top w:val="single" w:sz="4" w:space="0" w:color="DEE2E6"/>
              <w:left w:val="single" w:sz="4" w:space="0" w:color="DEE2E6"/>
              <w:bottom w:val="single" w:sz="4" w:space="0" w:color="DEE2E6"/>
              <w:right w:val="single" w:sz="4" w:space="0" w:color="DEE2E6"/>
            </w:tcBorders>
            <w:shd w:val="clear" w:color="auto" w:fill="F8F9FA"/>
          </w:tcPr>
          <w:p w14:paraId="1EE36613" w14:textId="77777777" w:rsidR="00882FE7" w:rsidRDefault="00000000">
            <w:pPr>
              <w:spacing w:before="40" w:after="40"/>
            </w:pPr>
            <w:r>
              <w:rPr>
                <w:rFonts w:cs="Calibri"/>
                <w:color w:val="212529"/>
                <w:sz w:val="18"/>
              </w:rPr>
              <w:t>Références partielles</w:t>
            </w:r>
          </w:p>
        </w:tc>
        <w:tc>
          <w:tcPr>
            <w:tcW w:w="3305" w:type="dxa"/>
            <w:tcBorders>
              <w:top w:val="single" w:sz="4" w:space="0" w:color="DEE2E6"/>
              <w:left w:val="single" w:sz="4" w:space="0" w:color="DEE2E6"/>
              <w:bottom w:val="single" w:sz="4" w:space="0" w:color="DEE2E6"/>
              <w:right w:val="single" w:sz="4" w:space="0" w:color="DEE2E6"/>
            </w:tcBorders>
            <w:shd w:val="clear" w:color="auto" w:fill="F8F9FA"/>
          </w:tcPr>
          <w:p w14:paraId="14CFAE03" w14:textId="77777777" w:rsidR="00882FE7" w:rsidRDefault="00000000">
            <w:pPr>
              <w:spacing w:before="40" w:after="40"/>
            </w:pPr>
            <w:r>
              <w:rPr>
                <w:rFonts w:cs="Calibri"/>
                <w:color w:val="212529"/>
                <w:sz w:val="18"/>
              </w:rPr>
              <w:t>Sources primaires citées et vérifiables</w:t>
            </w:r>
          </w:p>
        </w:tc>
      </w:tr>
      <w:tr w:rsidR="00882FE7" w14:paraId="31C7AE97" w14:textId="77777777">
        <w:trPr>
          <w:jc w:val="center"/>
        </w:trPr>
        <w:tc>
          <w:tcPr>
            <w:tcW w:w="1802" w:type="dxa"/>
            <w:tcBorders>
              <w:top w:val="single" w:sz="4" w:space="0" w:color="DEE2E6"/>
              <w:left w:val="single" w:sz="4" w:space="0" w:color="DEE2E6"/>
              <w:bottom w:val="single" w:sz="4" w:space="0" w:color="DEE2E6"/>
              <w:right w:val="single" w:sz="4" w:space="0" w:color="DEE2E6"/>
            </w:tcBorders>
          </w:tcPr>
          <w:p w14:paraId="613DBF63" w14:textId="77777777" w:rsidR="00882FE7" w:rsidRDefault="00000000">
            <w:pPr>
              <w:spacing w:before="40" w:after="40"/>
            </w:pPr>
            <w:r>
              <w:rPr>
                <w:rFonts w:cs="Calibri"/>
                <w:b/>
                <w:color w:val="212529"/>
                <w:sz w:val="18"/>
              </w:rPr>
              <w:t>Fraîcheur</w:t>
            </w:r>
          </w:p>
        </w:tc>
        <w:tc>
          <w:tcPr>
            <w:tcW w:w="3906" w:type="dxa"/>
            <w:tcBorders>
              <w:top w:val="single" w:sz="4" w:space="0" w:color="DEE2E6"/>
              <w:left w:val="single" w:sz="4" w:space="0" w:color="DEE2E6"/>
              <w:bottom w:val="single" w:sz="4" w:space="0" w:color="DEE2E6"/>
              <w:right w:val="single" w:sz="4" w:space="0" w:color="DEE2E6"/>
            </w:tcBorders>
          </w:tcPr>
          <w:p w14:paraId="18E41CB2" w14:textId="77777777" w:rsidR="00882FE7" w:rsidRDefault="00000000">
            <w:pPr>
              <w:spacing w:before="40" w:after="40"/>
            </w:pPr>
            <w:r>
              <w:rPr>
                <w:rFonts w:cs="Calibri"/>
                <w:color w:val="212529"/>
                <w:sz w:val="18"/>
              </w:rPr>
              <w:t>L'information est-elle datée et maintenue</w:t>
            </w:r>
          </w:p>
        </w:tc>
        <w:tc>
          <w:tcPr>
            <w:tcW w:w="3004" w:type="dxa"/>
            <w:tcBorders>
              <w:top w:val="single" w:sz="4" w:space="0" w:color="DEE2E6"/>
              <w:left w:val="single" w:sz="4" w:space="0" w:color="DEE2E6"/>
              <w:bottom w:val="single" w:sz="4" w:space="0" w:color="DEE2E6"/>
              <w:right w:val="single" w:sz="4" w:space="0" w:color="DEE2E6"/>
            </w:tcBorders>
          </w:tcPr>
          <w:p w14:paraId="022DA971" w14:textId="77777777" w:rsidR="00882FE7" w:rsidRDefault="00000000">
            <w:pPr>
              <w:spacing w:before="40" w:after="40"/>
            </w:pPr>
            <w:r>
              <w:rPr>
                <w:rFonts w:cs="Calibri"/>
                <w:color w:val="212529"/>
                <w:sz w:val="18"/>
              </w:rPr>
              <w:t>Non datée</w:t>
            </w:r>
          </w:p>
        </w:tc>
        <w:tc>
          <w:tcPr>
            <w:tcW w:w="3004" w:type="dxa"/>
            <w:tcBorders>
              <w:top w:val="single" w:sz="4" w:space="0" w:color="DEE2E6"/>
              <w:left w:val="single" w:sz="4" w:space="0" w:color="DEE2E6"/>
              <w:bottom w:val="single" w:sz="4" w:space="0" w:color="DEE2E6"/>
              <w:right w:val="single" w:sz="4" w:space="0" w:color="DEE2E6"/>
            </w:tcBorders>
          </w:tcPr>
          <w:p w14:paraId="2CCA002F" w14:textId="77777777" w:rsidR="00882FE7" w:rsidRDefault="00000000">
            <w:pPr>
              <w:spacing w:before="40" w:after="40"/>
            </w:pPr>
            <w:r>
              <w:rPr>
                <w:rFonts w:cs="Calibri"/>
                <w:color w:val="212529"/>
                <w:sz w:val="18"/>
              </w:rPr>
              <w:t>Datée, non révisée</w:t>
            </w:r>
          </w:p>
        </w:tc>
        <w:tc>
          <w:tcPr>
            <w:tcW w:w="3305" w:type="dxa"/>
            <w:tcBorders>
              <w:top w:val="single" w:sz="4" w:space="0" w:color="DEE2E6"/>
              <w:left w:val="single" w:sz="4" w:space="0" w:color="DEE2E6"/>
              <w:bottom w:val="single" w:sz="4" w:space="0" w:color="DEE2E6"/>
              <w:right w:val="single" w:sz="4" w:space="0" w:color="DEE2E6"/>
            </w:tcBorders>
          </w:tcPr>
          <w:p w14:paraId="5C75E464" w14:textId="77777777" w:rsidR="00882FE7" w:rsidRDefault="00000000">
            <w:pPr>
              <w:spacing w:before="40" w:after="40"/>
            </w:pPr>
            <w:r>
              <w:rPr>
                <w:rFonts w:cs="Calibri"/>
                <w:color w:val="212529"/>
                <w:sz w:val="18"/>
              </w:rPr>
              <w:t>Datée et révisée à chaque version</w:t>
            </w:r>
          </w:p>
        </w:tc>
      </w:tr>
      <w:tr w:rsidR="00882FE7" w14:paraId="4CB4DF8F" w14:textId="77777777">
        <w:trPr>
          <w:jc w:val="center"/>
        </w:trPr>
        <w:tc>
          <w:tcPr>
            <w:tcW w:w="1802" w:type="dxa"/>
            <w:tcBorders>
              <w:top w:val="single" w:sz="4" w:space="0" w:color="DEE2E6"/>
              <w:left w:val="single" w:sz="4" w:space="0" w:color="DEE2E6"/>
              <w:bottom w:val="single" w:sz="4" w:space="0" w:color="DEE2E6"/>
              <w:right w:val="single" w:sz="4" w:space="0" w:color="DEE2E6"/>
            </w:tcBorders>
            <w:shd w:val="clear" w:color="auto" w:fill="F8F9FA"/>
          </w:tcPr>
          <w:p w14:paraId="54819DA9" w14:textId="77777777" w:rsidR="00882FE7" w:rsidRDefault="00000000">
            <w:pPr>
              <w:spacing w:before="40" w:after="40"/>
            </w:pPr>
            <w:r>
              <w:rPr>
                <w:rFonts w:cs="Calibri"/>
                <w:b/>
                <w:color w:val="212529"/>
                <w:sz w:val="18"/>
              </w:rPr>
              <w:t>Neutralité</w:t>
            </w:r>
          </w:p>
        </w:tc>
        <w:tc>
          <w:tcPr>
            <w:tcW w:w="3906" w:type="dxa"/>
            <w:tcBorders>
              <w:top w:val="single" w:sz="4" w:space="0" w:color="DEE2E6"/>
              <w:left w:val="single" w:sz="4" w:space="0" w:color="DEE2E6"/>
              <w:bottom w:val="single" w:sz="4" w:space="0" w:color="DEE2E6"/>
              <w:right w:val="single" w:sz="4" w:space="0" w:color="DEE2E6"/>
            </w:tcBorders>
            <w:shd w:val="clear" w:color="auto" w:fill="F8F9FA"/>
          </w:tcPr>
          <w:p w14:paraId="0B8A4F30" w14:textId="77777777" w:rsidR="00882FE7" w:rsidRDefault="00000000">
            <w:pPr>
              <w:spacing w:before="40" w:after="40"/>
            </w:pPr>
            <w:r>
              <w:rPr>
                <w:rFonts w:cs="Calibri"/>
                <w:color w:val="212529"/>
                <w:sz w:val="18"/>
              </w:rPr>
              <w:t>Un intérêt commercial oriente-t-il le propos</w:t>
            </w:r>
          </w:p>
        </w:tc>
        <w:tc>
          <w:tcPr>
            <w:tcW w:w="3004" w:type="dxa"/>
            <w:tcBorders>
              <w:top w:val="single" w:sz="4" w:space="0" w:color="DEE2E6"/>
              <w:left w:val="single" w:sz="4" w:space="0" w:color="DEE2E6"/>
              <w:bottom w:val="single" w:sz="4" w:space="0" w:color="DEE2E6"/>
              <w:right w:val="single" w:sz="4" w:space="0" w:color="DEE2E6"/>
            </w:tcBorders>
            <w:shd w:val="clear" w:color="auto" w:fill="F8F9FA"/>
          </w:tcPr>
          <w:p w14:paraId="540CA267" w14:textId="77777777" w:rsidR="00882FE7" w:rsidRDefault="00000000">
            <w:pPr>
              <w:spacing w:before="40" w:after="40"/>
            </w:pPr>
            <w:r>
              <w:rPr>
                <w:rFonts w:cs="Calibri"/>
                <w:color w:val="212529"/>
                <w:sz w:val="18"/>
              </w:rPr>
              <w:t>Contenu promotionnel</w:t>
            </w:r>
          </w:p>
        </w:tc>
        <w:tc>
          <w:tcPr>
            <w:tcW w:w="3004" w:type="dxa"/>
            <w:tcBorders>
              <w:top w:val="single" w:sz="4" w:space="0" w:color="DEE2E6"/>
              <w:left w:val="single" w:sz="4" w:space="0" w:color="DEE2E6"/>
              <w:bottom w:val="single" w:sz="4" w:space="0" w:color="DEE2E6"/>
              <w:right w:val="single" w:sz="4" w:space="0" w:color="DEE2E6"/>
            </w:tcBorders>
            <w:shd w:val="clear" w:color="auto" w:fill="F8F9FA"/>
          </w:tcPr>
          <w:p w14:paraId="03BF2B94" w14:textId="77777777" w:rsidR="00882FE7" w:rsidRDefault="00000000">
            <w:pPr>
              <w:spacing w:before="40" w:after="40"/>
            </w:pPr>
            <w:r>
              <w:rPr>
                <w:rFonts w:cs="Calibri"/>
                <w:color w:val="212529"/>
                <w:sz w:val="18"/>
              </w:rPr>
              <w:t>Éditorial d'éditeur</w:t>
            </w:r>
          </w:p>
        </w:tc>
        <w:tc>
          <w:tcPr>
            <w:tcW w:w="3305" w:type="dxa"/>
            <w:tcBorders>
              <w:top w:val="single" w:sz="4" w:space="0" w:color="DEE2E6"/>
              <w:left w:val="single" w:sz="4" w:space="0" w:color="DEE2E6"/>
              <w:bottom w:val="single" w:sz="4" w:space="0" w:color="DEE2E6"/>
              <w:right w:val="single" w:sz="4" w:space="0" w:color="DEE2E6"/>
            </w:tcBorders>
            <w:shd w:val="clear" w:color="auto" w:fill="F8F9FA"/>
          </w:tcPr>
          <w:p w14:paraId="57F77E4B" w14:textId="77777777" w:rsidR="00882FE7" w:rsidRDefault="00000000">
            <w:pPr>
              <w:spacing w:before="40" w:after="40"/>
            </w:pPr>
            <w:r>
              <w:rPr>
                <w:rFonts w:cs="Calibri"/>
                <w:color w:val="212529"/>
                <w:sz w:val="18"/>
              </w:rPr>
              <w:t>Aucun intérêt commercial direct</w:t>
            </w:r>
          </w:p>
        </w:tc>
      </w:tr>
      <w:tr w:rsidR="00882FE7" w14:paraId="5F39447D" w14:textId="77777777">
        <w:trPr>
          <w:jc w:val="center"/>
        </w:trPr>
        <w:tc>
          <w:tcPr>
            <w:tcW w:w="1802" w:type="dxa"/>
            <w:tcBorders>
              <w:top w:val="single" w:sz="4" w:space="0" w:color="DEE2E6"/>
              <w:left w:val="single" w:sz="4" w:space="0" w:color="DEE2E6"/>
              <w:bottom w:val="single" w:sz="4" w:space="0" w:color="DEE2E6"/>
              <w:right w:val="single" w:sz="4" w:space="0" w:color="DEE2E6"/>
            </w:tcBorders>
          </w:tcPr>
          <w:p w14:paraId="51F14265" w14:textId="77777777" w:rsidR="00882FE7" w:rsidRDefault="00000000">
            <w:pPr>
              <w:spacing w:before="40" w:after="40"/>
            </w:pPr>
            <w:r>
              <w:rPr>
                <w:rFonts w:cs="Calibri"/>
                <w:b/>
                <w:color w:val="212529"/>
                <w:sz w:val="18"/>
              </w:rPr>
              <w:t>Conformité</w:t>
            </w:r>
          </w:p>
        </w:tc>
        <w:tc>
          <w:tcPr>
            <w:tcW w:w="3906" w:type="dxa"/>
            <w:tcBorders>
              <w:top w:val="single" w:sz="4" w:space="0" w:color="DEE2E6"/>
              <w:left w:val="single" w:sz="4" w:space="0" w:color="DEE2E6"/>
              <w:bottom w:val="single" w:sz="4" w:space="0" w:color="DEE2E6"/>
              <w:right w:val="single" w:sz="4" w:space="0" w:color="DEE2E6"/>
            </w:tcBorders>
          </w:tcPr>
          <w:p w14:paraId="2F8D078A" w14:textId="77777777" w:rsidR="00882FE7" w:rsidRDefault="00000000">
            <w:pPr>
              <w:spacing w:before="40" w:after="40"/>
            </w:pPr>
            <w:r>
              <w:rPr>
                <w:rFonts w:cs="Calibri"/>
                <w:color w:val="212529"/>
                <w:sz w:val="18"/>
              </w:rPr>
              <w:t>La source s'appuie-t-elle sur un référentiel opposable (ISO, RGPD, accessibilité)</w:t>
            </w:r>
          </w:p>
        </w:tc>
        <w:tc>
          <w:tcPr>
            <w:tcW w:w="3004" w:type="dxa"/>
            <w:tcBorders>
              <w:top w:val="single" w:sz="4" w:space="0" w:color="DEE2E6"/>
              <w:left w:val="single" w:sz="4" w:space="0" w:color="DEE2E6"/>
              <w:bottom w:val="single" w:sz="4" w:space="0" w:color="DEE2E6"/>
              <w:right w:val="single" w:sz="4" w:space="0" w:color="DEE2E6"/>
            </w:tcBorders>
          </w:tcPr>
          <w:p w14:paraId="506713B8" w14:textId="77777777" w:rsidR="00882FE7" w:rsidRDefault="00000000">
            <w:pPr>
              <w:spacing w:before="40" w:after="40"/>
            </w:pPr>
            <w:r>
              <w:rPr>
                <w:rFonts w:cs="Calibri"/>
                <w:color w:val="212529"/>
                <w:sz w:val="18"/>
              </w:rPr>
              <w:t>Aucun référentiel</w:t>
            </w:r>
          </w:p>
        </w:tc>
        <w:tc>
          <w:tcPr>
            <w:tcW w:w="3004" w:type="dxa"/>
            <w:tcBorders>
              <w:top w:val="single" w:sz="4" w:space="0" w:color="DEE2E6"/>
              <w:left w:val="single" w:sz="4" w:space="0" w:color="DEE2E6"/>
              <w:bottom w:val="single" w:sz="4" w:space="0" w:color="DEE2E6"/>
              <w:right w:val="single" w:sz="4" w:space="0" w:color="DEE2E6"/>
            </w:tcBorders>
          </w:tcPr>
          <w:p w14:paraId="1D6C6AD7" w14:textId="77777777" w:rsidR="00882FE7" w:rsidRDefault="00000000">
            <w:pPr>
              <w:spacing w:before="40" w:after="40"/>
            </w:pPr>
            <w:r>
              <w:rPr>
                <w:rFonts w:cs="Calibri"/>
                <w:color w:val="212529"/>
                <w:sz w:val="18"/>
              </w:rPr>
              <w:t>Référentiel cité sans version</w:t>
            </w:r>
          </w:p>
        </w:tc>
        <w:tc>
          <w:tcPr>
            <w:tcW w:w="3305" w:type="dxa"/>
            <w:tcBorders>
              <w:top w:val="single" w:sz="4" w:space="0" w:color="DEE2E6"/>
              <w:left w:val="single" w:sz="4" w:space="0" w:color="DEE2E6"/>
              <w:bottom w:val="single" w:sz="4" w:space="0" w:color="DEE2E6"/>
              <w:right w:val="single" w:sz="4" w:space="0" w:color="DEE2E6"/>
            </w:tcBorders>
          </w:tcPr>
          <w:p w14:paraId="634B6A48" w14:textId="77777777" w:rsidR="00882FE7" w:rsidRDefault="00000000">
            <w:pPr>
              <w:spacing w:before="40" w:after="40"/>
            </w:pPr>
            <w:r>
              <w:rPr>
                <w:rFonts w:cs="Calibri"/>
                <w:color w:val="212529"/>
                <w:sz w:val="18"/>
              </w:rPr>
              <w:t>Référentiel cité, versionné et applicable</w:t>
            </w:r>
          </w:p>
        </w:tc>
      </w:tr>
    </w:tbl>
    <w:p w14:paraId="330564AD" w14:textId="77777777" w:rsidR="00882FE7" w:rsidRDefault="00882FE7">
      <w:pPr>
        <w:spacing w:after="0"/>
      </w:pPr>
    </w:p>
    <w:p w14:paraId="70F3FE96" w14:textId="77777777" w:rsidR="00882FE7" w:rsidRDefault="00000000">
      <w:pPr>
        <w:spacing w:before="120" w:after="120"/>
        <w:jc w:val="both"/>
      </w:pPr>
      <w:r>
        <w:rPr>
          <w:rFonts w:cs="Calibri"/>
          <w:color w:val="212529"/>
        </w:rPr>
        <w:t>La règle de tri est simple. Une tendance n'est retenue que si deux sources indépendantes au moins la confirment et si sa maturité la place hors de la phase spéculative. Les sources notées 2 servent uniquement à détecter un signal faible, jamais à fonder une décision.</w:t>
      </w:r>
    </w:p>
    <w:p w14:paraId="5B7AB41B" w14:textId="77777777" w:rsidR="00882FE7" w:rsidRDefault="00000000">
      <w:r>
        <w:br w:type="page"/>
      </w:r>
    </w:p>
    <w:p w14:paraId="0D5C5424" w14:textId="77777777" w:rsidR="00882FE7" w:rsidRDefault="00000000">
      <w:pPr>
        <w:spacing w:before="240" w:after="100"/>
      </w:pPr>
      <w:r>
        <w:rPr>
          <w:rFonts w:cs="Calibri"/>
          <w:b/>
          <w:color w:val="1C7ED6"/>
          <w:sz w:val="26"/>
        </w:rPr>
        <w:lastRenderedPageBreak/>
        <w:t>3.  Veille réglementaire et grandes orientations</w:t>
      </w:r>
    </w:p>
    <w:p w14:paraId="2A14A4DF" w14:textId="77777777" w:rsidR="00882FE7" w:rsidRDefault="00000000">
      <w:pPr>
        <w:spacing w:after="120"/>
        <w:jc w:val="both"/>
      </w:pPr>
      <w:r>
        <w:rPr>
          <w:rFonts w:cs="Calibri"/>
          <w:color w:val="212529"/>
        </w:rPr>
        <w:t>La veille réglementaire ne relève pas de la culture générale. Chaque texte suivi ci-dessous a produit une décision technique vérifiable dans le dépôt. La couverture détaillée des mesures figure en cartographie de conformité (cf. Annexe R).</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Look w:val="04A0" w:firstRow="1" w:lastRow="0" w:firstColumn="1" w:lastColumn="0" w:noHBand="0" w:noVBand="1"/>
      </w:tblPr>
      <w:tblGrid>
        <w:gridCol w:w="2103"/>
        <w:gridCol w:w="3305"/>
        <w:gridCol w:w="2103"/>
        <w:gridCol w:w="5408"/>
        <w:gridCol w:w="2103"/>
      </w:tblGrid>
      <w:tr w:rsidR="00882FE7" w14:paraId="51156D26" w14:textId="77777777">
        <w:trPr>
          <w:tblHeader/>
          <w:jc w:val="center"/>
        </w:trPr>
        <w:tc>
          <w:tcPr>
            <w:tcW w:w="2103" w:type="dxa"/>
            <w:tcBorders>
              <w:top w:val="single" w:sz="4" w:space="0" w:color="DEE2E6"/>
              <w:left w:val="single" w:sz="4" w:space="0" w:color="DEE2E6"/>
              <w:bottom w:val="single" w:sz="4" w:space="0" w:color="DEE2E6"/>
              <w:right w:val="single" w:sz="4" w:space="0" w:color="DEE2E6"/>
            </w:tcBorders>
            <w:shd w:val="clear" w:color="auto" w:fill="495057"/>
          </w:tcPr>
          <w:p w14:paraId="7505D6E6" w14:textId="77777777" w:rsidR="00882FE7" w:rsidRDefault="00000000">
            <w:pPr>
              <w:spacing w:before="40" w:after="40"/>
              <w:jc w:val="center"/>
            </w:pPr>
            <w:r>
              <w:rPr>
                <w:rFonts w:cs="Calibri"/>
                <w:b/>
                <w:color w:val="FFFFFF"/>
                <w:sz w:val="18"/>
              </w:rPr>
              <w:t>Texte</w:t>
            </w:r>
          </w:p>
        </w:tc>
        <w:tc>
          <w:tcPr>
            <w:tcW w:w="3305" w:type="dxa"/>
            <w:tcBorders>
              <w:top w:val="single" w:sz="4" w:space="0" w:color="DEE2E6"/>
              <w:left w:val="single" w:sz="4" w:space="0" w:color="DEE2E6"/>
              <w:bottom w:val="single" w:sz="4" w:space="0" w:color="DEE2E6"/>
              <w:right w:val="single" w:sz="4" w:space="0" w:color="DEE2E6"/>
            </w:tcBorders>
            <w:shd w:val="clear" w:color="auto" w:fill="495057"/>
          </w:tcPr>
          <w:p w14:paraId="7C12383A" w14:textId="77777777" w:rsidR="00882FE7" w:rsidRDefault="00000000">
            <w:pPr>
              <w:spacing w:before="40" w:after="40"/>
              <w:jc w:val="center"/>
            </w:pPr>
            <w:r>
              <w:rPr>
                <w:rFonts w:cs="Calibri"/>
                <w:b/>
                <w:color w:val="FFFFFF"/>
                <w:sz w:val="18"/>
              </w:rPr>
              <w:t>Portée pour le projet</w:t>
            </w:r>
          </w:p>
        </w:tc>
        <w:tc>
          <w:tcPr>
            <w:tcW w:w="2103" w:type="dxa"/>
            <w:tcBorders>
              <w:top w:val="single" w:sz="4" w:space="0" w:color="DEE2E6"/>
              <w:left w:val="single" w:sz="4" w:space="0" w:color="DEE2E6"/>
              <w:bottom w:val="single" w:sz="4" w:space="0" w:color="DEE2E6"/>
              <w:right w:val="single" w:sz="4" w:space="0" w:color="DEE2E6"/>
            </w:tcBorders>
            <w:shd w:val="clear" w:color="auto" w:fill="495057"/>
          </w:tcPr>
          <w:p w14:paraId="620400E1" w14:textId="77777777" w:rsidR="00882FE7" w:rsidRDefault="00000000">
            <w:pPr>
              <w:spacing w:before="40" w:after="40"/>
              <w:jc w:val="center"/>
            </w:pPr>
            <w:r>
              <w:rPr>
                <w:rFonts w:cs="Calibri"/>
                <w:b/>
                <w:color w:val="FFFFFF"/>
                <w:sz w:val="18"/>
              </w:rPr>
              <w:t>Échéance suivie</w:t>
            </w:r>
          </w:p>
        </w:tc>
        <w:tc>
          <w:tcPr>
            <w:tcW w:w="5408" w:type="dxa"/>
            <w:tcBorders>
              <w:top w:val="single" w:sz="4" w:space="0" w:color="DEE2E6"/>
              <w:left w:val="single" w:sz="4" w:space="0" w:color="DEE2E6"/>
              <w:bottom w:val="single" w:sz="4" w:space="0" w:color="DEE2E6"/>
              <w:right w:val="single" w:sz="4" w:space="0" w:color="DEE2E6"/>
            </w:tcBorders>
            <w:shd w:val="clear" w:color="auto" w:fill="495057"/>
          </w:tcPr>
          <w:p w14:paraId="4EA2A2A9" w14:textId="77777777" w:rsidR="00882FE7" w:rsidRDefault="00000000">
            <w:pPr>
              <w:spacing w:before="40" w:after="40"/>
              <w:jc w:val="center"/>
            </w:pPr>
            <w:r>
              <w:rPr>
                <w:rFonts w:cs="Calibri"/>
                <w:b/>
                <w:color w:val="FFFFFF"/>
                <w:sz w:val="18"/>
              </w:rPr>
              <w:t>Décision prise</w:t>
            </w:r>
          </w:p>
        </w:tc>
        <w:tc>
          <w:tcPr>
            <w:tcW w:w="2103" w:type="dxa"/>
            <w:tcBorders>
              <w:top w:val="single" w:sz="4" w:space="0" w:color="DEE2E6"/>
              <w:left w:val="single" w:sz="4" w:space="0" w:color="DEE2E6"/>
              <w:bottom w:val="single" w:sz="4" w:space="0" w:color="DEE2E6"/>
              <w:right w:val="single" w:sz="4" w:space="0" w:color="DEE2E6"/>
            </w:tcBorders>
            <w:shd w:val="clear" w:color="auto" w:fill="495057"/>
          </w:tcPr>
          <w:p w14:paraId="50470EF3" w14:textId="77777777" w:rsidR="00882FE7" w:rsidRDefault="00000000">
            <w:pPr>
              <w:spacing w:before="40" w:after="40"/>
              <w:jc w:val="center"/>
            </w:pPr>
            <w:r>
              <w:rPr>
                <w:rFonts w:cs="Calibri"/>
                <w:b/>
                <w:color w:val="FFFFFF"/>
                <w:sz w:val="18"/>
              </w:rPr>
              <w:t>Trace</w:t>
            </w:r>
          </w:p>
        </w:tc>
      </w:tr>
      <w:tr w:rsidR="00882FE7" w14:paraId="484DDC68" w14:textId="77777777">
        <w:trPr>
          <w:jc w:val="center"/>
        </w:trPr>
        <w:tc>
          <w:tcPr>
            <w:tcW w:w="2103" w:type="dxa"/>
            <w:tcBorders>
              <w:top w:val="single" w:sz="4" w:space="0" w:color="DEE2E6"/>
              <w:left w:val="single" w:sz="4" w:space="0" w:color="DEE2E6"/>
              <w:bottom w:val="single" w:sz="4" w:space="0" w:color="DEE2E6"/>
              <w:right w:val="single" w:sz="4" w:space="0" w:color="DEE2E6"/>
            </w:tcBorders>
          </w:tcPr>
          <w:p w14:paraId="3E0921B9" w14:textId="77777777" w:rsidR="00882FE7" w:rsidRDefault="00000000">
            <w:pPr>
              <w:spacing w:before="40" w:after="40"/>
            </w:pPr>
            <w:r>
              <w:rPr>
                <w:rFonts w:cs="Calibri"/>
                <w:b/>
                <w:color w:val="212529"/>
                <w:sz w:val="18"/>
              </w:rPr>
              <w:t>RGPD (UE 2016/679)</w:t>
            </w:r>
          </w:p>
        </w:tc>
        <w:tc>
          <w:tcPr>
            <w:tcW w:w="3305" w:type="dxa"/>
            <w:tcBorders>
              <w:top w:val="single" w:sz="4" w:space="0" w:color="DEE2E6"/>
              <w:left w:val="single" w:sz="4" w:space="0" w:color="DEE2E6"/>
              <w:bottom w:val="single" w:sz="4" w:space="0" w:color="DEE2E6"/>
              <w:right w:val="single" w:sz="4" w:space="0" w:color="DEE2E6"/>
            </w:tcBorders>
          </w:tcPr>
          <w:p w14:paraId="7F5F84A7" w14:textId="77777777" w:rsidR="00882FE7" w:rsidRDefault="00000000">
            <w:pPr>
              <w:spacing w:before="40" w:after="40"/>
            </w:pPr>
            <w:r>
              <w:rPr>
                <w:rFonts w:cs="Calibri"/>
                <w:color w:val="212529"/>
                <w:sz w:val="18"/>
              </w:rPr>
              <w:t>Traitement de données personnelles de membres, médias, journaux d'accès</w:t>
            </w:r>
          </w:p>
        </w:tc>
        <w:tc>
          <w:tcPr>
            <w:tcW w:w="2103" w:type="dxa"/>
            <w:tcBorders>
              <w:top w:val="single" w:sz="4" w:space="0" w:color="DEE2E6"/>
              <w:left w:val="single" w:sz="4" w:space="0" w:color="DEE2E6"/>
              <w:bottom w:val="single" w:sz="4" w:space="0" w:color="DEE2E6"/>
              <w:right w:val="single" w:sz="4" w:space="0" w:color="DEE2E6"/>
            </w:tcBorders>
          </w:tcPr>
          <w:p w14:paraId="0E7101B1" w14:textId="77777777" w:rsidR="00882FE7" w:rsidRDefault="00000000">
            <w:pPr>
              <w:spacing w:before="40" w:after="40"/>
            </w:pPr>
            <w:r>
              <w:rPr>
                <w:rFonts w:cs="Calibri"/>
                <w:color w:val="212529"/>
                <w:sz w:val="18"/>
              </w:rPr>
              <w:t>En vigueur, revue à chaque évolution du modèle de données</w:t>
            </w:r>
          </w:p>
        </w:tc>
        <w:tc>
          <w:tcPr>
            <w:tcW w:w="5408" w:type="dxa"/>
            <w:tcBorders>
              <w:top w:val="single" w:sz="4" w:space="0" w:color="DEE2E6"/>
              <w:left w:val="single" w:sz="4" w:space="0" w:color="DEE2E6"/>
              <w:bottom w:val="single" w:sz="4" w:space="0" w:color="DEE2E6"/>
              <w:right w:val="single" w:sz="4" w:space="0" w:color="DEE2E6"/>
            </w:tcBorders>
          </w:tcPr>
          <w:p w14:paraId="205AA2EB" w14:textId="77777777" w:rsidR="00882FE7" w:rsidRDefault="00000000">
            <w:pPr>
              <w:spacing w:before="40" w:after="40"/>
            </w:pPr>
            <w:r>
              <w:rPr>
                <w:rFonts w:cs="Calibri"/>
                <w:color w:val="212529"/>
                <w:sz w:val="18"/>
              </w:rPr>
              <w:t>Minimisation des champs collectés, effacement en cascade au niveau de la base, chiffrement au repos et en transit, hébergement dans l'Union</w:t>
            </w:r>
          </w:p>
        </w:tc>
        <w:tc>
          <w:tcPr>
            <w:tcW w:w="2103" w:type="dxa"/>
            <w:tcBorders>
              <w:top w:val="single" w:sz="4" w:space="0" w:color="DEE2E6"/>
              <w:left w:val="single" w:sz="4" w:space="0" w:color="DEE2E6"/>
              <w:bottom w:val="single" w:sz="4" w:space="0" w:color="DEE2E6"/>
              <w:right w:val="single" w:sz="4" w:space="0" w:color="DEE2E6"/>
            </w:tcBorders>
          </w:tcPr>
          <w:p w14:paraId="5028CD03" w14:textId="77777777" w:rsidR="00882FE7" w:rsidRDefault="00000000">
            <w:pPr>
              <w:spacing w:before="40" w:after="40"/>
            </w:pPr>
            <w:r>
              <w:rPr>
                <w:rFonts w:cs="Calibri"/>
                <w:color w:val="212529"/>
                <w:sz w:val="18"/>
              </w:rPr>
              <w:t>Annexe R, Annexe E, ADR-018</w:t>
            </w:r>
          </w:p>
        </w:tc>
      </w:tr>
      <w:tr w:rsidR="00882FE7" w14:paraId="28803B08" w14:textId="77777777">
        <w:trPr>
          <w:jc w:val="center"/>
        </w:trPr>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6E0D6655" w14:textId="77777777" w:rsidR="00882FE7" w:rsidRDefault="00000000">
            <w:pPr>
              <w:spacing w:before="40" w:after="40"/>
            </w:pPr>
            <w:r>
              <w:rPr>
                <w:rFonts w:cs="Calibri"/>
                <w:b/>
                <w:color w:val="212529"/>
                <w:sz w:val="18"/>
              </w:rPr>
              <w:t>Cloud Act (États-Unis, 2018)</w:t>
            </w:r>
          </w:p>
        </w:tc>
        <w:tc>
          <w:tcPr>
            <w:tcW w:w="3305" w:type="dxa"/>
            <w:tcBorders>
              <w:top w:val="single" w:sz="4" w:space="0" w:color="DEE2E6"/>
              <w:left w:val="single" w:sz="4" w:space="0" w:color="DEE2E6"/>
              <w:bottom w:val="single" w:sz="4" w:space="0" w:color="DEE2E6"/>
              <w:right w:val="single" w:sz="4" w:space="0" w:color="DEE2E6"/>
            </w:tcBorders>
            <w:shd w:val="clear" w:color="auto" w:fill="F8F9FA"/>
          </w:tcPr>
          <w:p w14:paraId="131BC1F1" w14:textId="77777777" w:rsidR="00882FE7" w:rsidRDefault="00000000">
            <w:pPr>
              <w:spacing w:before="40" w:after="40"/>
            </w:pPr>
            <w:r>
              <w:rPr>
                <w:rFonts w:cs="Calibri"/>
                <w:color w:val="212529"/>
                <w:sz w:val="18"/>
              </w:rPr>
              <w:t>Accès extraterritorial possible aux données détenues par un fournisseur de droit américain</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2AEC0628" w14:textId="77777777" w:rsidR="00882FE7" w:rsidRDefault="00000000">
            <w:pPr>
              <w:spacing w:before="40" w:after="40"/>
            </w:pPr>
            <w:r>
              <w:rPr>
                <w:rFonts w:cs="Calibri"/>
                <w:color w:val="212529"/>
                <w:sz w:val="18"/>
              </w:rPr>
              <w:t>Veille continue sur la jurisprudence</w:t>
            </w:r>
          </w:p>
        </w:tc>
        <w:tc>
          <w:tcPr>
            <w:tcW w:w="5408" w:type="dxa"/>
            <w:tcBorders>
              <w:top w:val="single" w:sz="4" w:space="0" w:color="DEE2E6"/>
              <w:left w:val="single" w:sz="4" w:space="0" w:color="DEE2E6"/>
              <w:bottom w:val="single" w:sz="4" w:space="0" w:color="DEE2E6"/>
              <w:right w:val="single" w:sz="4" w:space="0" w:color="DEE2E6"/>
            </w:tcBorders>
            <w:shd w:val="clear" w:color="auto" w:fill="F8F9FA"/>
          </w:tcPr>
          <w:p w14:paraId="3BB4EA93" w14:textId="77777777" w:rsidR="00882FE7" w:rsidRDefault="00000000">
            <w:pPr>
              <w:spacing w:before="40" w:after="40"/>
            </w:pPr>
            <w:r>
              <w:rPr>
                <w:rFonts w:cs="Calibri"/>
                <w:color w:val="212529"/>
                <w:sz w:val="18"/>
              </w:rPr>
              <w:t>Calcul placé chez un hébergeur européen (Hetzner, Falkenstein), services AWS confinés à la région eu-west-3 (Paris), exposition limitée au stockage et à la diffusion</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2697CC2A" w14:textId="77777777" w:rsidR="00882FE7" w:rsidRDefault="00000000">
            <w:pPr>
              <w:spacing w:before="40" w:after="40"/>
            </w:pPr>
            <w:r>
              <w:rPr>
                <w:rFonts w:cs="Calibri"/>
                <w:color w:val="212529"/>
                <w:sz w:val="18"/>
              </w:rPr>
              <w:t>Annexe B, ADR-009</w:t>
            </w:r>
          </w:p>
        </w:tc>
      </w:tr>
      <w:tr w:rsidR="00882FE7" w14:paraId="0FF05112" w14:textId="77777777">
        <w:trPr>
          <w:jc w:val="center"/>
        </w:trPr>
        <w:tc>
          <w:tcPr>
            <w:tcW w:w="2103" w:type="dxa"/>
            <w:tcBorders>
              <w:top w:val="single" w:sz="4" w:space="0" w:color="DEE2E6"/>
              <w:left w:val="single" w:sz="4" w:space="0" w:color="DEE2E6"/>
              <w:bottom w:val="single" w:sz="4" w:space="0" w:color="DEE2E6"/>
              <w:right w:val="single" w:sz="4" w:space="0" w:color="DEE2E6"/>
            </w:tcBorders>
          </w:tcPr>
          <w:p w14:paraId="5A65583A" w14:textId="77777777" w:rsidR="00882FE7" w:rsidRDefault="00000000">
            <w:pPr>
              <w:spacing w:before="40" w:after="40"/>
            </w:pPr>
            <w:r>
              <w:rPr>
                <w:rFonts w:cs="Calibri"/>
                <w:b/>
                <w:color w:val="212529"/>
                <w:sz w:val="18"/>
              </w:rPr>
              <w:t>Directive NIS 2 (UE 2022/2555)</w:t>
            </w:r>
          </w:p>
        </w:tc>
        <w:tc>
          <w:tcPr>
            <w:tcW w:w="3305" w:type="dxa"/>
            <w:tcBorders>
              <w:top w:val="single" w:sz="4" w:space="0" w:color="DEE2E6"/>
              <w:left w:val="single" w:sz="4" w:space="0" w:color="DEE2E6"/>
              <w:bottom w:val="single" w:sz="4" w:space="0" w:color="DEE2E6"/>
              <w:right w:val="single" w:sz="4" w:space="0" w:color="DEE2E6"/>
            </w:tcBorders>
          </w:tcPr>
          <w:p w14:paraId="7CF69D5B" w14:textId="77777777" w:rsidR="00882FE7" w:rsidRDefault="00000000">
            <w:pPr>
              <w:spacing w:before="40" w:after="40"/>
            </w:pPr>
            <w:r>
              <w:rPr>
                <w:rFonts w:cs="Calibri"/>
                <w:color w:val="212529"/>
                <w:sz w:val="18"/>
              </w:rPr>
              <w:t>Exigences de gestion des risques et de notification d'incident</w:t>
            </w:r>
          </w:p>
        </w:tc>
        <w:tc>
          <w:tcPr>
            <w:tcW w:w="2103" w:type="dxa"/>
            <w:tcBorders>
              <w:top w:val="single" w:sz="4" w:space="0" w:color="DEE2E6"/>
              <w:left w:val="single" w:sz="4" w:space="0" w:color="DEE2E6"/>
              <w:bottom w:val="single" w:sz="4" w:space="0" w:color="DEE2E6"/>
              <w:right w:val="single" w:sz="4" w:space="0" w:color="DEE2E6"/>
            </w:tcBorders>
          </w:tcPr>
          <w:p w14:paraId="1BFFA8AB" w14:textId="77777777" w:rsidR="00882FE7" w:rsidRDefault="00000000">
            <w:pPr>
              <w:spacing w:before="40" w:after="40"/>
            </w:pPr>
            <w:r>
              <w:rPr>
                <w:rFonts w:cs="Calibri"/>
                <w:color w:val="212529"/>
                <w:sz w:val="18"/>
              </w:rPr>
              <w:t>Transposition nationale suivie</w:t>
            </w:r>
          </w:p>
        </w:tc>
        <w:tc>
          <w:tcPr>
            <w:tcW w:w="5408" w:type="dxa"/>
            <w:tcBorders>
              <w:top w:val="single" w:sz="4" w:space="0" w:color="DEE2E6"/>
              <w:left w:val="single" w:sz="4" w:space="0" w:color="DEE2E6"/>
              <w:bottom w:val="single" w:sz="4" w:space="0" w:color="DEE2E6"/>
              <w:right w:val="single" w:sz="4" w:space="0" w:color="DEE2E6"/>
            </w:tcBorders>
          </w:tcPr>
          <w:p w14:paraId="39F65E4C" w14:textId="77777777" w:rsidR="00882FE7" w:rsidRDefault="00000000">
            <w:pPr>
              <w:spacing w:before="40" w:after="40"/>
            </w:pPr>
            <w:r>
              <w:rPr>
                <w:rFonts w:cs="Calibri"/>
                <w:color w:val="212529"/>
                <w:sz w:val="18"/>
              </w:rPr>
              <w:t>Registre de risques coté EBIOS Risk Manager, plan de reprise documenté et testé, journalisation centralisée</w:t>
            </w:r>
          </w:p>
        </w:tc>
        <w:tc>
          <w:tcPr>
            <w:tcW w:w="2103" w:type="dxa"/>
            <w:tcBorders>
              <w:top w:val="single" w:sz="4" w:space="0" w:color="DEE2E6"/>
              <w:left w:val="single" w:sz="4" w:space="0" w:color="DEE2E6"/>
              <w:bottom w:val="single" w:sz="4" w:space="0" w:color="DEE2E6"/>
              <w:right w:val="single" w:sz="4" w:space="0" w:color="DEE2E6"/>
            </w:tcBorders>
          </w:tcPr>
          <w:p w14:paraId="3B8C4999" w14:textId="77777777" w:rsidR="00882FE7" w:rsidRDefault="00000000">
            <w:pPr>
              <w:spacing w:before="40" w:after="40"/>
            </w:pPr>
            <w:r>
              <w:rPr>
                <w:rFonts w:cs="Calibri"/>
                <w:color w:val="212529"/>
                <w:sz w:val="18"/>
              </w:rPr>
              <w:t>Annexe O, Annexe U, Annexe P</w:t>
            </w:r>
          </w:p>
        </w:tc>
      </w:tr>
      <w:tr w:rsidR="00882FE7" w14:paraId="0B84C85F" w14:textId="77777777">
        <w:trPr>
          <w:jc w:val="center"/>
        </w:trPr>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1162D4E4" w14:textId="77777777" w:rsidR="00882FE7" w:rsidRDefault="00000000">
            <w:pPr>
              <w:spacing w:before="40" w:after="40"/>
            </w:pPr>
            <w:r>
              <w:rPr>
                <w:rFonts w:cs="Calibri"/>
                <w:b/>
                <w:color w:val="212529"/>
                <w:sz w:val="18"/>
              </w:rPr>
              <w:t>IA Act (UE 2024/1689)</w:t>
            </w:r>
          </w:p>
        </w:tc>
        <w:tc>
          <w:tcPr>
            <w:tcW w:w="3305" w:type="dxa"/>
            <w:tcBorders>
              <w:top w:val="single" w:sz="4" w:space="0" w:color="DEE2E6"/>
              <w:left w:val="single" w:sz="4" w:space="0" w:color="DEE2E6"/>
              <w:bottom w:val="single" w:sz="4" w:space="0" w:color="DEE2E6"/>
              <w:right w:val="single" w:sz="4" w:space="0" w:color="DEE2E6"/>
            </w:tcBorders>
            <w:shd w:val="clear" w:color="auto" w:fill="F8F9FA"/>
          </w:tcPr>
          <w:p w14:paraId="178DEEE5" w14:textId="77777777" w:rsidR="00882FE7" w:rsidRDefault="00000000">
            <w:pPr>
              <w:spacing w:before="40" w:after="40"/>
            </w:pPr>
            <w:r>
              <w:rPr>
                <w:rFonts w:cs="Calibri"/>
                <w:color w:val="212529"/>
                <w:sz w:val="18"/>
              </w:rPr>
              <w:t>Outils d'IA employés dans la chaîne d'ingénierie</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3B128648" w14:textId="77777777" w:rsidR="00882FE7" w:rsidRDefault="00000000">
            <w:pPr>
              <w:spacing w:before="40" w:after="40"/>
            </w:pPr>
            <w:r>
              <w:rPr>
                <w:rFonts w:cs="Calibri"/>
                <w:color w:val="212529"/>
                <w:sz w:val="18"/>
              </w:rPr>
              <w:t>Application progressive depuis 2024</w:t>
            </w:r>
          </w:p>
        </w:tc>
        <w:tc>
          <w:tcPr>
            <w:tcW w:w="5408" w:type="dxa"/>
            <w:tcBorders>
              <w:top w:val="single" w:sz="4" w:space="0" w:color="DEE2E6"/>
              <w:left w:val="single" w:sz="4" w:space="0" w:color="DEE2E6"/>
              <w:bottom w:val="single" w:sz="4" w:space="0" w:color="DEE2E6"/>
              <w:right w:val="single" w:sz="4" w:space="0" w:color="DEE2E6"/>
            </w:tcBorders>
            <w:shd w:val="clear" w:color="auto" w:fill="F8F9FA"/>
          </w:tcPr>
          <w:p w14:paraId="50B64FBF" w14:textId="77777777" w:rsidR="00882FE7" w:rsidRDefault="00000000">
            <w:pPr>
              <w:spacing w:before="40" w:after="40"/>
            </w:pPr>
            <w:r>
              <w:rPr>
                <w:rFonts w:cs="Calibri"/>
                <w:color w:val="212529"/>
                <w:sz w:val="18"/>
              </w:rPr>
              <w:t>Usage cantonné à l'assistance sous revue humaine, ce qui maintient la chaîne hors des catégories à haut risque du texte, mention explicite dans la documentation</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7D1E392F" w14:textId="77777777" w:rsidR="00882FE7" w:rsidRDefault="00000000">
            <w:pPr>
              <w:spacing w:before="40" w:after="40"/>
            </w:pPr>
            <w:r>
              <w:rPr>
                <w:rFonts w:cs="Calibri"/>
                <w:color w:val="212529"/>
                <w:sz w:val="18"/>
              </w:rPr>
              <w:t>Annexe T, §11.1.2 du mémoire</w:t>
            </w:r>
          </w:p>
        </w:tc>
      </w:tr>
      <w:tr w:rsidR="00882FE7" w14:paraId="3C1D1ADE" w14:textId="77777777">
        <w:trPr>
          <w:jc w:val="center"/>
        </w:trPr>
        <w:tc>
          <w:tcPr>
            <w:tcW w:w="2103" w:type="dxa"/>
            <w:tcBorders>
              <w:top w:val="single" w:sz="4" w:space="0" w:color="DEE2E6"/>
              <w:left w:val="single" w:sz="4" w:space="0" w:color="DEE2E6"/>
              <w:bottom w:val="single" w:sz="4" w:space="0" w:color="DEE2E6"/>
              <w:right w:val="single" w:sz="4" w:space="0" w:color="DEE2E6"/>
            </w:tcBorders>
          </w:tcPr>
          <w:p w14:paraId="0007A794" w14:textId="77777777" w:rsidR="00882FE7" w:rsidRDefault="00000000">
            <w:pPr>
              <w:spacing w:before="40" w:after="40"/>
            </w:pPr>
            <w:r>
              <w:rPr>
                <w:rFonts w:cs="Calibri"/>
                <w:b/>
                <w:color w:val="212529"/>
                <w:sz w:val="18"/>
              </w:rPr>
              <w:t>RGESN (référentiel général d'écoconception de services numériques)</w:t>
            </w:r>
          </w:p>
        </w:tc>
        <w:tc>
          <w:tcPr>
            <w:tcW w:w="3305" w:type="dxa"/>
            <w:tcBorders>
              <w:top w:val="single" w:sz="4" w:space="0" w:color="DEE2E6"/>
              <w:left w:val="single" w:sz="4" w:space="0" w:color="DEE2E6"/>
              <w:bottom w:val="single" w:sz="4" w:space="0" w:color="DEE2E6"/>
              <w:right w:val="single" w:sz="4" w:space="0" w:color="DEE2E6"/>
            </w:tcBorders>
          </w:tcPr>
          <w:p w14:paraId="40B47BAF" w14:textId="77777777" w:rsidR="00882FE7" w:rsidRDefault="00000000">
            <w:pPr>
              <w:spacing w:before="40" w:after="40"/>
            </w:pPr>
            <w:r>
              <w:rPr>
                <w:rFonts w:cs="Calibri"/>
                <w:color w:val="212529"/>
                <w:sz w:val="18"/>
              </w:rPr>
              <w:t>Sobriété du service et mesurabilité de son empreinte</w:t>
            </w:r>
          </w:p>
        </w:tc>
        <w:tc>
          <w:tcPr>
            <w:tcW w:w="2103" w:type="dxa"/>
            <w:tcBorders>
              <w:top w:val="single" w:sz="4" w:space="0" w:color="DEE2E6"/>
              <w:left w:val="single" w:sz="4" w:space="0" w:color="DEE2E6"/>
              <w:bottom w:val="single" w:sz="4" w:space="0" w:color="DEE2E6"/>
              <w:right w:val="single" w:sz="4" w:space="0" w:color="DEE2E6"/>
            </w:tcBorders>
          </w:tcPr>
          <w:p w14:paraId="66F9B4C7" w14:textId="77777777" w:rsidR="00882FE7" w:rsidRDefault="00000000">
            <w:pPr>
              <w:spacing w:before="40" w:after="40"/>
            </w:pPr>
            <w:r>
              <w:rPr>
                <w:rFonts w:cs="Calibri"/>
                <w:color w:val="212529"/>
                <w:sz w:val="18"/>
              </w:rPr>
              <w:t>Revue à chaque jalon</w:t>
            </w:r>
          </w:p>
        </w:tc>
        <w:tc>
          <w:tcPr>
            <w:tcW w:w="5408" w:type="dxa"/>
            <w:tcBorders>
              <w:top w:val="single" w:sz="4" w:space="0" w:color="DEE2E6"/>
              <w:left w:val="single" w:sz="4" w:space="0" w:color="DEE2E6"/>
              <w:bottom w:val="single" w:sz="4" w:space="0" w:color="DEE2E6"/>
              <w:right w:val="single" w:sz="4" w:space="0" w:color="DEE2E6"/>
            </w:tcBorders>
          </w:tcPr>
          <w:p w14:paraId="1499135B" w14:textId="77777777" w:rsidR="00882FE7" w:rsidRDefault="00000000">
            <w:pPr>
              <w:spacing w:before="40" w:after="40"/>
            </w:pPr>
            <w:r>
              <w:rPr>
                <w:rFonts w:cs="Calibri"/>
                <w:color w:val="212529"/>
                <w:sz w:val="18"/>
              </w:rPr>
              <w:t>Dimensionnement au plus juste des conteneurs, index partiels, modèle d'estimation énergétique instrumenté et alerté</w:t>
            </w:r>
          </w:p>
        </w:tc>
        <w:tc>
          <w:tcPr>
            <w:tcW w:w="2103" w:type="dxa"/>
            <w:tcBorders>
              <w:top w:val="single" w:sz="4" w:space="0" w:color="DEE2E6"/>
              <w:left w:val="single" w:sz="4" w:space="0" w:color="DEE2E6"/>
              <w:bottom w:val="single" w:sz="4" w:space="0" w:color="DEE2E6"/>
              <w:right w:val="single" w:sz="4" w:space="0" w:color="DEE2E6"/>
            </w:tcBorders>
          </w:tcPr>
          <w:p w14:paraId="4F885476" w14:textId="77777777" w:rsidR="00882FE7" w:rsidRDefault="00000000">
            <w:pPr>
              <w:spacing w:before="40" w:after="40"/>
            </w:pPr>
            <w:r>
              <w:rPr>
                <w:rFonts w:cs="Calibri"/>
                <w:color w:val="212529"/>
                <w:sz w:val="18"/>
              </w:rPr>
              <w:t>Annexe P, Annexe L lot 6.5</w:t>
            </w:r>
          </w:p>
        </w:tc>
      </w:tr>
      <w:tr w:rsidR="00882FE7" w14:paraId="5957331D" w14:textId="77777777">
        <w:trPr>
          <w:jc w:val="center"/>
        </w:trPr>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439C94FC" w14:textId="77777777" w:rsidR="00882FE7" w:rsidRDefault="00000000">
            <w:pPr>
              <w:spacing w:before="40" w:after="40"/>
            </w:pPr>
            <w:r>
              <w:rPr>
                <w:rFonts w:cs="Calibri"/>
                <w:b/>
                <w:color w:val="212529"/>
                <w:sz w:val="18"/>
              </w:rPr>
              <w:t>WCAG 2.2 et RGAA 4</w:t>
            </w:r>
          </w:p>
        </w:tc>
        <w:tc>
          <w:tcPr>
            <w:tcW w:w="3305" w:type="dxa"/>
            <w:tcBorders>
              <w:top w:val="single" w:sz="4" w:space="0" w:color="DEE2E6"/>
              <w:left w:val="single" w:sz="4" w:space="0" w:color="DEE2E6"/>
              <w:bottom w:val="single" w:sz="4" w:space="0" w:color="DEE2E6"/>
              <w:right w:val="single" w:sz="4" w:space="0" w:color="DEE2E6"/>
            </w:tcBorders>
            <w:shd w:val="clear" w:color="auto" w:fill="F8F9FA"/>
          </w:tcPr>
          <w:p w14:paraId="690C5552" w14:textId="77777777" w:rsidR="00882FE7" w:rsidRDefault="00000000">
            <w:pPr>
              <w:spacing w:before="40" w:after="40"/>
            </w:pPr>
            <w:r>
              <w:rPr>
                <w:rFonts w:cs="Calibri"/>
                <w:color w:val="212529"/>
                <w:sz w:val="18"/>
              </w:rPr>
              <w:t>Accessibilité des surfaces exposées aux personnes en situation de handicap</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19321976" w14:textId="77777777" w:rsidR="00882FE7" w:rsidRDefault="00000000">
            <w:pPr>
              <w:spacing w:before="40" w:after="40"/>
            </w:pPr>
            <w:r>
              <w:rPr>
                <w:rFonts w:cs="Calibri"/>
                <w:color w:val="212529"/>
                <w:sz w:val="18"/>
              </w:rPr>
              <w:t>Revue à chaque livraison d'interface</w:t>
            </w:r>
          </w:p>
        </w:tc>
        <w:tc>
          <w:tcPr>
            <w:tcW w:w="5408" w:type="dxa"/>
            <w:tcBorders>
              <w:top w:val="single" w:sz="4" w:space="0" w:color="DEE2E6"/>
              <w:left w:val="single" w:sz="4" w:space="0" w:color="DEE2E6"/>
              <w:bottom w:val="single" w:sz="4" w:space="0" w:color="DEE2E6"/>
              <w:right w:val="single" w:sz="4" w:space="0" w:color="DEE2E6"/>
            </w:tcBorders>
            <w:shd w:val="clear" w:color="auto" w:fill="F8F9FA"/>
          </w:tcPr>
          <w:p w14:paraId="32078235" w14:textId="77777777" w:rsidR="00882FE7" w:rsidRDefault="00000000">
            <w:pPr>
              <w:spacing w:before="40" w:after="40"/>
            </w:pPr>
            <w:r>
              <w:rPr>
                <w:rFonts w:cs="Calibri"/>
                <w:color w:val="212529"/>
                <w:sz w:val="18"/>
              </w:rPr>
              <w:t>Structure sémantique explicite, hiérarchie de titres, contrastes contrôlés, navigation au clavier</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651B09E3" w14:textId="77777777" w:rsidR="00882FE7" w:rsidRDefault="00000000">
            <w:pPr>
              <w:spacing w:before="40" w:after="40"/>
            </w:pPr>
            <w:r>
              <w:rPr>
                <w:rFonts w:cs="Calibri"/>
                <w:color w:val="212529"/>
                <w:sz w:val="18"/>
              </w:rPr>
              <w:t>Annexe F.1, Annexe R</w:t>
            </w:r>
          </w:p>
        </w:tc>
      </w:tr>
      <w:tr w:rsidR="00882FE7" w14:paraId="42DDB9A2" w14:textId="77777777">
        <w:trPr>
          <w:jc w:val="center"/>
        </w:trPr>
        <w:tc>
          <w:tcPr>
            <w:tcW w:w="2103" w:type="dxa"/>
            <w:tcBorders>
              <w:top w:val="single" w:sz="4" w:space="0" w:color="DEE2E6"/>
              <w:left w:val="single" w:sz="4" w:space="0" w:color="DEE2E6"/>
              <w:bottom w:val="single" w:sz="4" w:space="0" w:color="DEE2E6"/>
              <w:right w:val="single" w:sz="4" w:space="0" w:color="DEE2E6"/>
            </w:tcBorders>
          </w:tcPr>
          <w:p w14:paraId="0150BDB9" w14:textId="77777777" w:rsidR="00882FE7" w:rsidRDefault="00000000">
            <w:pPr>
              <w:spacing w:before="40" w:after="40"/>
            </w:pPr>
            <w:r>
              <w:rPr>
                <w:rFonts w:cs="Calibri"/>
                <w:b/>
                <w:color w:val="212529"/>
                <w:sz w:val="18"/>
              </w:rPr>
              <w:t>EU Data Act (UE 2023/2854)</w:t>
            </w:r>
          </w:p>
        </w:tc>
        <w:tc>
          <w:tcPr>
            <w:tcW w:w="3305" w:type="dxa"/>
            <w:tcBorders>
              <w:top w:val="single" w:sz="4" w:space="0" w:color="DEE2E6"/>
              <w:left w:val="single" w:sz="4" w:space="0" w:color="DEE2E6"/>
              <w:bottom w:val="single" w:sz="4" w:space="0" w:color="DEE2E6"/>
              <w:right w:val="single" w:sz="4" w:space="0" w:color="DEE2E6"/>
            </w:tcBorders>
          </w:tcPr>
          <w:p w14:paraId="118B220D" w14:textId="77777777" w:rsidR="00882FE7" w:rsidRDefault="00000000">
            <w:pPr>
              <w:spacing w:before="40" w:after="40"/>
            </w:pPr>
            <w:r>
              <w:rPr>
                <w:rFonts w:cs="Calibri"/>
                <w:color w:val="212529"/>
                <w:sz w:val="18"/>
              </w:rPr>
              <w:t>Portabilité et réversibilité vis-à-vis du fournisseur de cloud</w:t>
            </w:r>
          </w:p>
        </w:tc>
        <w:tc>
          <w:tcPr>
            <w:tcW w:w="2103" w:type="dxa"/>
            <w:tcBorders>
              <w:top w:val="single" w:sz="4" w:space="0" w:color="DEE2E6"/>
              <w:left w:val="single" w:sz="4" w:space="0" w:color="DEE2E6"/>
              <w:bottom w:val="single" w:sz="4" w:space="0" w:color="DEE2E6"/>
              <w:right w:val="single" w:sz="4" w:space="0" w:color="DEE2E6"/>
            </w:tcBorders>
          </w:tcPr>
          <w:p w14:paraId="21A5F6E9" w14:textId="77777777" w:rsidR="00882FE7" w:rsidRDefault="00000000">
            <w:pPr>
              <w:spacing w:before="40" w:after="40"/>
            </w:pPr>
            <w:r>
              <w:rPr>
                <w:rFonts w:cs="Calibri"/>
                <w:color w:val="212529"/>
                <w:sz w:val="18"/>
              </w:rPr>
              <w:t>Applicable depuis septembre 2025</w:t>
            </w:r>
          </w:p>
        </w:tc>
        <w:tc>
          <w:tcPr>
            <w:tcW w:w="5408" w:type="dxa"/>
            <w:tcBorders>
              <w:top w:val="single" w:sz="4" w:space="0" w:color="DEE2E6"/>
              <w:left w:val="single" w:sz="4" w:space="0" w:color="DEE2E6"/>
              <w:bottom w:val="single" w:sz="4" w:space="0" w:color="DEE2E6"/>
              <w:right w:val="single" w:sz="4" w:space="0" w:color="DEE2E6"/>
            </w:tcBorders>
          </w:tcPr>
          <w:p w14:paraId="76FE11BC" w14:textId="77777777" w:rsidR="00882FE7" w:rsidRDefault="00000000">
            <w:pPr>
              <w:spacing w:before="40" w:after="40"/>
            </w:pPr>
            <w:r>
              <w:rPr>
                <w:rFonts w:cs="Calibri"/>
                <w:color w:val="212529"/>
                <w:sz w:val="18"/>
              </w:rPr>
              <w:t>Aucune ressource créée hors du code, infrastructure reconstructible chez un autre fournisseur, export des médias par l'API</w:t>
            </w:r>
          </w:p>
        </w:tc>
        <w:tc>
          <w:tcPr>
            <w:tcW w:w="2103" w:type="dxa"/>
            <w:tcBorders>
              <w:top w:val="single" w:sz="4" w:space="0" w:color="DEE2E6"/>
              <w:left w:val="single" w:sz="4" w:space="0" w:color="DEE2E6"/>
              <w:bottom w:val="single" w:sz="4" w:space="0" w:color="DEE2E6"/>
              <w:right w:val="single" w:sz="4" w:space="0" w:color="DEE2E6"/>
            </w:tcBorders>
          </w:tcPr>
          <w:p w14:paraId="0BFB4DA0" w14:textId="77777777" w:rsidR="00882FE7" w:rsidRDefault="00000000">
            <w:pPr>
              <w:spacing w:before="40" w:after="40"/>
            </w:pPr>
            <w:r>
              <w:rPr>
                <w:rFonts w:cs="Calibri"/>
                <w:color w:val="212529"/>
                <w:sz w:val="18"/>
              </w:rPr>
              <w:t>Annexe K, Annexe Q</w:t>
            </w:r>
          </w:p>
        </w:tc>
      </w:tr>
    </w:tbl>
    <w:p w14:paraId="4F2752C5" w14:textId="77777777" w:rsidR="00882FE7" w:rsidRDefault="00882FE7">
      <w:pPr>
        <w:spacing w:after="0"/>
      </w:pPr>
    </w:p>
    <w:p w14:paraId="329F1E04" w14:textId="77777777" w:rsidR="00882FE7" w:rsidRDefault="00000000">
      <w:pPr>
        <w:spacing w:before="240" w:after="100"/>
      </w:pPr>
      <w:r>
        <w:rPr>
          <w:rFonts w:cs="Calibri"/>
          <w:b/>
          <w:color w:val="1C7ED6"/>
          <w:sz w:val="26"/>
        </w:rPr>
        <w:t>4.  Synthèse des tendances, retenues et écartées</w:t>
      </w:r>
    </w:p>
    <w:p w14:paraId="1D4F601D" w14:textId="77777777" w:rsidR="00882FE7" w:rsidRDefault="00000000">
      <w:pPr>
        <w:spacing w:after="120"/>
        <w:jc w:val="both"/>
      </w:pPr>
      <w:r>
        <w:rPr>
          <w:rFonts w:cs="Calibri"/>
          <w:color w:val="212529"/>
        </w:rPr>
        <w:t>La synthèse ci-dessous ne conserve que les tendances ayant eu un effet mesurable sur une décision. Une veille qui ne consignerait que ce qu'elle valide perdrait sa valeur d'audit, les rejets sont donc consignés au même titre.</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Look w:val="04A0" w:firstRow="1" w:lastRow="0" w:firstColumn="1" w:lastColumn="0" w:noHBand="0" w:noVBand="1"/>
      </w:tblPr>
      <w:tblGrid>
        <w:gridCol w:w="1953"/>
        <w:gridCol w:w="3605"/>
        <w:gridCol w:w="1352"/>
        <w:gridCol w:w="3605"/>
        <w:gridCol w:w="4507"/>
      </w:tblGrid>
      <w:tr w:rsidR="00882FE7" w14:paraId="6976FEA0" w14:textId="77777777">
        <w:trPr>
          <w:tblHeader/>
          <w:jc w:val="center"/>
        </w:trPr>
        <w:tc>
          <w:tcPr>
            <w:tcW w:w="1953" w:type="dxa"/>
            <w:tcBorders>
              <w:top w:val="single" w:sz="4" w:space="0" w:color="DEE2E6"/>
              <w:left w:val="single" w:sz="4" w:space="0" w:color="DEE2E6"/>
              <w:bottom w:val="single" w:sz="4" w:space="0" w:color="DEE2E6"/>
              <w:right w:val="single" w:sz="4" w:space="0" w:color="DEE2E6"/>
            </w:tcBorders>
            <w:shd w:val="clear" w:color="auto" w:fill="495057"/>
          </w:tcPr>
          <w:p w14:paraId="0926F827" w14:textId="77777777" w:rsidR="00882FE7" w:rsidRDefault="00000000">
            <w:pPr>
              <w:spacing w:before="40" w:after="40"/>
              <w:jc w:val="center"/>
            </w:pPr>
            <w:r>
              <w:rPr>
                <w:rFonts w:cs="Calibri"/>
                <w:b/>
                <w:color w:val="FFFFFF"/>
                <w:sz w:val="18"/>
              </w:rPr>
              <w:t>Domaine</w:t>
            </w:r>
          </w:p>
        </w:tc>
        <w:tc>
          <w:tcPr>
            <w:tcW w:w="3605" w:type="dxa"/>
            <w:tcBorders>
              <w:top w:val="single" w:sz="4" w:space="0" w:color="DEE2E6"/>
              <w:left w:val="single" w:sz="4" w:space="0" w:color="DEE2E6"/>
              <w:bottom w:val="single" w:sz="4" w:space="0" w:color="DEE2E6"/>
              <w:right w:val="single" w:sz="4" w:space="0" w:color="DEE2E6"/>
            </w:tcBorders>
            <w:shd w:val="clear" w:color="auto" w:fill="495057"/>
          </w:tcPr>
          <w:p w14:paraId="370AABD0" w14:textId="77777777" w:rsidR="00882FE7" w:rsidRDefault="00000000">
            <w:pPr>
              <w:spacing w:before="40" w:after="40"/>
              <w:jc w:val="center"/>
            </w:pPr>
            <w:r>
              <w:rPr>
                <w:rFonts w:cs="Calibri"/>
                <w:b/>
                <w:color w:val="FFFFFF"/>
                <w:sz w:val="18"/>
              </w:rPr>
              <w:t>Tendance observée</w:t>
            </w:r>
          </w:p>
        </w:tc>
        <w:tc>
          <w:tcPr>
            <w:tcW w:w="1352" w:type="dxa"/>
            <w:tcBorders>
              <w:top w:val="single" w:sz="4" w:space="0" w:color="DEE2E6"/>
              <w:left w:val="single" w:sz="4" w:space="0" w:color="DEE2E6"/>
              <w:bottom w:val="single" w:sz="4" w:space="0" w:color="DEE2E6"/>
              <w:right w:val="single" w:sz="4" w:space="0" w:color="DEE2E6"/>
            </w:tcBorders>
            <w:shd w:val="clear" w:color="auto" w:fill="495057"/>
          </w:tcPr>
          <w:p w14:paraId="2F6E1485" w14:textId="77777777" w:rsidR="00882FE7" w:rsidRDefault="00000000">
            <w:pPr>
              <w:spacing w:before="40" w:after="40"/>
              <w:jc w:val="center"/>
            </w:pPr>
            <w:r>
              <w:rPr>
                <w:rFonts w:cs="Calibri"/>
                <w:b/>
                <w:color w:val="FFFFFF"/>
                <w:sz w:val="18"/>
              </w:rPr>
              <w:t>Sources</w:t>
            </w:r>
          </w:p>
        </w:tc>
        <w:tc>
          <w:tcPr>
            <w:tcW w:w="3605" w:type="dxa"/>
            <w:tcBorders>
              <w:top w:val="single" w:sz="4" w:space="0" w:color="DEE2E6"/>
              <w:left w:val="single" w:sz="4" w:space="0" w:color="DEE2E6"/>
              <w:bottom w:val="single" w:sz="4" w:space="0" w:color="DEE2E6"/>
              <w:right w:val="single" w:sz="4" w:space="0" w:color="DEE2E6"/>
            </w:tcBorders>
            <w:shd w:val="clear" w:color="auto" w:fill="495057"/>
          </w:tcPr>
          <w:p w14:paraId="2D15F082" w14:textId="77777777" w:rsidR="00882FE7" w:rsidRDefault="00000000">
            <w:pPr>
              <w:spacing w:before="40" w:after="40"/>
              <w:jc w:val="center"/>
            </w:pPr>
            <w:r>
              <w:rPr>
                <w:rFonts w:cs="Calibri"/>
                <w:b/>
                <w:color w:val="FFFFFF"/>
                <w:sz w:val="18"/>
              </w:rPr>
              <w:t>Décision</w:t>
            </w:r>
          </w:p>
        </w:tc>
        <w:tc>
          <w:tcPr>
            <w:tcW w:w="4507" w:type="dxa"/>
            <w:tcBorders>
              <w:top w:val="single" w:sz="4" w:space="0" w:color="DEE2E6"/>
              <w:left w:val="single" w:sz="4" w:space="0" w:color="DEE2E6"/>
              <w:bottom w:val="single" w:sz="4" w:space="0" w:color="DEE2E6"/>
              <w:right w:val="single" w:sz="4" w:space="0" w:color="DEE2E6"/>
            </w:tcBorders>
            <w:shd w:val="clear" w:color="auto" w:fill="495057"/>
          </w:tcPr>
          <w:p w14:paraId="3DB87BED" w14:textId="77777777" w:rsidR="00882FE7" w:rsidRDefault="00000000">
            <w:pPr>
              <w:spacing w:before="40" w:after="40"/>
              <w:jc w:val="center"/>
            </w:pPr>
            <w:r>
              <w:rPr>
                <w:rFonts w:cs="Calibri"/>
                <w:b/>
                <w:color w:val="FFFFFF"/>
                <w:sz w:val="18"/>
              </w:rPr>
              <w:t>Motif</w:t>
            </w:r>
          </w:p>
        </w:tc>
      </w:tr>
      <w:tr w:rsidR="00882FE7" w14:paraId="572AEE2E" w14:textId="77777777">
        <w:trPr>
          <w:jc w:val="center"/>
        </w:trPr>
        <w:tc>
          <w:tcPr>
            <w:tcW w:w="1953" w:type="dxa"/>
            <w:tcBorders>
              <w:top w:val="single" w:sz="4" w:space="0" w:color="DEE2E6"/>
              <w:left w:val="single" w:sz="4" w:space="0" w:color="DEE2E6"/>
              <w:bottom w:val="single" w:sz="4" w:space="0" w:color="DEE2E6"/>
              <w:right w:val="single" w:sz="4" w:space="0" w:color="DEE2E6"/>
            </w:tcBorders>
          </w:tcPr>
          <w:p w14:paraId="15131D90" w14:textId="77777777" w:rsidR="00882FE7" w:rsidRDefault="00000000">
            <w:pPr>
              <w:spacing w:before="40" w:after="40"/>
            </w:pPr>
            <w:r>
              <w:rPr>
                <w:rFonts w:cs="Calibri"/>
                <w:b/>
                <w:color w:val="212529"/>
                <w:sz w:val="18"/>
              </w:rPr>
              <w:t>Moteur d'exécution</w:t>
            </w:r>
          </w:p>
        </w:tc>
        <w:tc>
          <w:tcPr>
            <w:tcW w:w="3605" w:type="dxa"/>
            <w:tcBorders>
              <w:top w:val="single" w:sz="4" w:space="0" w:color="DEE2E6"/>
              <w:left w:val="single" w:sz="4" w:space="0" w:color="DEE2E6"/>
              <w:bottom w:val="single" w:sz="4" w:space="0" w:color="DEE2E6"/>
              <w:right w:val="single" w:sz="4" w:space="0" w:color="DEE2E6"/>
            </w:tcBorders>
          </w:tcPr>
          <w:p w14:paraId="1961E433" w14:textId="77777777" w:rsidR="00882FE7" w:rsidRDefault="00000000">
            <w:pPr>
              <w:spacing w:before="40" w:after="40"/>
            </w:pPr>
            <w:r>
              <w:rPr>
                <w:rFonts w:cs="Calibri"/>
                <w:color w:val="212529"/>
                <w:sz w:val="18"/>
              </w:rPr>
              <w:t>Runtimes unifiés (Bun, Deno) contre Node.js</w:t>
            </w:r>
          </w:p>
        </w:tc>
        <w:tc>
          <w:tcPr>
            <w:tcW w:w="1352" w:type="dxa"/>
            <w:tcBorders>
              <w:top w:val="single" w:sz="4" w:space="0" w:color="DEE2E6"/>
              <w:left w:val="single" w:sz="4" w:space="0" w:color="DEE2E6"/>
              <w:bottom w:val="single" w:sz="4" w:space="0" w:color="DEE2E6"/>
              <w:right w:val="single" w:sz="4" w:space="0" w:color="DEE2E6"/>
            </w:tcBorders>
          </w:tcPr>
          <w:p w14:paraId="5B7C258F" w14:textId="77777777" w:rsidR="00882FE7" w:rsidRDefault="00000000">
            <w:pPr>
              <w:spacing w:before="40" w:after="40"/>
            </w:pPr>
            <w:r>
              <w:rPr>
                <w:rFonts w:cs="Calibri"/>
                <w:color w:val="212529"/>
                <w:sz w:val="18"/>
              </w:rPr>
              <w:t>S1, S2, S6, S7</w:t>
            </w:r>
          </w:p>
        </w:tc>
        <w:tc>
          <w:tcPr>
            <w:tcW w:w="3605" w:type="dxa"/>
            <w:tcBorders>
              <w:top w:val="single" w:sz="4" w:space="0" w:color="DEE2E6"/>
              <w:left w:val="single" w:sz="4" w:space="0" w:color="DEE2E6"/>
              <w:bottom w:val="single" w:sz="4" w:space="0" w:color="DEE2E6"/>
              <w:right w:val="single" w:sz="4" w:space="0" w:color="DEE2E6"/>
            </w:tcBorders>
          </w:tcPr>
          <w:p w14:paraId="44B9BF28" w14:textId="77777777" w:rsidR="00882FE7" w:rsidRDefault="00000000">
            <w:pPr>
              <w:spacing w:before="40" w:after="40"/>
            </w:pPr>
            <w:r>
              <w:rPr>
                <w:rFonts w:cs="Calibri"/>
                <w:color w:val="212529"/>
                <w:sz w:val="18"/>
              </w:rPr>
              <w:t>Bun retenu, Node.js conservé comme repli</w:t>
            </w:r>
          </w:p>
        </w:tc>
        <w:tc>
          <w:tcPr>
            <w:tcW w:w="4507" w:type="dxa"/>
            <w:tcBorders>
              <w:top w:val="single" w:sz="4" w:space="0" w:color="DEE2E6"/>
              <w:left w:val="single" w:sz="4" w:space="0" w:color="DEE2E6"/>
              <w:bottom w:val="single" w:sz="4" w:space="0" w:color="DEE2E6"/>
              <w:right w:val="single" w:sz="4" w:space="0" w:color="DEE2E6"/>
            </w:tcBorders>
          </w:tcPr>
          <w:p w14:paraId="24E74410" w14:textId="77777777" w:rsidR="00882FE7" w:rsidRDefault="00000000">
            <w:pPr>
              <w:spacing w:before="40" w:after="40"/>
            </w:pPr>
            <w:r>
              <w:rPr>
                <w:rFonts w:cs="Calibri"/>
                <w:color w:val="212529"/>
                <w:sz w:val="18"/>
              </w:rPr>
              <w:t>Gain de cycle constaté à chaque exécution du pipeline, risque borné par la réversibilité</w:t>
            </w:r>
          </w:p>
        </w:tc>
      </w:tr>
      <w:tr w:rsidR="00882FE7" w14:paraId="25D4B848" w14:textId="77777777">
        <w:trPr>
          <w:jc w:val="center"/>
        </w:trPr>
        <w:tc>
          <w:tcPr>
            <w:tcW w:w="1953" w:type="dxa"/>
            <w:tcBorders>
              <w:top w:val="single" w:sz="4" w:space="0" w:color="DEE2E6"/>
              <w:left w:val="single" w:sz="4" w:space="0" w:color="DEE2E6"/>
              <w:bottom w:val="single" w:sz="4" w:space="0" w:color="DEE2E6"/>
              <w:right w:val="single" w:sz="4" w:space="0" w:color="DEE2E6"/>
            </w:tcBorders>
            <w:shd w:val="clear" w:color="auto" w:fill="F8F9FA"/>
          </w:tcPr>
          <w:p w14:paraId="250048C8" w14:textId="77777777" w:rsidR="00882FE7" w:rsidRDefault="00000000">
            <w:pPr>
              <w:spacing w:before="40" w:after="40"/>
            </w:pPr>
            <w:r>
              <w:rPr>
                <w:rFonts w:cs="Calibri"/>
                <w:b/>
                <w:color w:val="212529"/>
                <w:sz w:val="18"/>
              </w:rPr>
              <w:t>Orchestration</w:t>
            </w:r>
          </w:p>
        </w:tc>
        <w:tc>
          <w:tcPr>
            <w:tcW w:w="3605" w:type="dxa"/>
            <w:tcBorders>
              <w:top w:val="single" w:sz="4" w:space="0" w:color="DEE2E6"/>
              <w:left w:val="single" w:sz="4" w:space="0" w:color="DEE2E6"/>
              <w:bottom w:val="single" w:sz="4" w:space="0" w:color="DEE2E6"/>
              <w:right w:val="single" w:sz="4" w:space="0" w:color="DEE2E6"/>
            </w:tcBorders>
            <w:shd w:val="clear" w:color="auto" w:fill="F8F9FA"/>
          </w:tcPr>
          <w:p w14:paraId="16F4F3FB" w14:textId="77777777" w:rsidR="00882FE7" w:rsidRDefault="00000000">
            <w:pPr>
              <w:spacing w:before="40" w:after="40"/>
            </w:pPr>
            <w:r>
              <w:rPr>
                <w:rFonts w:cs="Calibri"/>
                <w:color w:val="212529"/>
                <w:sz w:val="18"/>
              </w:rPr>
              <w:t>Domination de Kubernetes et de ses distributions allégées</w:t>
            </w:r>
          </w:p>
        </w:tc>
        <w:tc>
          <w:tcPr>
            <w:tcW w:w="1352" w:type="dxa"/>
            <w:tcBorders>
              <w:top w:val="single" w:sz="4" w:space="0" w:color="DEE2E6"/>
              <w:left w:val="single" w:sz="4" w:space="0" w:color="DEE2E6"/>
              <w:bottom w:val="single" w:sz="4" w:space="0" w:color="DEE2E6"/>
              <w:right w:val="single" w:sz="4" w:space="0" w:color="DEE2E6"/>
            </w:tcBorders>
            <w:shd w:val="clear" w:color="auto" w:fill="F8F9FA"/>
          </w:tcPr>
          <w:p w14:paraId="4E40970F" w14:textId="77777777" w:rsidR="00882FE7" w:rsidRDefault="00000000">
            <w:pPr>
              <w:spacing w:before="40" w:after="40"/>
            </w:pPr>
            <w:r>
              <w:rPr>
                <w:rFonts w:cs="Calibri"/>
                <w:color w:val="212529"/>
                <w:sz w:val="18"/>
              </w:rPr>
              <w:t>S6, S7, S9</w:t>
            </w:r>
          </w:p>
        </w:tc>
        <w:tc>
          <w:tcPr>
            <w:tcW w:w="3605" w:type="dxa"/>
            <w:tcBorders>
              <w:top w:val="single" w:sz="4" w:space="0" w:color="DEE2E6"/>
              <w:left w:val="single" w:sz="4" w:space="0" w:color="DEE2E6"/>
              <w:bottom w:val="single" w:sz="4" w:space="0" w:color="DEE2E6"/>
              <w:right w:val="single" w:sz="4" w:space="0" w:color="DEE2E6"/>
            </w:tcBorders>
            <w:shd w:val="clear" w:color="auto" w:fill="F8F9FA"/>
          </w:tcPr>
          <w:p w14:paraId="1EF0011A" w14:textId="77777777" w:rsidR="00882FE7" w:rsidRDefault="00000000">
            <w:pPr>
              <w:spacing w:before="40" w:after="40"/>
            </w:pPr>
            <w:r>
              <w:rPr>
                <w:rFonts w:cs="Calibri"/>
                <w:color w:val="212529"/>
                <w:sz w:val="18"/>
              </w:rPr>
              <w:t>Docker Swarm retenu</w:t>
            </w:r>
          </w:p>
        </w:tc>
        <w:tc>
          <w:tcPr>
            <w:tcW w:w="4507" w:type="dxa"/>
            <w:tcBorders>
              <w:top w:val="single" w:sz="4" w:space="0" w:color="DEE2E6"/>
              <w:left w:val="single" w:sz="4" w:space="0" w:color="DEE2E6"/>
              <w:bottom w:val="single" w:sz="4" w:space="0" w:color="DEE2E6"/>
              <w:right w:val="single" w:sz="4" w:space="0" w:color="DEE2E6"/>
            </w:tcBorders>
            <w:shd w:val="clear" w:color="auto" w:fill="F8F9FA"/>
          </w:tcPr>
          <w:p w14:paraId="78671670" w14:textId="77777777" w:rsidR="00882FE7" w:rsidRDefault="00000000">
            <w:pPr>
              <w:spacing w:before="40" w:after="40"/>
            </w:pPr>
            <w:r>
              <w:rPr>
                <w:rFonts w:cs="Calibri"/>
                <w:color w:val="212529"/>
                <w:sz w:val="18"/>
              </w:rPr>
              <w:t>Le standard n'est pas proportionné à quelques nœuds opérés par une équipe réduite</w:t>
            </w:r>
          </w:p>
        </w:tc>
      </w:tr>
      <w:tr w:rsidR="00882FE7" w14:paraId="711FC048" w14:textId="77777777">
        <w:trPr>
          <w:jc w:val="center"/>
        </w:trPr>
        <w:tc>
          <w:tcPr>
            <w:tcW w:w="1953" w:type="dxa"/>
            <w:tcBorders>
              <w:top w:val="single" w:sz="4" w:space="0" w:color="DEE2E6"/>
              <w:left w:val="single" w:sz="4" w:space="0" w:color="DEE2E6"/>
              <w:bottom w:val="single" w:sz="4" w:space="0" w:color="DEE2E6"/>
              <w:right w:val="single" w:sz="4" w:space="0" w:color="DEE2E6"/>
            </w:tcBorders>
          </w:tcPr>
          <w:p w14:paraId="6CAE63B7" w14:textId="77777777" w:rsidR="00882FE7" w:rsidRDefault="00000000">
            <w:pPr>
              <w:spacing w:before="40" w:after="40"/>
            </w:pPr>
            <w:r>
              <w:rPr>
                <w:rFonts w:cs="Calibri"/>
                <w:b/>
                <w:color w:val="212529"/>
                <w:sz w:val="18"/>
              </w:rPr>
              <w:lastRenderedPageBreak/>
              <w:t>Licences de l'outillage</w:t>
            </w:r>
          </w:p>
        </w:tc>
        <w:tc>
          <w:tcPr>
            <w:tcW w:w="3605" w:type="dxa"/>
            <w:tcBorders>
              <w:top w:val="single" w:sz="4" w:space="0" w:color="DEE2E6"/>
              <w:left w:val="single" w:sz="4" w:space="0" w:color="DEE2E6"/>
              <w:bottom w:val="single" w:sz="4" w:space="0" w:color="DEE2E6"/>
              <w:right w:val="single" w:sz="4" w:space="0" w:color="DEE2E6"/>
            </w:tcBorders>
          </w:tcPr>
          <w:p w14:paraId="79346135" w14:textId="77777777" w:rsidR="00882FE7" w:rsidRDefault="00000000">
            <w:pPr>
              <w:spacing w:before="40" w:after="40"/>
            </w:pPr>
            <w:r>
              <w:rPr>
                <w:rFonts w:cs="Calibri"/>
                <w:color w:val="212529"/>
                <w:sz w:val="18"/>
              </w:rPr>
              <w:t>Passage de Terraform sous licence BSL en 2023, fork OpenTofu, changement de licence de Redis en 2024, fork Valkey</w:t>
            </w:r>
          </w:p>
        </w:tc>
        <w:tc>
          <w:tcPr>
            <w:tcW w:w="1352" w:type="dxa"/>
            <w:tcBorders>
              <w:top w:val="single" w:sz="4" w:space="0" w:color="DEE2E6"/>
              <w:left w:val="single" w:sz="4" w:space="0" w:color="DEE2E6"/>
              <w:bottom w:val="single" w:sz="4" w:space="0" w:color="DEE2E6"/>
              <w:right w:val="single" w:sz="4" w:space="0" w:color="DEE2E6"/>
            </w:tcBorders>
          </w:tcPr>
          <w:p w14:paraId="69822683" w14:textId="77777777" w:rsidR="00882FE7" w:rsidRDefault="00000000">
            <w:pPr>
              <w:spacing w:before="40" w:after="40"/>
            </w:pPr>
            <w:r>
              <w:rPr>
                <w:rFonts w:cs="Calibri"/>
                <w:color w:val="212529"/>
                <w:sz w:val="18"/>
              </w:rPr>
              <w:t>S2, S6, S9</w:t>
            </w:r>
          </w:p>
        </w:tc>
        <w:tc>
          <w:tcPr>
            <w:tcW w:w="3605" w:type="dxa"/>
            <w:tcBorders>
              <w:top w:val="single" w:sz="4" w:space="0" w:color="DEE2E6"/>
              <w:left w:val="single" w:sz="4" w:space="0" w:color="DEE2E6"/>
              <w:bottom w:val="single" w:sz="4" w:space="0" w:color="DEE2E6"/>
              <w:right w:val="single" w:sz="4" w:space="0" w:color="DEE2E6"/>
            </w:tcBorders>
          </w:tcPr>
          <w:p w14:paraId="410C5DF6" w14:textId="77777777" w:rsidR="00882FE7" w:rsidRDefault="00000000">
            <w:pPr>
              <w:spacing w:before="40" w:after="40"/>
            </w:pPr>
            <w:r>
              <w:rPr>
                <w:rFonts w:cs="Calibri"/>
                <w:color w:val="212529"/>
                <w:sz w:val="18"/>
              </w:rPr>
              <w:t>Aucun changement immédiat, deux points de vigilance ouverts avec scénario de repli</w:t>
            </w:r>
          </w:p>
        </w:tc>
        <w:tc>
          <w:tcPr>
            <w:tcW w:w="4507" w:type="dxa"/>
            <w:tcBorders>
              <w:top w:val="single" w:sz="4" w:space="0" w:color="DEE2E6"/>
              <w:left w:val="single" w:sz="4" w:space="0" w:color="DEE2E6"/>
              <w:bottom w:val="single" w:sz="4" w:space="0" w:color="DEE2E6"/>
              <w:right w:val="single" w:sz="4" w:space="0" w:color="DEE2E6"/>
            </w:tcBorders>
          </w:tcPr>
          <w:p w14:paraId="127D6F33" w14:textId="77777777" w:rsidR="00882FE7" w:rsidRDefault="00000000">
            <w:pPr>
              <w:spacing w:before="40" w:after="40"/>
            </w:pPr>
            <w:r>
              <w:rPr>
                <w:rFonts w:cs="Calibri"/>
                <w:color w:val="212529"/>
                <w:sz w:val="18"/>
              </w:rPr>
              <w:t>Aucun effet opérationnel constaté, mais le risque de licence est devenu déterminant</w:t>
            </w:r>
          </w:p>
        </w:tc>
      </w:tr>
      <w:tr w:rsidR="00882FE7" w14:paraId="21689715" w14:textId="77777777">
        <w:trPr>
          <w:jc w:val="center"/>
        </w:trPr>
        <w:tc>
          <w:tcPr>
            <w:tcW w:w="1953" w:type="dxa"/>
            <w:tcBorders>
              <w:top w:val="single" w:sz="4" w:space="0" w:color="DEE2E6"/>
              <w:left w:val="single" w:sz="4" w:space="0" w:color="DEE2E6"/>
              <w:bottom w:val="single" w:sz="4" w:space="0" w:color="DEE2E6"/>
              <w:right w:val="single" w:sz="4" w:space="0" w:color="DEE2E6"/>
            </w:tcBorders>
            <w:shd w:val="clear" w:color="auto" w:fill="F8F9FA"/>
          </w:tcPr>
          <w:p w14:paraId="6A20724E" w14:textId="77777777" w:rsidR="00882FE7" w:rsidRDefault="00000000">
            <w:pPr>
              <w:spacing w:before="40" w:after="40"/>
            </w:pPr>
            <w:r>
              <w:rPr>
                <w:rFonts w:cs="Calibri"/>
                <w:b/>
                <w:color w:val="212529"/>
                <w:sz w:val="18"/>
              </w:rPr>
              <w:t>Sécurité de la chaîne</w:t>
            </w:r>
          </w:p>
        </w:tc>
        <w:tc>
          <w:tcPr>
            <w:tcW w:w="3605" w:type="dxa"/>
            <w:tcBorders>
              <w:top w:val="single" w:sz="4" w:space="0" w:color="DEE2E6"/>
              <w:left w:val="single" w:sz="4" w:space="0" w:color="DEE2E6"/>
              <w:bottom w:val="single" w:sz="4" w:space="0" w:color="DEE2E6"/>
              <w:right w:val="single" w:sz="4" w:space="0" w:color="DEE2E6"/>
            </w:tcBorders>
            <w:shd w:val="clear" w:color="auto" w:fill="F8F9FA"/>
          </w:tcPr>
          <w:p w14:paraId="79CE069B" w14:textId="77777777" w:rsidR="00882FE7" w:rsidRDefault="00000000">
            <w:pPr>
              <w:spacing w:before="40" w:after="40"/>
            </w:pPr>
            <w:r>
              <w:rPr>
                <w:rFonts w:cs="Calibri"/>
                <w:color w:val="212529"/>
                <w:sz w:val="18"/>
              </w:rPr>
              <w:t>Généralisation du SBOM et de l'analyse en porte bloquante</w:t>
            </w:r>
          </w:p>
        </w:tc>
        <w:tc>
          <w:tcPr>
            <w:tcW w:w="1352" w:type="dxa"/>
            <w:tcBorders>
              <w:top w:val="single" w:sz="4" w:space="0" w:color="DEE2E6"/>
              <w:left w:val="single" w:sz="4" w:space="0" w:color="DEE2E6"/>
              <w:bottom w:val="single" w:sz="4" w:space="0" w:color="DEE2E6"/>
              <w:right w:val="single" w:sz="4" w:space="0" w:color="DEE2E6"/>
            </w:tcBorders>
            <w:shd w:val="clear" w:color="auto" w:fill="F8F9FA"/>
          </w:tcPr>
          <w:p w14:paraId="6FE05434" w14:textId="77777777" w:rsidR="00882FE7" w:rsidRDefault="00000000">
            <w:pPr>
              <w:spacing w:before="40" w:after="40"/>
            </w:pPr>
            <w:r>
              <w:rPr>
                <w:rFonts w:cs="Calibri"/>
                <w:color w:val="212529"/>
                <w:sz w:val="18"/>
              </w:rPr>
              <w:t>S3, S4</w:t>
            </w:r>
          </w:p>
        </w:tc>
        <w:tc>
          <w:tcPr>
            <w:tcW w:w="3605" w:type="dxa"/>
            <w:tcBorders>
              <w:top w:val="single" w:sz="4" w:space="0" w:color="DEE2E6"/>
              <w:left w:val="single" w:sz="4" w:space="0" w:color="DEE2E6"/>
              <w:bottom w:val="single" w:sz="4" w:space="0" w:color="DEE2E6"/>
              <w:right w:val="single" w:sz="4" w:space="0" w:color="DEE2E6"/>
            </w:tcBorders>
            <w:shd w:val="clear" w:color="auto" w:fill="F8F9FA"/>
          </w:tcPr>
          <w:p w14:paraId="0C0B3E50" w14:textId="77777777" w:rsidR="00882FE7" w:rsidRDefault="00000000">
            <w:pPr>
              <w:spacing w:before="40" w:after="40"/>
            </w:pPr>
            <w:r>
              <w:rPr>
                <w:rFonts w:cs="Calibri"/>
                <w:color w:val="212529"/>
                <w:sz w:val="18"/>
              </w:rPr>
              <w:t>Trivy en trois passes et SBOM CycloneDX par image</w:t>
            </w:r>
          </w:p>
        </w:tc>
        <w:tc>
          <w:tcPr>
            <w:tcW w:w="4507" w:type="dxa"/>
            <w:tcBorders>
              <w:top w:val="single" w:sz="4" w:space="0" w:color="DEE2E6"/>
              <w:left w:val="single" w:sz="4" w:space="0" w:color="DEE2E6"/>
              <w:bottom w:val="single" w:sz="4" w:space="0" w:color="DEE2E6"/>
              <w:right w:val="single" w:sz="4" w:space="0" w:color="DEE2E6"/>
            </w:tcBorders>
            <w:shd w:val="clear" w:color="auto" w:fill="F8F9FA"/>
          </w:tcPr>
          <w:p w14:paraId="26623A70" w14:textId="77777777" w:rsidR="00882FE7" w:rsidRDefault="00000000">
            <w:pPr>
              <w:spacing w:before="40" w:after="40"/>
            </w:pPr>
            <w:r>
              <w:rPr>
                <w:rFonts w:cs="Calibri"/>
                <w:color w:val="212529"/>
                <w:sz w:val="18"/>
              </w:rPr>
              <w:t>Une vulnérabilité connue coûte moins cher à traiter avant la mise en production</w:t>
            </w:r>
          </w:p>
        </w:tc>
      </w:tr>
      <w:tr w:rsidR="00882FE7" w14:paraId="6D025CBA" w14:textId="77777777">
        <w:trPr>
          <w:jc w:val="center"/>
        </w:trPr>
        <w:tc>
          <w:tcPr>
            <w:tcW w:w="1953" w:type="dxa"/>
            <w:tcBorders>
              <w:top w:val="single" w:sz="4" w:space="0" w:color="DEE2E6"/>
              <w:left w:val="single" w:sz="4" w:space="0" w:color="DEE2E6"/>
              <w:bottom w:val="single" w:sz="4" w:space="0" w:color="DEE2E6"/>
              <w:right w:val="single" w:sz="4" w:space="0" w:color="DEE2E6"/>
            </w:tcBorders>
          </w:tcPr>
          <w:p w14:paraId="4478C38A" w14:textId="77777777" w:rsidR="00882FE7" w:rsidRDefault="00000000">
            <w:pPr>
              <w:spacing w:before="40" w:after="40"/>
            </w:pPr>
            <w:r>
              <w:rPr>
                <w:rFonts w:cs="Calibri"/>
                <w:b/>
                <w:color w:val="212529"/>
                <w:sz w:val="18"/>
              </w:rPr>
              <w:t>Observabilité</w:t>
            </w:r>
          </w:p>
        </w:tc>
        <w:tc>
          <w:tcPr>
            <w:tcW w:w="3605" w:type="dxa"/>
            <w:tcBorders>
              <w:top w:val="single" w:sz="4" w:space="0" w:color="DEE2E6"/>
              <w:left w:val="single" w:sz="4" w:space="0" w:color="DEE2E6"/>
              <w:bottom w:val="single" w:sz="4" w:space="0" w:color="DEE2E6"/>
              <w:right w:val="single" w:sz="4" w:space="0" w:color="DEE2E6"/>
            </w:tcBorders>
          </w:tcPr>
          <w:p w14:paraId="67F266D6" w14:textId="77777777" w:rsidR="00882FE7" w:rsidRDefault="00000000">
            <w:pPr>
              <w:spacing w:before="40" w:after="40"/>
            </w:pPr>
            <w:r>
              <w:rPr>
                <w:rFonts w:cs="Calibri"/>
                <w:color w:val="212529"/>
                <w:sz w:val="18"/>
              </w:rPr>
              <w:t>Convergence vers OpenTelemetry</w:t>
            </w:r>
          </w:p>
        </w:tc>
        <w:tc>
          <w:tcPr>
            <w:tcW w:w="1352" w:type="dxa"/>
            <w:tcBorders>
              <w:top w:val="single" w:sz="4" w:space="0" w:color="DEE2E6"/>
              <w:left w:val="single" w:sz="4" w:space="0" w:color="DEE2E6"/>
              <w:bottom w:val="single" w:sz="4" w:space="0" w:color="DEE2E6"/>
              <w:right w:val="single" w:sz="4" w:space="0" w:color="DEE2E6"/>
            </w:tcBorders>
          </w:tcPr>
          <w:p w14:paraId="59601A8C" w14:textId="77777777" w:rsidR="00882FE7" w:rsidRDefault="00000000">
            <w:pPr>
              <w:spacing w:before="40" w:after="40"/>
            </w:pPr>
            <w:r>
              <w:rPr>
                <w:rFonts w:cs="Calibri"/>
                <w:color w:val="212529"/>
                <w:sz w:val="18"/>
              </w:rPr>
              <w:t>S1, S6</w:t>
            </w:r>
          </w:p>
        </w:tc>
        <w:tc>
          <w:tcPr>
            <w:tcW w:w="3605" w:type="dxa"/>
            <w:tcBorders>
              <w:top w:val="single" w:sz="4" w:space="0" w:color="DEE2E6"/>
              <w:left w:val="single" w:sz="4" w:space="0" w:color="DEE2E6"/>
              <w:bottom w:val="single" w:sz="4" w:space="0" w:color="DEE2E6"/>
              <w:right w:val="single" w:sz="4" w:space="0" w:color="DEE2E6"/>
            </w:tcBorders>
          </w:tcPr>
          <w:p w14:paraId="56E761E5" w14:textId="77777777" w:rsidR="00882FE7" w:rsidRDefault="00000000">
            <w:pPr>
              <w:spacing w:before="40" w:after="40"/>
            </w:pPr>
            <w:r>
              <w:rPr>
                <w:rFonts w:cs="Calibri"/>
                <w:color w:val="212529"/>
                <w:sz w:val="18"/>
              </w:rPr>
              <w:t>Écartée à ce stade, pile Prometheus et Loki conservée</w:t>
            </w:r>
          </w:p>
        </w:tc>
        <w:tc>
          <w:tcPr>
            <w:tcW w:w="4507" w:type="dxa"/>
            <w:tcBorders>
              <w:top w:val="single" w:sz="4" w:space="0" w:color="DEE2E6"/>
              <w:left w:val="single" w:sz="4" w:space="0" w:color="DEE2E6"/>
              <w:bottom w:val="single" w:sz="4" w:space="0" w:color="DEE2E6"/>
              <w:right w:val="single" w:sz="4" w:space="0" w:color="DEE2E6"/>
            </w:tcBorders>
          </w:tcPr>
          <w:p w14:paraId="05A383C2" w14:textId="77777777" w:rsidR="00882FE7" w:rsidRDefault="00000000">
            <w:pPr>
              <w:spacing w:before="40" w:after="40"/>
            </w:pPr>
            <w:r>
              <w:rPr>
                <w:rFonts w:cs="Calibri"/>
                <w:color w:val="212529"/>
                <w:sz w:val="18"/>
              </w:rPr>
              <w:t>Le coût d'instrumentation dépasse le bénéfice à cette échelle, réévaluation prévue</w:t>
            </w:r>
          </w:p>
        </w:tc>
      </w:tr>
      <w:tr w:rsidR="00882FE7" w14:paraId="0CBAF2FC" w14:textId="77777777">
        <w:trPr>
          <w:jc w:val="center"/>
        </w:trPr>
        <w:tc>
          <w:tcPr>
            <w:tcW w:w="1953" w:type="dxa"/>
            <w:tcBorders>
              <w:top w:val="single" w:sz="4" w:space="0" w:color="DEE2E6"/>
              <w:left w:val="single" w:sz="4" w:space="0" w:color="DEE2E6"/>
              <w:bottom w:val="single" w:sz="4" w:space="0" w:color="DEE2E6"/>
              <w:right w:val="single" w:sz="4" w:space="0" w:color="DEE2E6"/>
            </w:tcBorders>
            <w:shd w:val="clear" w:color="auto" w:fill="F8F9FA"/>
          </w:tcPr>
          <w:p w14:paraId="0EAC2EB4" w14:textId="77777777" w:rsidR="00882FE7" w:rsidRDefault="00000000">
            <w:pPr>
              <w:spacing w:before="40" w:after="40"/>
            </w:pPr>
            <w:r>
              <w:rPr>
                <w:rFonts w:cs="Calibri"/>
                <w:b/>
                <w:color w:val="212529"/>
                <w:sz w:val="18"/>
              </w:rPr>
              <w:t>Informatique verte</w:t>
            </w:r>
          </w:p>
        </w:tc>
        <w:tc>
          <w:tcPr>
            <w:tcW w:w="3605" w:type="dxa"/>
            <w:tcBorders>
              <w:top w:val="single" w:sz="4" w:space="0" w:color="DEE2E6"/>
              <w:left w:val="single" w:sz="4" w:space="0" w:color="DEE2E6"/>
              <w:bottom w:val="single" w:sz="4" w:space="0" w:color="DEE2E6"/>
              <w:right w:val="single" w:sz="4" w:space="0" w:color="DEE2E6"/>
            </w:tcBorders>
            <w:shd w:val="clear" w:color="auto" w:fill="F8F9FA"/>
          </w:tcPr>
          <w:p w14:paraId="7E886EDA" w14:textId="77777777" w:rsidR="00882FE7" w:rsidRDefault="00000000">
            <w:pPr>
              <w:spacing w:before="40" w:after="40"/>
            </w:pPr>
            <w:r>
              <w:rPr>
                <w:rFonts w:cs="Calibri"/>
                <w:color w:val="212529"/>
                <w:sz w:val="18"/>
              </w:rPr>
              <w:t>Estimation logicielle de la consommation électrique</w:t>
            </w:r>
          </w:p>
        </w:tc>
        <w:tc>
          <w:tcPr>
            <w:tcW w:w="1352" w:type="dxa"/>
            <w:tcBorders>
              <w:top w:val="single" w:sz="4" w:space="0" w:color="DEE2E6"/>
              <w:left w:val="single" w:sz="4" w:space="0" w:color="DEE2E6"/>
              <w:bottom w:val="single" w:sz="4" w:space="0" w:color="DEE2E6"/>
              <w:right w:val="single" w:sz="4" w:space="0" w:color="DEE2E6"/>
            </w:tcBorders>
            <w:shd w:val="clear" w:color="auto" w:fill="F8F9FA"/>
          </w:tcPr>
          <w:p w14:paraId="53119BA1" w14:textId="77777777" w:rsidR="00882FE7" w:rsidRDefault="00000000">
            <w:pPr>
              <w:spacing w:before="40" w:after="40"/>
            </w:pPr>
            <w:r>
              <w:rPr>
                <w:rFonts w:cs="Calibri"/>
                <w:color w:val="212529"/>
                <w:sz w:val="18"/>
              </w:rPr>
              <w:t>S5, S8</w:t>
            </w:r>
          </w:p>
        </w:tc>
        <w:tc>
          <w:tcPr>
            <w:tcW w:w="3605" w:type="dxa"/>
            <w:tcBorders>
              <w:top w:val="single" w:sz="4" w:space="0" w:color="DEE2E6"/>
              <w:left w:val="single" w:sz="4" w:space="0" w:color="DEE2E6"/>
              <w:bottom w:val="single" w:sz="4" w:space="0" w:color="DEE2E6"/>
              <w:right w:val="single" w:sz="4" w:space="0" w:color="DEE2E6"/>
            </w:tcBorders>
            <w:shd w:val="clear" w:color="auto" w:fill="F8F9FA"/>
          </w:tcPr>
          <w:p w14:paraId="658C41AF" w14:textId="77777777" w:rsidR="00882FE7" w:rsidRDefault="00000000">
            <w:pPr>
              <w:spacing w:before="40" w:after="40"/>
            </w:pPr>
            <w:r>
              <w:rPr>
                <w:rFonts w:cs="Calibri"/>
                <w:color w:val="212529"/>
                <w:sz w:val="18"/>
              </w:rPr>
              <w:t>Modèle d'estimation retenu, mesure matérielle repoussée</w:t>
            </w:r>
          </w:p>
        </w:tc>
        <w:tc>
          <w:tcPr>
            <w:tcW w:w="4507" w:type="dxa"/>
            <w:tcBorders>
              <w:top w:val="single" w:sz="4" w:space="0" w:color="DEE2E6"/>
              <w:left w:val="single" w:sz="4" w:space="0" w:color="DEE2E6"/>
              <w:bottom w:val="single" w:sz="4" w:space="0" w:color="DEE2E6"/>
              <w:right w:val="single" w:sz="4" w:space="0" w:color="DEE2E6"/>
            </w:tcBorders>
            <w:shd w:val="clear" w:color="auto" w:fill="F8F9FA"/>
          </w:tcPr>
          <w:p w14:paraId="50C0BA61" w14:textId="77777777" w:rsidR="00882FE7" w:rsidRDefault="00000000">
            <w:pPr>
              <w:spacing w:before="40" w:after="40"/>
            </w:pPr>
            <w:r>
              <w:rPr>
                <w:rFonts w:cs="Calibri"/>
                <w:color w:val="212529"/>
                <w:sz w:val="18"/>
              </w:rPr>
              <w:t>Sans instrument de mesure, aucun pilotage possible, la mesure réelle exige du matériel dédié</w:t>
            </w:r>
          </w:p>
        </w:tc>
      </w:tr>
      <w:tr w:rsidR="00882FE7" w14:paraId="21A08314" w14:textId="77777777">
        <w:trPr>
          <w:jc w:val="center"/>
        </w:trPr>
        <w:tc>
          <w:tcPr>
            <w:tcW w:w="1953" w:type="dxa"/>
            <w:tcBorders>
              <w:top w:val="single" w:sz="4" w:space="0" w:color="DEE2E6"/>
              <w:left w:val="single" w:sz="4" w:space="0" w:color="DEE2E6"/>
              <w:bottom w:val="single" w:sz="4" w:space="0" w:color="DEE2E6"/>
              <w:right w:val="single" w:sz="4" w:space="0" w:color="DEE2E6"/>
            </w:tcBorders>
          </w:tcPr>
          <w:p w14:paraId="7B08558E" w14:textId="77777777" w:rsidR="00882FE7" w:rsidRDefault="00000000">
            <w:pPr>
              <w:spacing w:before="40" w:after="40"/>
            </w:pPr>
            <w:r>
              <w:rPr>
                <w:rFonts w:cs="Calibri"/>
                <w:b/>
                <w:color w:val="212529"/>
                <w:sz w:val="18"/>
              </w:rPr>
              <w:t>Assistance par IA</w:t>
            </w:r>
          </w:p>
        </w:tc>
        <w:tc>
          <w:tcPr>
            <w:tcW w:w="3605" w:type="dxa"/>
            <w:tcBorders>
              <w:top w:val="single" w:sz="4" w:space="0" w:color="DEE2E6"/>
              <w:left w:val="single" w:sz="4" w:space="0" w:color="DEE2E6"/>
              <w:bottom w:val="single" w:sz="4" w:space="0" w:color="DEE2E6"/>
              <w:right w:val="single" w:sz="4" w:space="0" w:color="DEE2E6"/>
            </w:tcBorders>
          </w:tcPr>
          <w:p w14:paraId="09C728A4" w14:textId="77777777" w:rsidR="00882FE7" w:rsidRDefault="00000000">
            <w:pPr>
              <w:spacing w:before="40" w:after="40"/>
            </w:pPr>
            <w:r>
              <w:rPr>
                <w:rFonts w:cs="Calibri"/>
                <w:color w:val="212529"/>
                <w:sz w:val="18"/>
              </w:rPr>
              <w:t>Assistants de code et d'exploitation</w:t>
            </w:r>
          </w:p>
        </w:tc>
        <w:tc>
          <w:tcPr>
            <w:tcW w:w="1352" w:type="dxa"/>
            <w:tcBorders>
              <w:top w:val="single" w:sz="4" w:space="0" w:color="DEE2E6"/>
              <w:left w:val="single" w:sz="4" w:space="0" w:color="DEE2E6"/>
              <w:bottom w:val="single" w:sz="4" w:space="0" w:color="DEE2E6"/>
              <w:right w:val="single" w:sz="4" w:space="0" w:color="DEE2E6"/>
            </w:tcBorders>
          </w:tcPr>
          <w:p w14:paraId="386EDF64" w14:textId="77777777" w:rsidR="00882FE7" w:rsidRDefault="00000000">
            <w:pPr>
              <w:spacing w:before="40" w:after="40"/>
            </w:pPr>
            <w:r>
              <w:rPr>
                <w:rFonts w:cs="Calibri"/>
                <w:color w:val="212529"/>
                <w:sz w:val="18"/>
              </w:rPr>
              <w:t>S6, S7, S9</w:t>
            </w:r>
          </w:p>
        </w:tc>
        <w:tc>
          <w:tcPr>
            <w:tcW w:w="3605" w:type="dxa"/>
            <w:tcBorders>
              <w:top w:val="single" w:sz="4" w:space="0" w:color="DEE2E6"/>
              <w:left w:val="single" w:sz="4" w:space="0" w:color="DEE2E6"/>
              <w:bottom w:val="single" w:sz="4" w:space="0" w:color="DEE2E6"/>
              <w:right w:val="single" w:sz="4" w:space="0" w:color="DEE2E6"/>
            </w:tcBorders>
          </w:tcPr>
          <w:p w14:paraId="107CC191" w14:textId="77777777" w:rsidR="00882FE7" w:rsidRDefault="00000000">
            <w:pPr>
              <w:spacing w:before="40" w:after="40"/>
            </w:pPr>
            <w:r>
              <w:rPr>
                <w:rFonts w:cs="Calibri"/>
                <w:color w:val="212529"/>
                <w:sz w:val="18"/>
              </w:rPr>
              <w:t>Retenue en assistance, sous revue humaine systématique</w:t>
            </w:r>
          </w:p>
        </w:tc>
        <w:tc>
          <w:tcPr>
            <w:tcW w:w="4507" w:type="dxa"/>
            <w:tcBorders>
              <w:top w:val="single" w:sz="4" w:space="0" w:color="DEE2E6"/>
              <w:left w:val="single" w:sz="4" w:space="0" w:color="DEE2E6"/>
              <w:bottom w:val="single" w:sz="4" w:space="0" w:color="DEE2E6"/>
              <w:right w:val="single" w:sz="4" w:space="0" w:color="DEE2E6"/>
            </w:tcBorders>
          </w:tcPr>
          <w:p w14:paraId="1D1AA108" w14:textId="77777777" w:rsidR="00882FE7" w:rsidRDefault="00000000">
            <w:pPr>
              <w:spacing w:before="40" w:after="40"/>
            </w:pPr>
            <w:r>
              <w:rPr>
                <w:rFonts w:cs="Calibri"/>
                <w:color w:val="212529"/>
                <w:sz w:val="18"/>
              </w:rPr>
              <w:t>Gain de vitesse réel sur les tâches répétitives, aucune délégation de décision</w:t>
            </w:r>
          </w:p>
        </w:tc>
      </w:tr>
    </w:tbl>
    <w:p w14:paraId="25D16192" w14:textId="77777777" w:rsidR="00882FE7" w:rsidRDefault="00882FE7">
      <w:pPr>
        <w:spacing w:after="0"/>
      </w:pPr>
    </w:p>
    <w:p w14:paraId="6C98E691" w14:textId="77777777" w:rsidR="00882FE7" w:rsidRDefault="00000000">
      <w:r>
        <w:br w:type="page"/>
      </w:r>
    </w:p>
    <w:p w14:paraId="40D24249" w14:textId="77777777" w:rsidR="00882FE7" w:rsidRDefault="00000000">
      <w:pPr>
        <w:spacing w:before="240" w:after="100"/>
      </w:pPr>
      <w:r>
        <w:rPr>
          <w:rFonts w:cs="Calibri"/>
          <w:b/>
          <w:color w:val="1C7ED6"/>
          <w:sz w:val="26"/>
        </w:rPr>
        <w:lastRenderedPageBreak/>
        <w:t>5.  Recommandations innovantes issues de la veille</w:t>
      </w:r>
    </w:p>
    <w:p w14:paraId="5D45BCDD" w14:textId="77777777" w:rsidR="00882FE7" w:rsidRDefault="00000000">
      <w:pPr>
        <w:spacing w:after="120"/>
        <w:jc w:val="both"/>
      </w:pPr>
      <w:r>
        <w:rPr>
          <w:rFonts w:cs="Calibri"/>
          <w:color w:val="212529"/>
        </w:rPr>
        <w:t>Trois axes sont recommandés aux parties prenantes. Chacun est chiffré, rattaché à une réglementation applicable et assorti de son risque, faute de quoi une recommandation reste une intention.</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Look w:val="04A0" w:firstRow="1" w:lastRow="0" w:firstColumn="1" w:lastColumn="0" w:noHBand="0" w:noVBand="1"/>
      </w:tblPr>
      <w:tblGrid>
        <w:gridCol w:w="751"/>
        <w:gridCol w:w="3756"/>
        <w:gridCol w:w="1652"/>
        <w:gridCol w:w="3004"/>
        <w:gridCol w:w="1652"/>
        <w:gridCol w:w="2103"/>
        <w:gridCol w:w="2103"/>
      </w:tblGrid>
      <w:tr w:rsidR="00882FE7" w14:paraId="584DFE5F" w14:textId="77777777">
        <w:trPr>
          <w:tblHeader/>
          <w:jc w:val="center"/>
        </w:trPr>
        <w:tc>
          <w:tcPr>
            <w:tcW w:w="751" w:type="dxa"/>
            <w:tcBorders>
              <w:top w:val="single" w:sz="4" w:space="0" w:color="DEE2E6"/>
              <w:left w:val="single" w:sz="4" w:space="0" w:color="DEE2E6"/>
              <w:bottom w:val="single" w:sz="4" w:space="0" w:color="DEE2E6"/>
              <w:right w:val="single" w:sz="4" w:space="0" w:color="DEE2E6"/>
            </w:tcBorders>
            <w:shd w:val="clear" w:color="auto" w:fill="495057"/>
          </w:tcPr>
          <w:p w14:paraId="576B5C06" w14:textId="77777777" w:rsidR="00882FE7" w:rsidRDefault="00000000">
            <w:pPr>
              <w:spacing w:before="40" w:after="40"/>
              <w:jc w:val="center"/>
            </w:pPr>
            <w:r>
              <w:rPr>
                <w:rFonts w:cs="Calibri"/>
                <w:b/>
                <w:color w:val="FFFFFF"/>
                <w:sz w:val="18"/>
              </w:rPr>
              <w:t>Réf.</w:t>
            </w:r>
          </w:p>
        </w:tc>
        <w:tc>
          <w:tcPr>
            <w:tcW w:w="3756" w:type="dxa"/>
            <w:tcBorders>
              <w:top w:val="single" w:sz="4" w:space="0" w:color="DEE2E6"/>
              <w:left w:val="single" w:sz="4" w:space="0" w:color="DEE2E6"/>
              <w:bottom w:val="single" w:sz="4" w:space="0" w:color="DEE2E6"/>
              <w:right w:val="single" w:sz="4" w:space="0" w:color="DEE2E6"/>
            </w:tcBorders>
            <w:shd w:val="clear" w:color="auto" w:fill="495057"/>
          </w:tcPr>
          <w:p w14:paraId="4CB6480B" w14:textId="77777777" w:rsidR="00882FE7" w:rsidRDefault="00000000">
            <w:pPr>
              <w:spacing w:before="40" w:after="40"/>
              <w:jc w:val="center"/>
            </w:pPr>
            <w:r>
              <w:rPr>
                <w:rFonts w:cs="Calibri"/>
                <w:b/>
                <w:color w:val="FFFFFF"/>
                <w:sz w:val="18"/>
              </w:rPr>
              <w:t>Recommandation</w:t>
            </w:r>
          </w:p>
        </w:tc>
        <w:tc>
          <w:tcPr>
            <w:tcW w:w="1652" w:type="dxa"/>
            <w:tcBorders>
              <w:top w:val="single" w:sz="4" w:space="0" w:color="DEE2E6"/>
              <w:left w:val="single" w:sz="4" w:space="0" w:color="DEE2E6"/>
              <w:bottom w:val="single" w:sz="4" w:space="0" w:color="DEE2E6"/>
              <w:right w:val="single" w:sz="4" w:space="0" w:color="DEE2E6"/>
            </w:tcBorders>
            <w:shd w:val="clear" w:color="auto" w:fill="495057"/>
          </w:tcPr>
          <w:p w14:paraId="07F69D20" w14:textId="77777777" w:rsidR="00882FE7" w:rsidRDefault="00000000">
            <w:pPr>
              <w:spacing w:before="40" w:after="40"/>
              <w:jc w:val="center"/>
            </w:pPr>
            <w:r>
              <w:rPr>
                <w:rFonts w:cs="Calibri"/>
                <w:b/>
                <w:color w:val="FFFFFF"/>
                <w:sz w:val="18"/>
              </w:rPr>
              <w:t>Nature</w:t>
            </w:r>
          </w:p>
        </w:tc>
        <w:tc>
          <w:tcPr>
            <w:tcW w:w="3004" w:type="dxa"/>
            <w:tcBorders>
              <w:top w:val="single" w:sz="4" w:space="0" w:color="DEE2E6"/>
              <w:left w:val="single" w:sz="4" w:space="0" w:color="DEE2E6"/>
              <w:bottom w:val="single" w:sz="4" w:space="0" w:color="DEE2E6"/>
              <w:right w:val="single" w:sz="4" w:space="0" w:color="DEE2E6"/>
            </w:tcBorders>
            <w:shd w:val="clear" w:color="auto" w:fill="495057"/>
          </w:tcPr>
          <w:p w14:paraId="1AF680E9" w14:textId="77777777" w:rsidR="00882FE7" w:rsidRDefault="00000000">
            <w:pPr>
              <w:spacing w:before="40" w:after="40"/>
              <w:jc w:val="center"/>
            </w:pPr>
            <w:r>
              <w:rPr>
                <w:rFonts w:cs="Calibri"/>
                <w:b/>
                <w:color w:val="FFFFFF"/>
                <w:sz w:val="18"/>
              </w:rPr>
              <w:t>Apport attendu</w:t>
            </w:r>
          </w:p>
        </w:tc>
        <w:tc>
          <w:tcPr>
            <w:tcW w:w="1652" w:type="dxa"/>
            <w:tcBorders>
              <w:top w:val="single" w:sz="4" w:space="0" w:color="DEE2E6"/>
              <w:left w:val="single" w:sz="4" w:space="0" w:color="DEE2E6"/>
              <w:bottom w:val="single" w:sz="4" w:space="0" w:color="DEE2E6"/>
              <w:right w:val="single" w:sz="4" w:space="0" w:color="DEE2E6"/>
            </w:tcBorders>
            <w:shd w:val="clear" w:color="auto" w:fill="495057"/>
          </w:tcPr>
          <w:p w14:paraId="7DBC2B87" w14:textId="77777777" w:rsidR="00882FE7" w:rsidRDefault="00000000">
            <w:pPr>
              <w:spacing w:before="40" w:after="40"/>
              <w:jc w:val="center"/>
            </w:pPr>
            <w:r>
              <w:rPr>
                <w:rFonts w:cs="Calibri"/>
                <w:b/>
                <w:color w:val="FFFFFF"/>
                <w:sz w:val="18"/>
              </w:rPr>
              <w:t>Charge et coût</w:t>
            </w:r>
          </w:p>
        </w:tc>
        <w:tc>
          <w:tcPr>
            <w:tcW w:w="2103" w:type="dxa"/>
            <w:tcBorders>
              <w:top w:val="single" w:sz="4" w:space="0" w:color="DEE2E6"/>
              <w:left w:val="single" w:sz="4" w:space="0" w:color="DEE2E6"/>
              <w:bottom w:val="single" w:sz="4" w:space="0" w:color="DEE2E6"/>
              <w:right w:val="single" w:sz="4" w:space="0" w:color="DEE2E6"/>
            </w:tcBorders>
            <w:shd w:val="clear" w:color="auto" w:fill="495057"/>
          </w:tcPr>
          <w:p w14:paraId="36DEE5C9" w14:textId="77777777" w:rsidR="00882FE7" w:rsidRDefault="00000000">
            <w:pPr>
              <w:spacing w:before="40" w:after="40"/>
              <w:jc w:val="center"/>
            </w:pPr>
            <w:r>
              <w:rPr>
                <w:rFonts w:cs="Calibri"/>
                <w:b/>
                <w:color w:val="FFFFFF"/>
                <w:sz w:val="18"/>
              </w:rPr>
              <w:t>Cadre réglementaire</w:t>
            </w:r>
          </w:p>
        </w:tc>
        <w:tc>
          <w:tcPr>
            <w:tcW w:w="2103" w:type="dxa"/>
            <w:tcBorders>
              <w:top w:val="single" w:sz="4" w:space="0" w:color="DEE2E6"/>
              <w:left w:val="single" w:sz="4" w:space="0" w:color="DEE2E6"/>
              <w:bottom w:val="single" w:sz="4" w:space="0" w:color="DEE2E6"/>
              <w:right w:val="single" w:sz="4" w:space="0" w:color="DEE2E6"/>
            </w:tcBorders>
            <w:shd w:val="clear" w:color="auto" w:fill="495057"/>
          </w:tcPr>
          <w:p w14:paraId="202220B8" w14:textId="77777777" w:rsidR="00882FE7" w:rsidRDefault="00000000">
            <w:pPr>
              <w:spacing w:before="40" w:after="40"/>
              <w:jc w:val="center"/>
            </w:pPr>
            <w:r>
              <w:rPr>
                <w:rFonts w:cs="Calibri"/>
                <w:b/>
                <w:color w:val="FFFFFF"/>
                <w:sz w:val="18"/>
              </w:rPr>
              <w:t>Risque assumé</w:t>
            </w:r>
          </w:p>
        </w:tc>
      </w:tr>
      <w:tr w:rsidR="00882FE7" w14:paraId="41CB8B99" w14:textId="77777777">
        <w:trPr>
          <w:jc w:val="center"/>
        </w:trPr>
        <w:tc>
          <w:tcPr>
            <w:tcW w:w="751" w:type="dxa"/>
            <w:tcBorders>
              <w:top w:val="single" w:sz="4" w:space="0" w:color="DEE2E6"/>
              <w:left w:val="single" w:sz="4" w:space="0" w:color="DEE2E6"/>
              <w:bottom w:val="single" w:sz="4" w:space="0" w:color="DEE2E6"/>
              <w:right w:val="single" w:sz="4" w:space="0" w:color="DEE2E6"/>
            </w:tcBorders>
          </w:tcPr>
          <w:p w14:paraId="43245FF3" w14:textId="77777777" w:rsidR="00882FE7" w:rsidRDefault="00000000">
            <w:pPr>
              <w:spacing w:before="40" w:after="40"/>
            </w:pPr>
            <w:r>
              <w:rPr>
                <w:rFonts w:cs="Calibri"/>
                <w:b/>
                <w:color w:val="212529"/>
                <w:sz w:val="18"/>
              </w:rPr>
              <w:t>V1</w:t>
            </w:r>
          </w:p>
        </w:tc>
        <w:tc>
          <w:tcPr>
            <w:tcW w:w="3756" w:type="dxa"/>
            <w:tcBorders>
              <w:top w:val="single" w:sz="4" w:space="0" w:color="DEE2E6"/>
              <w:left w:val="single" w:sz="4" w:space="0" w:color="DEE2E6"/>
              <w:bottom w:val="single" w:sz="4" w:space="0" w:color="DEE2E6"/>
              <w:right w:val="single" w:sz="4" w:space="0" w:color="DEE2E6"/>
            </w:tcBorders>
          </w:tcPr>
          <w:p w14:paraId="6581B428" w14:textId="77777777" w:rsidR="00882FE7" w:rsidRDefault="00000000">
            <w:pPr>
              <w:spacing w:before="40" w:after="40"/>
            </w:pPr>
            <w:r>
              <w:rPr>
                <w:rFonts w:cs="Calibri"/>
                <w:color w:val="212529"/>
                <w:sz w:val="18"/>
              </w:rPr>
              <w:t>Généraliser l'assistance par IA à la génération de tests et à la rédaction des runbooks, sous revue humaine obligatoire</w:t>
            </w:r>
          </w:p>
        </w:tc>
        <w:tc>
          <w:tcPr>
            <w:tcW w:w="1652" w:type="dxa"/>
            <w:tcBorders>
              <w:top w:val="single" w:sz="4" w:space="0" w:color="DEE2E6"/>
              <w:left w:val="single" w:sz="4" w:space="0" w:color="DEE2E6"/>
              <w:bottom w:val="single" w:sz="4" w:space="0" w:color="DEE2E6"/>
              <w:right w:val="single" w:sz="4" w:space="0" w:color="DEE2E6"/>
            </w:tcBorders>
          </w:tcPr>
          <w:p w14:paraId="3BE95C4A" w14:textId="77777777" w:rsidR="00882FE7" w:rsidRDefault="00000000">
            <w:pPr>
              <w:spacing w:before="40" w:after="40"/>
            </w:pPr>
            <w:r>
              <w:rPr>
                <w:rFonts w:cs="Calibri"/>
                <w:color w:val="212529"/>
                <w:sz w:val="18"/>
              </w:rPr>
              <w:t>Intelligence artificielle</w:t>
            </w:r>
          </w:p>
        </w:tc>
        <w:tc>
          <w:tcPr>
            <w:tcW w:w="3004" w:type="dxa"/>
            <w:tcBorders>
              <w:top w:val="single" w:sz="4" w:space="0" w:color="DEE2E6"/>
              <w:left w:val="single" w:sz="4" w:space="0" w:color="DEE2E6"/>
              <w:bottom w:val="single" w:sz="4" w:space="0" w:color="DEE2E6"/>
              <w:right w:val="single" w:sz="4" w:space="0" w:color="DEE2E6"/>
            </w:tcBorders>
          </w:tcPr>
          <w:p w14:paraId="02866318" w14:textId="77777777" w:rsidR="00882FE7" w:rsidRDefault="00000000">
            <w:pPr>
              <w:spacing w:before="40" w:after="40"/>
            </w:pPr>
            <w:r>
              <w:rPr>
                <w:rFonts w:cs="Calibri"/>
                <w:color w:val="212529"/>
                <w:sz w:val="18"/>
              </w:rPr>
              <w:t>Couverture de test élargie sans allongement du cycle, documentation d'exploitation tenue à jour</w:t>
            </w:r>
          </w:p>
        </w:tc>
        <w:tc>
          <w:tcPr>
            <w:tcW w:w="1652" w:type="dxa"/>
            <w:tcBorders>
              <w:top w:val="single" w:sz="4" w:space="0" w:color="DEE2E6"/>
              <w:left w:val="single" w:sz="4" w:space="0" w:color="DEE2E6"/>
              <w:bottom w:val="single" w:sz="4" w:space="0" w:color="DEE2E6"/>
              <w:right w:val="single" w:sz="4" w:space="0" w:color="DEE2E6"/>
            </w:tcBorders>
          </w:tcPr>
          <w:p w14:paraId="78944BE2" w14:textId="77777777" w:rsidR="00882FE7" w:rsidRDefault="00000000">
            <w:pPr>
              <w:spacing w:before="40" w:after="40"/>
            </w:pPr>
            <w:r>
              <w:rPr>
                <w:rFonts w:cs="Calibri"/>
                <w:color w:val="212529"/>
                <w:sz w:val="18"/>
              </w:rPr>
              <w:t>5 j-h · 2 500 €</w:t>
            </w:r>
          </w:p>
        </w:tc>
        <w:tc>
          <w:tcPr>
            <w:tcW w:w="2103" w:type="dxa"/>
            <w:tcBorders>
              <w:top w:val="single" w:sz="4" w:space="0" w:color="DEE2E6"/>
              <w:left w:val="single" w:sz="4" w:space="0" w:color="DEE2E6"/>
              <w:bottom w:val="single" w:sz="4" w:space="0" w:color="DEE2E6"/>
              <w:right w:val="single" w:sz="4" w:space="0" w:color="DEE2E6"/>
            </w:tcBorders>
          </w:tcPr>
          <w:p w14:paraId="6C3017D6" w14:textId="77777777" w:rsidR="00882FE7" w:rsidRDefault="00000000">
            <w:pPr>
              <w:spacing w:before="40" w:after="40"/>
            </w:pPr>
            <w:r>
              <w:rPr>
                <w:rFonts w:cs="Calibri"/>
                <w:color w:val="212529"/>
                <w:sz w:val="18"/>
              </w:rPr>
              <w:t>IA Act, usage à risque limité, revue humaine tracée</w:t>
            </w:r>
          </w:p>
        </w:tc>
        <w:tc>
          <w:tcPr>
            <w:tcW w:w="2103" w:type="dxa"/>
            <w:tcBorders>
              <w:top w:val="single" w:sz="4" w:space="0" w:color="DEE2E6"/>
              <w:left w:val="single" w:sz="4" w:space="0" w:color="DEE2E6"/>
              <w:bottom w:val="single" w:sz="4" w:space="0" w:color="DEE2E6"/>
              <w:right w:val="single" w:sz="4" w:space="0" w:color="DEE2E6"/>
            </w:tcBorders>
          </w:tcPr>
          <w:p w14:paraId="0C0F4B61" w14:textId="77777777" w:rsidR="00882FE7" w:rsidRDefault="00000000">
            <w:pPr>
              <w:spacing w:before="40" w:after="40"/>
            </w:pPr>
            <w:r>
              <w:rPr>
                <w:rFonts w:cs="Calibri"/>
                <w:color w:val="212529"/>
                <w:sz w:val="18"/>
              </w:rPr>
              <w:t>Dépendance à un fournisseur externe, dérive de qualité si la revue est allégée</w:t>
            </w:r>
          </w:p>
        </w:tc>
      </w:tr>
      <w:tr w:rsidR="00882FE7" w14:paraId="57F347A7" w14:textId="77777777">
        <w:trPr>
          <w:jc w:val="center"/>
        </w:trPr>
        <w:tc>
          <w:tcPr>
            <w:tcW w:w="751" w:type="dxa"/>
            <w:tcBorders>
              <w:top w:val="single" w:sz="4" w:space="0" w:color="DEE2E6"/>
              <w:left w:val="single" w:sz="4" w:space="0" w:color="DEE2E6"/>
              <w:bottom w:val="single" w:sz="4" w:space="0" w:color="DEE2E6"/>
              <w:right w:val="single" w:sz="4" w:space="0" w:color="DEE2E6"/>
            </w:tcBorders>
            <w:shd w:val="clear" w:color="auto" w:fill="F8F9FA"/>
          </w:tcPr>
          <w:p w14:paraId="38B751BC" w14:textId="77777777" w:rsidR="00882FE7" w:rsidRDefault="00000000">
            <w:pPr>
              <w:spacing w:before="40" w:after="40"/>
            </w:pPr>
            <w:r>
              <w:rPr>
                <w:rFonts w:cs="Calibri"/>
                <w:b/>
                <w:color w:val="212529"/>
                <w:sz w:val="18"/>
              </w:rPr>
              <w:t>V2</w:t>
            </w:r>
          </w:p>
        </w:tc>
        <w:tc>
          <w:tcPr>
            <w:tcW w:w="3756" w:type="dxa"/>
            <w:tcBorders>
              <w:top w:val="single" w:sz="4" w:space="0" w:color="DEE2E6"/>
              <w:left w:val="single" w:sz="4" w:space="0" w:color="DEE2E6"/>
              <w:bottom w:val="single" w:sz="4" w:space="0" w:color="DEE2E6"/>
              <w:right w:val="single" w:sz="4" w:space="0" w:color="DEE2E6"/>
            </w:tcBorders>
            <w:shd w:val="clear" w:color="auto" w:fill="F8F9FA"/>
          </w:tcPr>
          <w:p w14:paraId="6BC77B60" w14:textId="77777777" w:rsidR="00882FE7" w:rsidRDefault="00000000">
            <w:pPr>
              <w:spacing w:before="40" w:after="40"/>
            </w:pPr>
            <w:r>
              <w:rPr>
                <w:rFonts w:cs="Calibri"/>
                <w:color w:val="212529"/>
                <w:sz w:val="18"/>
              </w:rPr>
              <w:t>Mettre le nœud de périphérie et la pile d'observabilité en haute disponibilité</w:t>
            </w:r>
          </w:p>
        </w:tc>
        <w:tc>
          <w:tcPr>
            <w:tcW w:w="1652" w:type="dxa"/>
            <w:tcBorders>
              <w:top w:val="single" w:sz="4" w:space="0" w:color="DEE2E6"/>
              <w:left w:val="single" w:sz="4" w:space="0" w:color="DEE2E6"/>
              <w:bottom w:val="single" w:sz="4" w:space="0" w:color="DEE2E6"/>
              <w:right w:val="single" w:sz="4" w:space="0" w:color="DEE2E6"/>
            </w:tcBorders>
            <w:shd w:val="clear" w:color="auto" w:fill="F8F9FA"/>
          </w:tcPr>
          <w:p w14:paraId="5ED50929" w14:textId="77777777" w:rsidR="00882FE7" w:rsidRDefault="00000000">
            <w:pPr>
              <w:spacing w:before="40" w:after="40"/>
            </w:pPr>
            <w:r>
              <w:rPr>
                <w:rFonts w:cs="Calibri"/>
                <w:color w:val="212529"/>
                <w:sz w:val="18"/>
              </w:rPr>
              <w:t>Cloud et résilience</w:t>
            </w:r>
          </w:p>
        </w:tc>
        <w:tc>
          <w:tcPr>
            <w:tcW w:w="3004" w:type="dxa"/>
            <w:tcBorders>
              <w:top w:val="single" w:sz="4" w:space="0" w:color="DEE2E6"/>
              <w:left w:val="single" w:sz="4" w:space="0" w:color="DEE2E6"/>
              <w:bottom w:val="single" w:sz="4" w:space="0" w:color="DEE2E6"/>
              <w:right w:val="single" w:sz="4" w:space="0" w:color="DEE2E6"/>
            </w:tcBorders>
            <w:shd w:val="clear" w:color="auto" w:fill="F8F9FA"/>
          </w:tcPr>
          <w:p w14:paraId="2DCD4A54" w14:textId="77777777" w:rsidR="00882FE7" w:rsidRDefault="00000000">
            <w:pPr>
              <w:spacing w:before="40" w:after="40"/>
            </w:pPr>
            <w:r>
              <w:rPr>
                <w:rFonts w:cs="Calibri"/>
                <w:color w:val="212529"/>
                <w:sz w:val="18"/>
              </w:rPr>
              <w:t>Suppression du point de défaillance unique identifié comme risque R1 du registre</w:t>
            </w:r>
          </w:p>
        </w:tc>
        <w:tc>
          <w:tcPr>
            <w:tcW w:w="1652" w:type="dxa"/>
            <w:tcBorders>
              <w:top w:val="single" w:sz="4" w:space="0" w:color="DEE2E6"/>
              <w:left w:val="single" w:sz="4" w:space="0" w:color="DEE2E6"/>
              <w:bottom w:val="single" w:sz="4" w:space="0" w:color="DEE2E6"/>
              <w:right w:val="single" w:sz="4" w:space="0" w:color="DEE2E6"/>
            </w:tcBorders>
            <w:shd w:val="clear" w:color="auto" w:fill="F8F9FA"/>
          </w:tcPr>
          <w:p w14:paraId="37A94997" w14:textId="77777777" w:rsidR="00882FE7" w:rsidRDefault="00000000">
            <w:pPr>
              <w:spacing w:before="40" w:after="40"/>
            </w:pPr>
            <w:r>
              <w:rPr>
                <w:rFonts w:cs="Calibri"/>
                <w:color w:val="212529"/>
                <w:sz w:val="18"/>
              </w:rPr>
              <w:t>8 j-h · 4 000 € · + 24 € par mois</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7478EDDC" w14:textId="77777777" w:rsidR="00882FE7" w:rsidRDefault="00000000">
            <w:pPr>
              <w:spacing w:before="40" w:after="40"/>
            </w:pPr>
            <w:r>
              <w:rPr>
                <w:rFonts w:cs="Calibri"/>
                <w:color w:val="212529"/>
                <w:sz w:val="18"/>
              </w:rPr>
              <w:t>NIS 2, continuité d'activité</w:t>
            </w:r>
          </w:p>
        </w:tc>
        <w:tc>
          <w:tcPr>
            <w:tcW w:w="2103" w:type="dxa"/>
            <w:tcBorders>
              <w:top w:val="single" w:sz="4" w:space="0" w:color="DEE2E6"/>
              <w:left w:val="single" w:sz="4" w:space="0" w:color="DEE2E6"/>
              <w:bottom w:val="single" w:sz="4" w:space="0" w:color="DEE2E6"/>
              <w:right w:val="single" w:sz="4" w:space="0" w:color="DEE2E6"/>
            </w:tcBorders>
            <w:shd w:val="clear" w:color="auto" w:fill="F8F9FA"/>
          </w:tcPr>
          <w:p w14:paraId="5E4A001D" w14:textId="77777777" w:rsidR="00882FE7" w:rsidRDefault="00000000">
            <w:pPr>
              <w:spacing w:before="40" w:after="40"/>
            </w:pPr>
            <w:r>
              <w:rPr>
                <w:rFonts w:cs="Calibri"/>
                <w:color w:val="212529"/>
                <w:sz w:val="18"/>
              </w:rPr>
              <w:t>Coût récurrent en hausse de 34 %, complexité d'exploitation accrue</w:t>
            </w:r>
          </w:p>
        </w:tc>
      </w:tr>
      <w:tr w:rsidR="00882FE7" w14:paraId="1AED6163" w14:textId="77777777">
        <w:trPr>
          <w:jc w:val="center"/>
        </w:trPr>
        <w:tc>
          <w:tcPr>
            <w:tcW w:w="751" w:type="dxa"/>
            <w:tcBorders>
              <w:top w:val="single" w:sz="4" w:space="0" w:color="DEE2E6"/>
              <w:left w:val="single" w:sz="4" w:space="0" w:color="DEE2E6"/>
              <w:bottom w:val="single" w:sz="4" w:space="0" w:color="DEE2E6"/>
              <w:right w:val="single" w:sz="4" w:space="0" w:color="DEE2E6"/>
            </w:tcBorders>
          </w:tcPr>
          <w:p w14:paraId="2B10B9D2" w14:textId="77777777" w:rsidR="00882FE7" w:rsidRDefault="00000000">
            <w:pPr>
              <w:spacing w:before="40" w:after="40"/>
            </w:pPr>
            <w:r>
              <w:rPr>
                <w:rFonts w:cs="Calibri"/>
                <w:b/>
                <w:color w:val="212529"/>
                <w:sz w:val="18"/>
              </w:rPr>
              <w:t>V3</w:t>
            </w:r>
          </w:p>
        </w:tc>
        <w:tc>
          <w:tcPr>
            <w:tcW w:w="3756" w:type="dxa"/>
            <w:tcBorders>
              <w:top w:val="single" w:sz="4" w:space="0" w:color="DEE2E6"/>
              <w:left w:val="single" w:sz="4" w:space="0" w:color="DEE2E6"/>
              <w:bottom w:val="single" w:sz="4" w:space="0" w:color="DEE2E6"/>
              <w:right w:val="single" w:sz="4" w:space="0" w:color="DEE2E6"/>
            </w:tcBorders>
          </w:tcPr>
          <w:p w14:paraId="3BB57333" w14:textId="77777777" w:rsidR="00882FE7" w:rsidRDefault="00000000">
            <w:pPr>
              <w:spacing w:before="40" w:after="40"/>
            </w:pPr>
            <w:r>
              <w:rPr>
                <w:rFonts w:cs="Calibri"/>
                <w:color w:val="212529"/>
                <w:sz w:val="18"/>
              </w:rPr>
              <w:t>Passer de l'estimation énergétique à une mesure réelle sur matériel dédié, et publier l'empreinte</w:t>
            </w:r>
          </w:p>
        </w:tc>
        <w:tc>
          <w:tcPr>
            <w:tcW w:w="1652" w:type="dxa"/>
            <w:tcBorders>
              <w:top w:val="single" w:sz="4" w:space="0" w:color="DEE2E6"/>
              <w:left w:val="single" w:sz="4" w:space="0" w:color="DEE2E6"/>
              <w:bottom w:val="single" w:sz="4" w:space="0" w:color="DEE2E6"/>
              <w:right w:val="single" w:sz="4" w:space="0" w:color="DEE2E6"/>
            </w:tcBorders>
          </w:tcPr>
          <w:p w14:paraId="3B113110" w14:textId="77777777" w:rsidR="00882FE7" w:rsidRDefault="00000000">
            <w:pPr>
              <w:spacing w:before="40" w:after="40"/>
            </w:pPr>
            <w:r>
              <w:rPr>
                <w:rFonts w:cs="Calibri"/>
                <w:color w:val="212529"/>
                <w:sz w:val="18"/>
              </w:rPr>
              <w:t>Informatique verte</w:t>
            </w:r>
          </w:p>
        </w:tc>
        <w:tc>
          <w:tcPr>
            <w:tcW w:w="3004" w:type="dxa"/>
            <w:tcBorders>
              <w:top w:val="single" w:sz="4" w:space="0" w:color="DEE2E6"/>
              <w:left w:val="single" w:sz="4" w:space="0" w:color="DEE2E6"/>
              <w:bottom w:val="single" w:sz="4" w:space="0" w:color="DEE2E6"/>
              <w:right w:val="single" w:sz="4" w:space="0" w:color="DEE2E6"/>
            </w:tcBorders>
          </w:tcPr>
          <w:p w14:paraId="1D93FBDF" w14:textId="77777777" w:rsidR="00882FE7" w:rsidRDefault="00000000">
            <w:pPr>
              <w:spacing w:before="40" w:after="40"/>
            </w:pPr>
            <w:r>
              <w:rPr>
                <w:rFonts w:cs="Calibri"/>
                <w:color w:val="212529"/>
                <w:sz w:val="18"/>
              </w:rPr>
              <w:t>Pilotage de la sobriété sur une donnée mesurée et non modélisée, éligibilité aux critères RGESN</w:t>
            </w:r>
          </w:p>
        </w:tc>
        <w:tc>
          <w:tcPr>
            <w:tcW w:w="1652" w:type="dxa"/>
            <w:tcBorders>
              <w:top w:val="single" w:sz="4" w:space="0" w:color="DEE2E6"/>
              <w:left w:val="single" w:sz="4" w:space="0" w:color="DEE2E6"/>
              <w:bottom w:val="single" w:sz="4" w:space="0" w:color="DEE2E6"/>
              <w:right w:val="single" w:sz="4" w:space="0" w:color="DEE2E6"/>
            </w:tcBorders>
          </w:tcPr>
          <w:p w14:paraId="5132514F" w14:textId="77777777" w:rsidR="00882FE7" w:rsidRDefault="00000000">
            <w:pPr>
              <w:spacing w:before="40" w:after="40"/>
            </w:pPr>
            <w:r>
              <w:rPr>
                <w:rFonts w:cs="Calibri"/>
                <w:color w:val="212529"/>
                <w:sz w:val="18"/>
              </w:rPr>
              <w:t>10 j-h · 5 000 € · matériel à qualifier</w:t>
            </w:r>
          </w:p>
        </w:tc>
        <w:tc>
          <w:tcPr>
            <w:tcW w:w="2103" w:type="dxa"/>
            <w:tcBorders>
              <w:top w:val="single" w:sz="4" w:space="0" w:color="DEE2E6"/>
              <w:left w:val="single" w:sz="4" w:space="0" w:color="DEE2E6"/>
              <w:bottom w:val="single" w:sz="4" w:space="0" w:color="DEE2E6"/>
              <w:right w:val="single" w:sz="4" w:space="0" w:color="DEE2E6"/>
            </w:tcBorders>
          </w:tcPr>
          <w:p w14:paraId="12661F7D" w14:textId="77777777" w:rsidR="00882FE7" w:rsidRDefault="00000000">
            <w:pPr>
              <w:spacing w:before="40" w:after="40"/>
            </w:pPr>
            <w:r>
              <w:rPr>
                <w:rFonts w:cs="Calibri"/>
                <w:color w:val="212529"/>
                <w:sz w:val="18"/>
              </w:rPr>
              <w:t>RGESN, directive CSRD à terme</w:t>
            </w:r>
          </w:p>
        </w:tc>
        <w:tc>
          <w:tcPr>
            <w:tcW w:w="2103" w:type="dxa"/>
            <w:tcBorders>
              <w:top w:val="single" w:sz="4" w:space="0" w:color="DEE2E6"/>
              <w:left w:val="single" w:sz="4" w:space="0" w:color="DEE2E6"/>
              <w:bottom w:val="single" w:sz="4" w:space="0" w:color="DEE2E6"/>
              <w:right w:val="single" w:sz="4" w:space="0" w:color="DEE2E6"/>
            </w:tcBorders>
          </w:tcPr>
          <w:p w14:paraId="72D2C570" w14:textId="77777777" w:rsidR="00882FE7" w:rsidRDefault="00000000">
            <w:pPr>
              <w:spacing w:before="40" w:after="40"/>
            </w:pPr>
            <w:r>
              <w:rPr>
                <w:rFonts w:cs="Calibri"/>
                <w:color w:val="212529"/>
                <w:sz w:val="18"/>
              </w:rPr>
              <w:t>Sortie de l'hébergement mutualisé, remise en cause du modèle de coût</w:t>
            </w:r>
          </w:p>
        </w:tc>
      </w:tr>
    </w:tbl>
    <w:p w14:paraId="1FBDC4A5" w14:textId="77777777" w:rsidR="00882FE7" w:rsidRDefault="00882FE7">
      <w:pPr>
        <w:spacing w:after="0"/>
      </w:pPr>
    </w:p>
    <w:p w14:paraId="4E2DB1D3" w14:textId="77777777" w:rsidR="00882FE7" w:rsidRDefault="00000000">
      <w:pPr>
        <w:spacing w:before="240" w:after="100"/>
      </w:pPr>
      <w:r>
        <w:rPr>
          <w:rFonts w:cs="Calibri"/>
          <w:b/>
          <w:color w:val="1C7ED6"/>
          <w:sz w:val="26"/>
        </w:rPr>
        <w:t>6.  Restitution et partage des connaissances</w:t>
      </w:r>
    </w:p>
    <w:p w14:paraId="4A0BDB38" w14:textId="77777777" w:rsidR="00882FE7" w:rsidRDefault="00000000">
      <w:pPr>
        <w:spacing w:after="120"/>
        <w:jc w:val="both"/>
      </w:pPr>
      <w:r>
        <w:rPr>
          <w:rFonts w:cs="Calibri"/>
          <w:color w:val="212529"/>
        </w:rPr>
        <w:t>Une veille non restituée ne produit aucun effet. Le dispositif de diffusion ci-dessous distingue les publics et les rythmes, en interne comme en externe.</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Look w:val="04A0" w:firstRow="1" w:lastRow="0" w:firstColumn="1" w:lastColumn="0" w:noHBand="0" w:noVBand="1"/>
      </w:tblPr>
      <w:tblGrid>
        <w:gridCol w:w="2704"/>
        <w:gridCol w:w="4807"/>
        <w:gridCol w:w="2403"/>
        <w:gridCol w:w="5108"/>
      </w:tblGrid>
      <w:tr w:rsidR="00882FE7" w14:paraId="4CC61D85" w14:textId="77777777">
        <w:trPr>
          <w:tblHeader/>
          <w:jc w:val="center"/>
        </w:trPr>
        <w:tc>
          <w:tcPr>
            <w:tcW w:w="2704" w:type="dxa"/>
            <w:tcBorders>
              <w:top w:val="single" w:sz="4" w:space="0" w:color="DEE2E6"/>
              <w:left w:val="single" w:sz="4" w:space="0" w:color="DEE2E6"/>
              <w:bottom w:val="single" w:sz="4" w:space="0" w:color="DEE2E6"/>
              <w:right w:val="single" w:sz="4" w:space="0" w:color="DEE2E6"/>
            </w:tcBorders>
            <w:shd w:val="clear" w:color="auto" w:fill="495057"/>
          </w:tcPr>
          <w:p w14:paraId="43E5DEF1" w14:textId="77777777" w:rsidR="00882FE7" w:rsidRDefault="00000000">
            <w:pPr>
              <w:spacing w:before="40" w:after="40"/>
              <w:jc w:val="center"/>
            </w:pPr>
            <w:r>
              <w:rPr>
                <w:rFonts w:cs="Calibri"/>
                <w:b/>
                <w:color w:val="FFFFFF"/>
                <w:sz w:val="18"/>
              </w:rPr>
              <w:t>Destinataire</w:t>
            </w:r>
          </w:p>
        </w:tc>
        <w:tc>
          <w:tcPr>
            <w:tcW w:w="4807" w:type="dxa"/>
            <w:tcBorders>
              <w:top w:val="single" w:sz="4" w:space="0" w:color="DEE2E6"/>
              <w:left w:val="single" w:sz="4" w:space="0" w:color="DEE2E6"/>
              <w:bottom w:val="single" w:sz="4" w:space="0" w:color="DEE2E6"/>
              <w:right w:val="single" w:sz="4" w:space="0" w:color="DEE2E6"/>
            </w:tcBorders>
            <w:shd w:val="clear" w:color="auto" w:fill="495057"/>
          </w:tcPr>
          <w:p w14:paraId="64A69718" w14:textId="77777777" w:rsidR="00882FE7" w:rsidRDefault="00000000">
            <w:pPr>
              <w:spacing w:before="40" w:after="40"/>
              <w:jc w:val="center"/>
            </w:pPr>
            <w:r>
              <w:rPr>
                <w:rFonts w:cs="Calibri"/>
                <w:b/>
                <w:color w:val="FFFFFF"/>
                <w:sz w:val="18"/>
              </w:rPr>
              <w:t>Format de restitution</w:t>
            </w:r>
          </w:p>
        </w:tc>
        <w:tc>
          <w:tcPr>
            <w:tcW w:w="2403" w:type="dxa"/>
            <w:tcBorders>
              <w:top w:val="single" w:sz="4" w:space="0" w:color="DEE2E6"/>
              <w:left w:val="single" w:sz="4" w:space="0" w:color="DEE2E6"/>
              <w:bottom w:val="single" w:sz="4" w:space="0" w:color="DEE2E6"/>
              <w:right w:val="single" w:sz="4" w:space="0" w:color="DEE2E6"/>
            </w:tcBorders>
            <w:shd w:val="clear" w:color="auto" w:fill="495057"/>
          </w:tcPr>
          <w:p w14:paraId="65FF61DD" w14:textId="77777777" w:rsidR="00882FE7" w:rsidRDefault="00000000">
            <w:pPr>
              <w:spacing w:before="40" w:after="40"/>
              <w:jc w:val="center"/>
            </w:pPr>
            <w:r>
              <w:rPr>
                <w:rFonts w:cs="Calibri"/>
                <w:b/>
                <w:color w:val="FFFFFF"/>
                <w:sz w:val="18"/>
              </w:rPr>
              <w:t>Rythme</w:t>
            </w:r>
          </w:p>
        </w:tc>
        <w:tc>
          <w:tcPr>
            <w:tcW w:w="5108" w:type="dxa"/>
            <w:tcBorders>
              <w:top w:val="single" w:sz="4" w:space="0" w:color="DEE2E6"/>
              <w:left w:val="single" w:sz="4" w:space="0" w:color="DEE2E6"/>
              <w:bottom w:val="single" w:sz="4" w:space="0" w:color="DEE2E6"/>
              <w:right w:val="single" w:sz="4" w:space="0" w:color="DEE2E6"/>
            </w:tcBorders>
            <w:shd w:val="clear" w:color="auto" w:fill="495057"/>
          </w:tcPr>
          <w:p w14:paraId="115A3594" w14:textId="77777777" w:rsidR="00882FE7" w:rsidRDefault="00000000">
            <w:pPr>
              <w:spacing w:before="40" w:after="40"/>
              <w:jc w:val="center"/>
            </w:pPr>
            <w:r>
              <w:rPr>
                <w:rFonts w:cs="Calibri"/>
                <w:b/>
                <w:color w:val="FFFFFF"/>
                <w:sz w:val="18"/>
              </w:rPr>
              <w:t>Objectif visé</w:t>
            </w:r>
          </w:p>
        </w:tc>
      </w:tr>
      <w:tr w:rsidR="00882FE7" w14:paraId="24E8B94D" w14:textId="77777777">
        <w:trPr>
          <w:jc w:val="center"/>
        </w:trPr>
        <w:tc>
          <w:tcPr>
            <w:tcW w:w="2704" w:type="dxa"/>
            <w:tcBorders>
              <w:top w:val="single" w:sz="4" w:space="0" w:color="DEE2E6"/>
              <w:left w:val="single" w:sz="4" w:space="0" w:color="DEE2E6"/>
              <w:bottom w:val="single" w:sz="4" w:space="0" w:color="DEE2E6"/>
              <w:right w:val="single" w:sz="4" w:space="0" w:color="DEE2E6"/>
            </w:tcBorders>
          </w:tcPr>
          <w:p w14:paraId="67675E57" w14:textId="77777777" w:rsidR="00882FE7" w:rsidRDefault="00000000">
            <w:pPr>
              <w:spacing w:before="40" w:after="40"/>
            </w:pPr>
            <w:r>
              <w:rPr>
                <w:rFonts w:cs="Calibri"/>
                <w:b/>
                <w:color w:val="212529"/>
                <w:sz w:val="18"/>
              </w:rPr>
              <w:t>Sponsor du projet</w:t>
            </w:r>
          </w:p>
        </w:tc>
        <w:tc>
          <w:tcPr>
            <w:tcW w:w="4807" w:type="dxa"/>
            <w:tcBorders>
              <w:top w:val="single" w:sz="4" w:space="0" w:color="DEE2E6"/>
              <w:left w:val="single" w:sz="4" w:space="0" w:color="DEE2E6"/>
              <w:bottom w:val="single" w:sz="4" w:space="0" w:color="DEE2E6"/>
              <w:right w:val="single" w:sz="4" w:space="0" w:color="DEE2E6"/>
            </w:tcBorders>
          </w:tcPr>
          <w:p w14:paraId="039B2672" w14:textId="77777777" w:rsidR="00882FE7" w:rsidRDefault="00000000">
            <w:pPr>
              <w:spacing w:before="40" w:after="40"/>
            </w:pPr>
            <w:r>
              <w:rPr>
                <w:rFonts w:cs="Calibri"/>
                <w:color w:val="212529"/>
                <w:sz w:val="18"/>
              </w:rPr>
              <w:t>Note de synthèse en une page, adossée aux tableaux de bord</w:t>
            </w:r>
          </w:p>
        </w:tc>
        <w:tc>
          <w:tcPr>
            <w:tcW w:w="2403" w:type="dxa"/>
            <w:tcBorders>
              <w:top w:val="single" w:sz="4" w:space="0" w:color="DEE2E6"/>
              <w:left w:val="single" w:sz="4" w:space="0" w:color="DEE2E6"/>
              <w:bottom w:val="single" w:sz="4" w:space="0" w:color="DEE2E6"/>
              <w:right w:val="single" w:sz="4" w:space="0" w:color="DEE2E6"/>
            </w:tcBorders>
          </w:tcPr>
          <w:p w14:paraId="721E9A09" w14:textId="77777777" w:rsidR="00882FE7" w:rsidRDefault="00000000">
            <w:pPr>
              <w:spacing w:before="40" w:after="40"/>
            </w:pPr>
            <w:r>
              <w:rPr>
                <w:rFonts w:cs="Calibri"/>
                <w:color w:val="212529"/>
                <w:sz w:val="18"/>
              </w:rPr>
              <w:t>À chaque jalon (M1 à M5)</w:t>
            </w:r>
          </w:p>
        </w:tc>
        <w:tc>
          <w:tcPr>
            <w:tcW w:w="5108" w:type="dxa"/>
            <w:tcBorders>
              <w:top w:val="single" w:sz="4" w:space="0" w:color="DEE2E6"/>
              <w:left w:val="single" w:sz="4" w:space="0" w:color="DEE2E6"/>
              <w:bottom w:val="single" w:sz="4" w:space="0" w:color="DEE2E6"/>
              <w:right w:val="single" w:sz="4" w:space="0" w:color="DEE2E6"/>
            </w:tcBorders>
          </w:tcPr>
          <w:p w14:paraId="1B083512" w14:textId="77777777" w:rsidR="00882FE7" w:rsidRDefault="00000000">
            <w:pPr>
              <w:spacing w:before="40" w:after="40"/>
            </w:pPr>
            <w:r>
              <w:rPr>
                <w:rFonts w:cs="Calibri"/>
                <w:color w:val="212529"/>
                <w:sz w:val="18"/>
              </w:rPr>
              <w:t>Éclairer les arbitrages de périmètre et de budget</w:t>
            </w:r>
          </w:p>
        </w:tc>
      </w:tr>
      <w:tr w:rsidR="00882FE7" w14:paraId="6D9548E0" w14:textId="77777777">
        <w:trPr>
          <w:jc w:val="center"/>
        </w:trPr>
        <w:tc>
          <w:tcPr>
            <w:tcW w:w="2704" w:type="dxa"/>
            <w:tcBorders>
              <w:top w:val="single" w:sz="4" w:space="0" w:color="DEE2E6"/>
              <w:left w:val="single" w:sz="4" w:space="0" w:color="DEE2E6"/>
              <w:bottom w:val="single" w:sz="4" w:space="0" w:color="DEE2E6"/>
              <w:right w:val="single" w:sz="4" w:space="0" w:color="DEE2E6"/>
            </w:tcBorders>
            <w:shd w:val="clear" w:color="auto" w:fill="F8F9FA"/>
          </w:tcPr>
          <w:p w14:paraId="0F197693" w14:textId="77777777" w:rsidR="00882FE7" w:rsidRDefault="00000000">
            <w:pPr>
              <w:spacing w:before="40" w:after="40"/>
            </w:pPr>
            <w:r>
              <w:rPr>
                <w:rFonts w:cs="Calibri"/>
                <w:b/>
                <w:color w:val="212529"/>
                <w:sz w:val="18"/>
              </w:rPr>
              <w:t>Équipe technique</w:t>
            </w:r>
          </w:p>
        </w:tc>
        <w:tc>
          <w:tcPr>
            <w:tcW w:w="4807" w:type="dxa"/>
            <w:tcBorders>
              <w:top w:val="single" w:sz="4" w:space="0" w:color="DEE2E6"/>
              <w:left w:val="single" w:sz="4" w:space="0" w:color="DEE2E6"/>
              <w:bottom w:val="single" w:sz="4" w:space="0" w:color="DEE2E6"/>
              <w:right w:val="single" w:sz="4" w:space="0" w:color="DEE2E6"/>
            </w:tcBorders>
            <w:shd w:val="clear" w:color="auto" w:fill="F8F9FA"/>
          </w:tcPr>
          <w:p w14:paraId="5EE69056" w14:textId="77777777" w:rsidR="00882FE7" w:rsidRDefault="00000000">
            <w:pPr>
              <w:spacing w:before="40" w:after="40"/>
            </w:pPr>
            <w:r>
              <w:rPr>
                <w:rFonts w:cs="Calibri"/>
                <w:color w:val="212529"/>
                <w:sz w:val="18"/>
              </w:rPr>
              <w:t>Revue de veille en ouverture d'itération, décisions consignées en ADR</w:t>
            </w:r>
          </w:p>
        </w:tc>
        <w:tc>
          <w:tcPr>
            <w:tcW w:w="2403" w:type="dxa"/>
            <w:tcBorders>
              <w:top w:val="single" w:sz="4" w:space="0" w:color="DEE2E6"/>
              <w:left w:val="single" w:sz="4" w:space="0" w:color="DEE2E6"/>
              <w:bottom w:val="single" w:sz="4" w:space="0" w:color="DEE2E6"/>
              <w:right w:val="single" w:sz="4" w:space="0" w:color="DEE2E6"/>
            </w:tcBorders>
            <w:shd w:val="clear" w:color="auto" w:fill="F8F9FA"/>
          </w:tcPr>
          <w:p w14:paraId="4E3C1027" w14:textId="77777777" w:rsidR="00882FE7" w:rsidRDefault="00000000">
            <w:pPr>
              <w:spacing w:before="40" w:after="40"/>
            </w:pPr>
            <w:r>
              <w:rPr>
                <w:rFonts w:cs="Calibri"/>
                <w:color w:val="212529"/>
                <w:sz w:val="18"/>
              </w:rPr>
              <w:t>Toutes les deux semaines</w:t>
            </w:r>
          </w:p>
        </w:tc>
        <w:tc>
          <w:tcPr>
            <w:tcW w:w="5108" w:type="dxa"/>
            <w:tcBorders>
              <w:top w:val="single" w:sz="4" w:space="0" w:color="DEE2E6"/>
              <w:left w:val="single" w:sz="4" w:space="0" w:color="DEE2E6"/>
              <w:bottom w:val="single" w:sz="4" w:space="0" w:color="DEE2E6"/>
              <w:right w:val="single" w:sz="4" w:space="0" w:color="DEE2E6"/>
            </w:tcBorders>
            <w:shd w:val="clear" w:color="auto" w:fill="F8F9FA"/>
          </w:tcPr>
          <w:p w14:paraId="71448AFF" w14:textId="77777777" w:rsidR="00882FE7" w:rsidRDefault="00000000">
            <w:pPr>
              <w:spacing w:before="40" w:after="40"/>
            </w:pPr>
            <w:r>
              <w:rPr>
                <w:rFonts w:cs="Calibri"/>
                <w:color w:val="212529"/>
                <w:sz w:val="18"/>
              </w:rPr>
              <w:t>Partager le raisonnement, pas seulement la conclusion</w:t>
            </w:r>
          </w:p>
        </w:tc>
      </w:tr>
      <w:tr w:rsidR="00882FE7" w14:paraId="3D35BD2E" w14:textId="77777777">
        <w:trPr>
          <w:jc w:val="center"/>
        </w:trPr>
        <w:tc>
          <w:tcPr>
            <w:tcW w:w="2704" w:type="dxa"/>
            <w:tcBorders>
              <w:top w:val="single" w:sz="4" w:space="0" w:color="DEE2E6"/>
              <w:left w:val="single" w:sz="4" w:space="0" w:color="DEE2E6"/>
              <w:bottom w:val="single" w:sz="4" w:space="0" w:color="DEE2E6"/>
              <w:right w:val="single" w:sz="4" w:space="0" w:color="DEE2E6"/>
            </w:tcBorders>
          </w:tcPr>
          <w:p w14:paraId="1319BD54" w14:textId="77777777" w:rsidR="00882FE7" w:rsidRDefault="00000000">
            <w:pPr>
              <w:spacing w:before="40" w:after="40"/>
            </w:pPr>
            <w:r>
              <w:rPr>
                <w:rFonts w:cs="Calibri"/>
                <w:b/>
                <w:color w:val="212529"/>
                <w:sz w:val="18"/>
              </w:rPr>
              <w:t>Référent sécurité et protection des données</w:t>
            </w:r>
          </w:p>
        </w:tc>
        <w:tc>
          <w:tcPr>
            <w:tcW w:w="4807" w:type="dxa"/>
            <w:tcBorders>
              <w:top w:val="single" w:sz="4" w:space="0" w:color="DEE2E6"/>
              <w:left w:val="single" w:sz="4" w:space="0" w:color="DEE2E6"/>
              <w:bottom w:val="single" w:sz="4" w:space="0" w:color="DEE2E6"/>
              <w:right w:val="single" w:sz="4" w:space="0" w:color="DEE2E6"/>
            </w:tcBorders>
          </w:tcPr>
          <w:p w14:paraId="5D80EE0B" w14:textId="77777777" w:rsidR="00882FE7" w:rsidRDefault="00000000">
            <w:pPr>
              <w:spacing w:before="40" w:after="40"/>
            </w:pPr>
            <w:r>
              <w:rPr>
                <w:rFonts w:cs="Calibri"/>
                <w:color w:val="212529"/>
                <w:sz w:val="18"/>
              </w:rPr>
              <w:t>Revue de conformité adossée à la cartographie ISO/IEC 27001 et RGPD</w:t>
            </w:r>
          </w:p>
        </w:tc>
        <w:tc>
          <w:tcPr>
            <w:tcW w:w="2403" w:type="dxa"/>
            <w:tcBorders>
              <w:top w:val="single" w:sz="4" w:space="0" w:color="DEE2E6"/>
              <w:left w:val="single" w:sz="4" w:space="0" w:color="DEE2E6"/>
              <w:bottom w:val="single" w:sz="4" w:space="0" w:color="DEE2E6"/>
              <w:right w:val="single" w:sz="4" w:space="0" w:color="DEE2E6"/>
            </w:tcBorders>
          </w:tcPr>
          <w:p w14:paraId="3639147B" w14:textId="77777777" w:rsidR="00882FE7" w:rsidRDefault="00000000">
            <w:pPr>
              <w:spacing w:before="40" w:after="40"/>
            </w:pPr>
            <w:r>
              <w:rPr>
                <w:rFonts w:cs="Calibri"/>
                <w:color w:val="212529"/>
                <w:sz w:val="18"/>
              </w:rPr>
              <w:t>Mensuel</w:t>
            </w:r>
          </w:p>
        </w:tc>
        <w:tc>
          <w:tcPr>
            <w:tcW w:w="5108" w:type="dxa"/>
            <w:tcBorders>
              <w:top w:val="single" w:sz="4" w:space="0" w:color="DEE2E6"/>
              <w:left w:val="single" w:sz="4" w:space="0" w:color="DEE2E6"/>
              <w:bottom w:val="single" w:sz="4" w:space="0" w:color="DEE2E6"/>
              <w:right w:val="single" w:sz="4" w:space="0" w:color="DEE2E6"/>
            </w:tcBorders>
          </w:tcPr>
          <w:p w14:paraId="46D38F85" w14:textId="77777777" w:rsidR="00882FE7" w:rsidRDefault="00000000">
            <w:pPr>
              <w:spacing w:before="40" w:after="40"/>
            </w:pPr>
            <w:r>
              <w:rPr>
                <w:rFonts w:cs="Calibri"/>
                <w:color w:val="212529"/>
                <w:sz w:val="18"/>
              </w:rPr>
              <w:t>Détecter un écart réglementaire avant qu'il ne devienne une dette</w:t>
            </w:r>
          </w:p>
        </w:tc>
      </w:tr>
      <w:tr w:rsidR="00882FE7" w14:paraId="7D84A782" w14:textId="77777777">
        <w:trPr>
          <w:jc w:val="center"/>
        </w:trPr>
        <w:tc>
          <w:tcPr>
            <w:tcW w:w="2704" w:type="dxa"/>
            <w:tcBorders>
              <w:top w:val="single" w:sz="4" w:space="0" w:color="DEE2E6"/>
              <w:left w:val="single" w:sz="4" w:space="0" w:color="DEE2E6"/>
              <w:bottom w:val="single" w:sz="4" w:space="0" w:color="DEE2E6"/>
              <w:right w:val="single" w:sz="4" w:space="0" w:color="DEE2E6"/>
            </w:tcBorders>
            <w:shd w:val="clear" w:color="auto" w:fill="F8F9FA"/>
          </w:tcPr>
          <w:p w14:paraId="51A75BB6" w14:textId="77777777" w:rsidR="00882FE7" w:rsidRDefault="00000000">
            <w:pPr>
              <w:spacing w:before="40" w:after="40"/>
            </w:pPr>
            <w:r>
              <w:rPr>
                <w:rFonts w:cs="Calibri"/>
                <w:b/>
                <w:color w:val="212529"/>
                <w:sz w:val="18"/>
              </w:rPr>
              <w:t>Utilisateurs bêta</w:t>
            </w:r>
          </w:p>
        </w:tc>
        <w:tc>
          <w:tcPr>
            <w:tcW w:w="4807" w:type="dxa"/>
            <w:tcBorders>
              <w:top w:val="single" w:sz="4" w:space="0" w:color="DEE2E6"/>
              <w:left w:val="single" w:sz="4" w:space="0" w:color="DEE2E6"/>
              <w:bottom w:val="single" w:sz="4" w:space="0" w:color="DEE2E6"/>
              <w:right w:val="single" w:sz="4" w:space="0" w:color="DEE2E6"/>
            </w:tcBorders>
            <w:shd w:val="clear" w:color="auto" w:fill="F8F9FA"/>
          </w:tcPr>
          <w:p w14:paraId="1C763255" w14:textId="77777777" w:rsidR="00882FE7" w:rsidRDefault="00000000">
            <w:pPr>
              <w:spacing w:before="40" w:after="40"/>
            </w:pPr>
            <w:r>
              <w:rPr>
                <w:rFonts w:cs="Calibri"/>
                <w:color w:val="212529"/>
                <w:sz w:val="18"/>
              </w:rPr>
              <w:t>Notes de version en langage non technique</w:t>
            </w:r>
          </w:p>
        </w:tc>
        <w:tc>
          <w:tcPr>
            <w:tcW w:w="2403" w:type="dxa"/>
            <w:tcBorders>
              <w:top w:val="single" w:sz="4" w:space="0" w:color="DEE2E6"/>
              <w:left w:val="single" w:sz="4" w:space="0" w:color="DEE2E6"/>
              <w:bottom w:val="single" w:sz="4" w:space="0" w:color="DEE2E6"/>
              <w:right w:val="single" w:sz="4" w:space="0" w:color="DEE2E6"/>
            </w:tcBorders>
            <w:shd w:val="clear" w:color="auto" w:fill="F8F9FA"/>
          </w:tcPr>
          <w:p w14:paraId="7D7598DA" w14:textId="77777777" w:rsidR="00882FE7" w:rsidRDefault="00000000">
            <w:pPr>
              <w:spacing w:before="40" w:after="40"/>
            </w:pPr>
            <w:r>
              <w:rPr>
                <w:rFonts w:cs="Calibri"/>
                <w:color w:val="212529"/>
                <w:sz w:val="18"/>
              </w:rPr>
              <w:t>À chaque livraison</w:t>
            </w:r>
          </w:p>
        </w:tc>
        <w:tc>
          <w:tcPr>
            <w:tcW w:w="5108" w:type="dxa"/>
            <w:tcBorders>
              <w:top w:val="single" w:sz="4" w:space="0" w:color="DEE2E6"/>
              <w:left w:val="single" w:sz="4" w:space="0" w:color="DEE2E6"/>
              <w:bottom w:val="single" w:sz="4" w:space="0" w:color="DEE2E6"/>
              <w:right w:val="single" w:sz="4" w:space="0" w:color="DEE2E6"/>
            </w:tcBorders>
            <w:shd w:val="clear" w:color="auto" w:fill="F8F9FA"/>
          </w:tcPr>
          <w:p w14:paraId="2375E952" w14:textId="77777777" w:rsidR="00882FE7" w:rsidRDefault="00000000">
            <w:pPr>
              <w:spacing w:before="40" w:after="40"/>
            </w:pPr>
            <w:r>
              <w:rPr>
                <w:rFonts w:cs="Calibri"/>
                <w:color w:val="212529"/>
                <w:sz w:val="18"/>
              </w:rPr>
              <w:t>Rendre visible ce qui change pour eux, recueillir un retour exploitable</w:t>
            </w:r>
          </w:p>
        </w:tc>
      </w:tr>
      <w:tr w:rsidR="00882FE7" w14:paraId="527E6968" w14:textId="77777777">
        <w:trPr>
          <w:jc w:val="center"/>
        </w:trPr>
        <w:tc>
          <w:tcPr>
            <w:tcW w:w="2704" w:type="dxa"/>
            <w:tcBorders>
              <w:top w:val="single" w:sz="4" w:space="0" w:color="DEE2E6"/>
              <w:left w:val="single" w:sz="4" w:space="0" w:color="DEE2E6"/>
              <w:bottom w:val="single" w:sz="4" w:space="0" w:color="DEE2E6"/>
              <w:right w:val="single" w:sz="4" w:space="0" w:color="DEE2E6"/>
            </w:tcBorders>
          </w:tcPr>
          <w:p w14:paraId="651B1352" w14:textId="77777777" w:rsidR="00882FE7" w:rsidRDefault="00000000">
            <w:pPr>
              <w:spacing w:before="40" w:after="40"/>
            </w:pPr>
            <w:r>
              <w:rPr>
                <w:rFonts w:cs="Calibri"/>
                <w:b/>
                <w:color w:val="212529"/>
                <w:sz w:val="18"/>
              </w:rPr>
              <w:t>Parties prenantes externes et jury</w:t>
            </w:r>
          </w:p>
        </w:tc>
        <w:tc>
          <w:tcPr>
            <w:tcW w:w="4807" w:type="dxa"/>
            <w:tcBorders>
              <w:top w:val="single" w:sz="4" w:space="0" w:color="DEE2E6"/>
              <w:left w:val="single" w:sz="4" w:space="0" w:color="DEE2E6"/>
              <w:bottom w:val="single" w:sz="4" w:space="0" w:color="DEE2E6"/>
              <w:right w:val="single" w:sz="4" w:space="0" w:color="DEE2E6"/>
            </w:tcBorders>
          </w:tcPr>
          <w:p w14:paraId="5AC11C9C" w14:textId="77777777" w:rsidR="00882FE7" w:rsidRDefault="00000000">
            <w:pPr>
              <w:spacing w:before="40" w:after="40"/>
            </w:pPr>
            <w:r>
              <w:rPr>
                <w:rFonts w:cs="Calibri"/>
                <w:color w:val="212529"/>
                <w:sz w:val="18"/>
              </w:rPr>
              <w:t>Dossier de veille (la présente annexe) et §11.1 du mémoire</w:t>
            </w:r>
          </w:p>
        </w:tc>
        <w:tc>
          <w:tcPr>
            <w:tcW w:w="2403" w:type="dxa"/>
            <w:tcBorders>
              <w:top w:val="single" w:sz="4" w:space="0" w:color="DEE2E6"/>
              <w:left w:val="single" w:sz="4" w:space="0" w:color="DEE2E6"/>
              <w:bottom w:val="single" w:sz="4" w:space="0" w:color="DEE2E6"/>
              <w:right w:val="single" w:sz="4" w:space="0" w:color="DEE2E6"/>
            </w:tcBorders>
          </w:tcPr>
          <w:p w14:paraId="3D73751F" w14:textId="77777777" w:rsidR="00882FE7" w:rsidRDefault="00000000">
            <w:pPr>
              <w:spacing w:before="40" w:after="40"/>
            </w:pPr>
            <w:r>
              <w:rPr>
                <w:rFonts w:cs="Calibri"/>
                <w:color w:val="212529"/>
                <w:sz w:val="18"/>
              </w:rPr>
              <w:t>En fin de projet</w:t>
            </w:r>
          </w:p>
        </w:tc>
        <w:tc>
          <w:tcPr>
            <w:tcW w:w="5108" w:type="dxa"/>
            <w:tcBorders>
              <w:top w:val="single" w:sz="4" w:space="0" w:color="DEE2E6"/>
              <w:left w:val="single" w:sz="4" w:space="0" w:color="DEE2E6"/>
              <w:bottom w:val="single" w:sz="4" w:space="0" w:color="DEE2E6"/>
              <w:right w:val="single" w:sz="4" w:space="0" w:color="DEE2E6"/>
            </w:tcBorders>
          </w:tcPr>
          <w:p w14:paraId="1161080C" w14:textId="77777777" w:rsidR="00882FE7" w:rsidRDefault="00000000">
            <w:pPr>
              <w:spacing w:before="40" w:after="40"/>
            </w:pPr>
            <w:r>
              <w:rPr>
                <w:rFonts w:cs="Calibri"/>
                <w:color w:val="212529"/>
                <w:sz w:val="18"/>
              </w:rPr>
              <w:t>Rendre la démarche vérifiable et reproductible</w:t>
            </w:r>
          </w:p>
        </w:tc>
      </w:tr>
    </w:tbl>
    <w:p w14:paraId="569EABB2" w14:textId="77777777" w:rsidR="00882FE7" w:rsidRDefault="00882FE7">
      <w:pPr>
        <w:spacing w:after="0"/>
      </w:pPr>
    </w:p>
    <w:p w14:paraId="202DC19A" w14:textId="77777777" w:rsidR="00882FE7" w:rsidRDefault="00000000">
      <w:pPr>
        <w:spacing w:before="120" w:after="120"/>
        <w:jc w:val="both"/>
      </w:pPr>
      <w:r>
        <w:rPr>
          <w:rFonts w:cs="Calibri"/>
          <w:color w:val="212529"/>
        </w:rPr>
        <w:t>La capitalisation repose sur trois supports versionnés avec le code, le journal des décisions d'architecture (cf. Annexe J), les runbooks d'exploitation et la documentation du dépôt. Ce choix évite qu'une connaissance ne reste attachée à une personne, ce qui constitue le point de vigilance principal d'une équipe de cette taille (cf. Annexe O bis, partie prenante PP2).</w:t>
      </w:r>
    </w:p>
    <w:p w14:paraId="1669070A" w14:textId="77777777" w:rsidR="00882FE7" w:rsidRDefault="00000000">
      <w:pPr>
        <w:spacing w:before="240"/>
      </w:pPr>
      <w:r>
        <w:rPr>
          <w:rFonts w:cs="Calibri"/>
          <w:color w:val="868E96"/>
          <w:sz w:val="16"/>
        </w:rPr>
        <w:lastRenderedPageBreak/>
        <w:t>Sources : mémoire §11.1.2 (méthodologie), §11.1.3 (résultats), §11.1.4 (recommandations) · Annexe J (journal des décisions d'architecture) · Annexe R (cartographie ISO/IEC 27001 et RGPD) · Annexe W (benchmark concurrentiel et matrice de décision).</w:t>
      </w:r>
    </w:p>
    <w:sectPr w:rsidR="00882FE7"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1924166">
    <w:abstractNumId w:val="8"/>
  </w:num>
  <w:num w:numId="2" w16cid:durableId="712269187">
    <w:abstractNumId w:val="6"/>
  </w:num>
  <w:num w:numId="3" w16cid:durableId="90246622">
    <w:abstractNumId w:val="5"/>
  </w:num>
  <w:num w:numId="4" w16cid:durableId="1044405514">
    <w:abstractNumId w:val="4"/>
  </w:num>
  <w:num w:numId="5" w16cid:durableId="1034580594">
    <w:abstractNumId w:val="7"/>
  </w:num>
  <w:num w:numId="6" w16cid:durableId="1752196975">
    <w:abstractNumId w:val="3"/>
  </w:num>
  <w:num w:numId="7" w16cid:durableId="1030378954">
    <w:abstractNumId w:val="2"/>
  </w:num>
  <w:num w:numId="8" w16cid:durableId="893735385">
    <w:abstractNumId w:val="1"/>
  </w:num>
  <w:num w:numId="9" w16cid:durableId="16780001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183"/>
    <w:rsid w:val="0029639D"/>
    <w:rsid w:val="00326F90"/>
    <w:rsid w:val="004E1AEF"/>
    <w:rsid w:val="00882F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2EB58"/>
  <w14:defaultImageDpi w14:val="300"/>
  <w15:docId w15:val="{C76176C0-53A6-3640-98F0-71F7CBAC3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1803</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REDJEM</cp:lastModifiedBy>
  <cp:revision>3</cp:revision>
  <dcterms:created xsi:type="dcterms:W3CDTF">2013-12-23T23:15:00Z</dcterms:created>
  <dcterms:modified xsi:type="dcterms:W3CDTF">2026-07-23T15:45:00Z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661bcb-cfa9-4fb2-a5e5-a05e20e0e81b_Enabled">
    <vt:lpwstr>true</vt:lpwstr>
  </property>
  <property fmtid="{D5CDD505-2E9C-101B-9397-08002B2CF9AE}" pid="3" name="MSIP_Label_33661bcb-cfa9-4fb2-a5e5-a05e20e0e81b_SetDate">
    <vt:lpwstr>2026-07-23T15:43:35Z</vt:lpwstr>
  </property>
  <property fmtid="{D5CDD505-2E9C-101B-9397-08002B2CF9AE}" pid="4" name="MSIP_Label_33661bcb-cfa9-4fb2-a5e5-a05e20e0e81b_Method">
    <vt:lpwstr>Privileged</vt:lpwstr>
  </property>
  <property fmtid="{D5CDD505-2E9C-101B-9397-08002B2CF9AE}" pid="5" name="MSIP_Label_33661bcb-cfa9-4fb2-a5e5-a05e20e0e81b_Name">
    <vt:lpwstr>PRIVÉ</vt:lpwstr>
  </property>
  <property fmtid="{D5CDD505-2E9C-101B-9397-08002B2CF9AE}" pid="6" name="MSIP_Label_33661bcb-cfa9-4fb2-a5e5-a05e20e0e81b_SiteId">
    <vt:lpwstr>b1a7639e-6f68-471f-a534-787509510be4</vt:lpwstr>
  </property>
  <property fmtid="{D5CDD505-2E9C-101B-9397-08002B2CF9AE}" pid="7" name="MSIP_Label_33661bcb-cfa9-4fb2-a5e5-a05e20e0e81b_ActionId">
    <vt:lpwstr>fc5ea11d-2d57-41eb-8947-0250672ac3b3</vt:lpwstr>
  </property>
  <property fmtid="{D5CDD505-2E9C-101B-9397-08002B2CF9AE}" pid="8" name="MSIP_Label_33661bcb-cfa9-4fb2-a5e5-a05e20e0e81b_ContentBits">
    <vt:lpwstr>0</vt:lpwstr>
  </property>
  <property fmtid="{D5CDD505-2E9C-101B-9397-08002B2CF9AE}" pid="9" name="MSIP_Label_33661bcb-cfa9-4fb2-a5e5-a05e20e0e81b_Tag">
    <vt:lpwstr>50, 0, 1, 1</vt:lpwstr>
  </property>
</Properties>
</file>