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cs="Calibri"/>
          <w:b/>
          <w:i w:val="0"/>
          <w:color w:val="212529"/>
          <w:sz w:val="38"/>
        </w:rPr>
        <w:t>Annexe X   Personas, user stories et matrice de priorisation MoSCoW</w:t>
      </w:r>
    </w:p>
    <w:p>
      <w:pPr>
        <w:spacing w:after="20"/>
      </w:pPr>
      <w:r>
        <w:rPr>
          <w:rFonts w:ascii="Calibri" w:hAnsi="Calibri" w:cs="Calibri"/>
          <w:b w:val="0"/>
          <w:i w:val="0"/>
          <w:color w:val="868E96"/>
          <w:sz w:val="22"/>
        </w:rPr>
        <w:t>dropicture · quatre personas, vingt-quatre user stories au format Given When Then, priorisation MoSCoW et estimation en points</w:t>
      </w:r>
    </w:p>
    <w:p>
      <w:pPr>
        <w:spacing w:after="200"/>
      </w:pPr>
      <w:r>
        <w:rPr>
          <w:rFonts w:ascii="Calibri" w:hAnsi="Calibri" w:cs="Calibri"/>
          <w:b w:val="0"/>
          <w:i w:val="0"/>
          <w:color w:val="868E96"/>
          <w:sz w:val="17"/>
        </w:rPr>
        <w:t>RNCP40573  Expert en informatique et systèmes d'information, option DevOps · Amir Redjem · appelée en §11.2.1, §11.2.2 et §13.5.2 du mémoire</w:t>
      </w:r>
    </w:p>
    <w:p>
      <w:pPr>
        <w:spacing w:after="200"/>
        <w:jc w:val="both"/>
      </w:pPr>
      <w:r>
        <w:rPr>
          <w:rFonts w:ascii="Calibri" w:hAnsi="Calibri" w:cs="Calibri"/>
          <w:b w:val="0"/>
          <w:i w:val="0"/>
          <w:color w:val="212529"/>
          <w:sz w:val="20"/>
        </w:rPr>
        <w:t>Une exigence formulée hors contexte se prête à toutes les interprétations. Les quatre personas ci-dessous fixent ce contexte, chacun correspondant à l'un des acteurs du diagramme de cas d'utilisation (cf. Annexe G). Les user stories qui suivent traduisent chaque cas d'utilisation en comportement observable, avec ses critères d'acceptation, sa priorité MoSCoW et son estimation en points. Cette forme rend l'exigence testable, ce qui la relie directement au plan de tests (cf. Annexe Z).</w:t>
      </w:r>
    </w:p>
    <w:p>
      <w:pPr>
        <w:spacing w:before="240" w:after="100"/>
      </w:pPr>
      <w:r>
        <w:rPr>
          <w:rFonts w:ascii="Calibri" w:hAnsi="Calibri" w:cs="Calibri"/>
          <w:b/>
          <w:i w:val="0"/>
          <w:color w:val="1C7ED6"/>
          <w:sz w:val="26"/>
        </w:rPr>
        <w:t>1.  Personas</w:t>
      </w:r>
    </w:p>
    <w:p>
      <w:pPr>
        <w:spacing w:before="160" w:after="60"/>
        <w:jc w:val="both"/>
      </w:pPr>
      <w:r>
        <w:rPr>
          <w:rFonts w:ascii="Calibri" w:hAnsi="Calibri" w:cs="Calibri"/>
          <w:b/>
          <w:i w:val="0"/>
          <w:color w:val="212529"/>
          <w:sz w:val="22"/>
        </w:rPr>
        <w:t>P1  Léa Marchand, 29 ans, photographe amatrice   (acteur  Membre)</w:t>
      </w:r>
    </w:p>
    <w:tbl>
      <w:tblPr>
        <w:tblW w:type="auto" w:w="0"/>
        <w:jc w:val="center"/>
        <w:tblLayout w:type="fixed"/>
        <w:tblLook w:firstColumn="1" w:firstRow="1" w:lastColumn="0" w:lastRow="0" w:noHBand="0" w:noVBand="1" w:val="04A0"/>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Pr>
      <w:tblGrid>
        <w:gridCol w:w="3756"/>
        <w:gridCol w:w="3756"/>
        <w:gridCol w:w="3756"/>
        <w:gridCol w:w="3756"/>
      </w:tblGrid>
      <w:tr>
        <w:trPr>
          <w:tblHeader/>
        </w:trPr>
        <w:tc>
          <w:tcPr>
            <w:tcW w:type="dxa" w:w="375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Profil démographique</w:t>
            </w:r>
          </w:p>
        </w:tc>
        <w:tc>
          <w:tcPr>
            <w:tcW w:type="dxa" w:w="375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Comportement technologique</w:t>
            </w:r>
          </w:p>
        </w:tc>
        <w:tc>
          <w:tcPr>
            <w:tcW w:type="dxa" w:w="375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Objectifs</w:t>
            </w:r>
          </w:p>
        </w:tc>
        <w:tc>
          <w:tcPr>
            <w:tcW w:type="dxa" w:w="375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Frustrations</w:t>
            </w:r>
          </w:p>
        </w:tc>
      </w:tr>
      <w:tr>
        <w:tc>
          <w:tcPr>
            <w:tcW w:type="dxa" w:w="3756"/>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8"/>
              </w:rPr>
              <w:t>Chargée de communication en agence, vit à Lyon. Photographie en argentique le week-end et numérise ses planches. Environ 4 000 clichés accumulés sur trois disques différents.</w:t>
            </w:r>
          </w:p>
        </w:tc>
        <w:tc>
          <w:tcPr>
            <w:tcW w:type="dxa" w:w="3756"/>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8"/>
              </w:rPr>
              <w:t>Équipement mixte, ordinateur portable personnel et téléphone Android. Usage quotidien des réseaux sociaux, aucune compétence en administration système. Se déclare prudente sur ce qu'elle publie.</w:t>
            </w:r>
          </w:p>
        </w:tc>
        <w:tc>
          <w:tcPr>
            <w:tcW w:type="dxa" w:w="3756"/>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8"/>
              </w:rPr>
              <w:t>Rassembler ses clichés en un seul endroit. Choisir précisément ce qui est vu et par qui. Montrer une sélection à des tiers sans leur imposer de créer un compte.</w:t>
            </w:r>
          </w:p>
        </w:tc>
        <w:tc>
          <w:tcPr>
            <w:tcW w:type="dxa" w:w="3756"/>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8"/>
              </w:rPr>
              <w:t>A déjà publié par erreur un album entier au lieu d'une photo. Ne comprend pas quels partages restent actifs sur son service actuel. Redoute qu'une photo privée devienne publique sans action de sa part.</w:t>
            </w:r>
          </w:p>
        </w:tc>
      </w:tr>
    </w:tbl>
    <w:p>
      <w:pPr>
        <w:spacing w:after="0"/>
      </w:pPr>
    </w:p>
    <w:p>
      <w:pPr>
        <w:spacing w:before="0" w:after="80"/>
        <w:jc w:val="both"/>
      </w:pPr>
      <w:r>
        <w:rPr>
          <w:rFonts w:ascii="Calibri" w:hAnsi="Calibri" w:cs="Calibri"/>
          <w:b w:val="0"/>
          <w:i w:val="0"/>
          <w:color w:val="212529"/>
          <w:sz w:val="19"/>
        </w:rPr>
        <w:t>Scénario d'usage.  Léa dépose une série de trente clichés après une sortie. Tout reste privé. Elle constitue un album, choisit une couverture, puis sélectionne six photos et les publie en une seule action. Elle envoie l'adresse de son profil public à un collectif. Deux jours plus tard, elle dépublie deux clichés qui ne lui plaisent plus, et vérifie qu'ils ont bien disparu du profil public.</w:t>
      </w:r>
    </w:p>
    <w:p>
      <w:pPr>
        <w:spacing w:before="160" w:after="60"/>
        <w:jc w:val="both"/>
      </w:pPr>
      <w:r>
        <w:rPr>
          <w:rFonts w:ascii="Calibri" w:hAnsi="Calibri" w:cs="Calibri"/>
          <w:b/>
          <w:i w:val="0"/>
          <w:color w:val="212529"/>
          <w:sz w:val="22"/>
        </w:rPr>
        <w:t>P2  Thomas Bertin, 45 ans, directeur artistique   (acteur  Visiteur)</w:t>
      </w:r>
    </w:p>
    <w:tbl>
      <w:tblPr>
        <w:tblW w:type="auto" w:w="0"/>
        <w:jc w:val="center"/>
        <w:tblLayout w:type="fixed"/>
        <w:tblLook w:firstColumn="1" w:firstRow="1" w:lastColumn="0" w:lastRow="0" w:noHBand="0" w:noVBand="1" w:val="04A0"/>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Pr>
      <w:tblGrid>
        <w:gridCol w:w="3756"/>
        <w:gridCol w:w="3756"/>
        <w:gridCol w:w="3756"/>
        <w:gridCol w:w="3756"/>
      </w:tblGrid>
      <w:tr>
        <w:trPr>
          <w:tblHeader/>
        </w:trPr>
        <w:tc>
          <w:tcPr>
            <w:tcW w:type="dxa" w:w="375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Profil démographique</w:t>
            </w:r>
          </w:p>
        </w:tc>
        <w:tc>
          <w:tcPr>
            <w:tcW w:type="dxa" w:w="375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Comportement technologique</w:t>
            </w:r>
          </w:p>
        </w:tc>
        <w:tc>
          <w:tcPr>
            <w:tcW w:type="dxa" w:w="375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Objectifs</w:t>
            </w:r>
          </w:p>
        </w:tc>
        <w:tc>
          <w:tcPr>
            <w:tcW w:type="dxa" w:w="375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Frustrations</w:t>
            </w:r>
          </w:p>
        </w:tc>
      </w:tr>
      <w:tr>
        <w:tc>
          <w:tcPr>
            <w:tcW w:type="dxa" w:w="3756"/>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8"/>
              </w:rPr>
              <w:t>Directeur artistique dans une agence parisienne. Consulte des portfolios plusieurs fois par semaine pour repérer des profils.</w:t>
            </w:r>
          </w:p>
        </w:tc>
        <w:tc>
          <w:tcPr>
            <w:tcW w:type="dxa" w:w="3756"/>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8"/>
              </w:rPr>
              <w:t>Navigue au bureau sur un poste verrouillé, sans droit d'installation. Refuse par principe de créer un compte pour consulter un travail. Attentif au temps de chargement.</w:t>
            </w:r>
          </w:p>
        </w:tc>
        <w:tc>
          <w:tcPr>
            <w:tcW w:type="dxa" w:w="3756"/>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8"/>
              </w:rPr>
              <w:t>Voir un travail immédiatement, sans friction. Retrouver un profil par son nom. Partager une adresse à ses associés.</w:t>
            </w:r>
          </w:p>
        </w:tc>
        <w:tc>
          <w:tcPr>
            <w:tcW w:type="dxa" w:w="3756"/>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8"/>
              </w:rPr>
              <w:t>Les services de partage lui imposent une inscription ou une application. Les liens de partage expirent sans prévenir. Les galeries lourdes s'affichent mal sur un poste ancien.</w:t>
            </w:r>
          </w:p>
        </w:tc>
      </w:tr>
    </w:tbl>
    <w:p>
      <w:pPr>
        <w:spacing w:after="0"/>
      </w:pPr>
    </w:p>
    <w:p>
      <w:pPr>
        <w:spacing w:before="0" w:after="80"/>
        <w:jc w:val="both"/>
      </w:pPr>
      <w:r>
        <w:rPr>
          <w:rFonts w:ascii="Calibri" w:hAnsi="Calibri" w:cs="Calibri"/>
          <w:b w:val="0"/>
          <w:i w:val="0"/>
          <w:color w:val="212529"/>
          <w:sz w:val="19"/>
        </w:rPr>
        <w:t>Scénario d'usage.  Thomas reçoit une adresse de profil. La page s'affiche sans inscription ni script lourd. Il parcourt la galerie publiée, consulte la biographie, puis transmet l'adresse telle quelle. Il revient une semaine plus tard, la page est à jour.</w:t>
      </w:r>
    </w:p>
    <w:p>
      <w:pPr>
        <w:spacing w:before="160" w:after="60"/>
        <w:jc w:val="both"/>
      </w:pPr>
      <w:r>
        <w:rPr>
          <w:rFonts w:ascii="Calibri" w:hAnsi="Calibri" w:cs="Calibri"/>
          <w:b/>
          <w:i w:val="0"/>
          <w:color w:val="212529"/>
          <w:sz w:val="22"/>
        </w:rPr>
        <w:t>P3  Sofia Nadir, 34 ans, développeuse indépendante   (acteur  Client API)</w:t>
      </w:r>
    </w:p>
    <w:tbl>
      <w:tblPr>
        <w:tblW w:type="auto" w:w="0"/>
        <w:jc w:val="center"/>
        <w:tblLayout w:type="fixed"/>
        <w:tblLook w:firstColumn="1" w:firstRow="1" w:lastColumn="0" w:lastRow="0" w:noHBand="0" w:noVBand="1" w:val="04A0"/>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Pr>
      <w:tblGrid>
        <w:gridCol w:w="3756"/>
        <w:gridCol w:w="3756"/>
        <w:gridCol w:w="3756"/>
        <w:gridCol w:w="3756"/>
      </w:tblGrid>
      <w:tr>
        <w:trPr>
          <w:tblHeader/>
        </w:trPr>
        <w:tc>
          <w:tcPr>
            <w:tcW w:type="dxa" w:w="375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Profil démographique</w:t>
            </w:r>
          </w:p>
        </w:tc>
        <w:tc>
          <w:tcPr>
            <w:tcW w:type="dxa" w:w="375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Comportement technologique</w:t>
            </w:r>
          </w:p>
        </w:tc>
        <w:tc>
          <w:tcPr>
            <w:tcW w:type="dxa" w:w="375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Objectifs</w:t>
            </w:r>
          </w:p>
        </w:tc>
        <w:tc>
          <w:tcPr>
            <w:tcW w:type="dxa" w:w="375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Frustrations</w:t>
            </w:r>
          </w:p>
        </w:tc>
      </w:tr>
      <w:tr>
        <w:tc>
          <w:tcPr>
            <w:tcW w:type="dxa" w:w="3756"/>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8"/>
              </w:rPr>
              <w:t>Développeuse indépendante, réalise des sites vitrines pour des artistes. Cherche à automatiser l'alimentation des galeries de ses clients.</w:t>
            </w:r>
          </w:p>
        </w:tc>
        <w:tc>
          <w:tcPr>
            <w:tcW w:type="dxa" w:w="3756"/>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8"/>
              </w:rPr>
              <w:t>Très à l'aise techniquement. Lit une spécification OpenAPI avant toute intégration. Exige de pouvoir révoquer un accès en cas d'incident.</w:t>
            </w:r>
          </w:p>
        </w:tc>
        <w:tc>
          <w:tcPr>
            <w:tcW w:type="dxa" w:w="3756"/>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8"/>
              </w:rPr>
              <w:t>Accéder par programme à une bibliothèque avec l'accord de son propriétaire. Disposer d'un contrat d'interface stable et documenté. Révoquer un accès instantanément.</w:t>
            </w:r>
          </w:p>
        </w:tc>
        <w:tc>
          <w:tcPr>
            <w:tcW w:type="dxa" w:w="3756"/>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8"/>
              </w:rPr>
              <w:t>Les API grand public sont fermées ou soumises à validation commerciale. Les clés ne sont pas rotatives. La documentation est incomplète sur les cas d'erreur.</w:t>
            </w:r>
          </w:p>
        </w:tc>
      </w:tr>
    </w:tbl>
    <w:p>
      <w:pPr>
        <w:spacing w:after="0"/>
      </w:pPr>
    </w:p>
    <w:p>
      <w:pPr>
        <w:spacing w:before="0" w:after="80"/>
        <w:jc w:val="both"/>
      </w:pPr>
      <w:r>
        <w:rPr>
          <w:rFonts w:ascii="Calibri" w:hAnsi="Calibri" w:cs="Calibri"/>
          <w:b w:val="0"/>
          <w:i w:val="0"/>
          <w:color w:val="212529"/>
          <w:sz w:val="19"/>
        </w:rPr>
        <w:t>Scénario d'usage.  Sofia obtient une clé d'API générée par sa cliente. Elle lit la spécification, appelle les points d'accès publics, construit une galerie synchronisée. Après la livraison, sa cliente fait tourner la clé, ce qui invalide l'accès immédiatement sans toucher au reste du compte.</w:t>
      </w:r>
    </w:p>
    <w:p>
      <w:pPr>
        <w:spacing w:before="160" w:after="60"/>
        <w:jc w:val="both"/>
      </w:pPr>
      <w:r>
        <w:rPr>
          <w:rFonts w:ascii="Calibri" w:hAnsi="Calibri" w:cs="Calibri"/>
          <w:b/>
          <w:i w:val="0"/>
          <w:color w:val="212529"/>
          <w:sz w:val="22"/>
        </w:rPr>
        <w:t>P4  Karim Boussaïd, 38 ans, ingénieur d'exploitation   (acteur  Exploitant DevOps)</w:t>
      </w:r>
    </w:p>
    <w:tbl>
      <w:tblPr>
        <w:tblW w:type="auto" w:w="0"/>
        <w:jc w:val="center"/>
        <w:tblLayout w:type="fixed"/>
        <w:tblLook w:firstColumn="1" w:firstRow="1" w:lastColumn="0" w:lastRow="0" w:noHBand="0" w:noVBand="1" w:val="04A0"/>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Pr>
      <w:tblGrid>
        <w:gridCol w:w="3756"/>
        <w:gridCol w:w="3756"/>
        <w:gridCol w:w="3756"/>
        <w:gridCol w:w="3756"/>
      </w:tblGrid>
      <w:tr>
        <w:trPr>
          <w:tblHeader/>
        </w:trPr>
        <w:tc>
          <w:tcPr>
            <w:tcW w:type="dxa" w:w="375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Profil démographique</w:t>
            </w:r>
          </w:p>
        </w:tc>
        <w:tc>
          <w:tcPr>
            <w:tcW w:type="dxa" w:w="375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Comportement technologique</w:t>
            </w:r>
          </w:p>
        </w:tc>
        <w:tc>
          <w:tcPr>
            <w:tcW w:type="dxa" w:w="375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Objectifs</w:t>
            </w:r>
          </w:p>
        </w:tc>
        <w:tc>
          <w:tcPr>
            <w:tcW w:type="dxa" w:w="375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Frustrations</w:t>
            </w:r>
          </w:p>
        </w:tc>
      </w:tr>
      <w:tr>
        <w:tc>
          <w:tcPr>
            <w:tcW w:type="dxa" w:w="3756"/>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8"/>
              </w:rPr>
              <w:t>Ingénieur d'exploitation, seul sur l'astreinte de la plateforme. Intervient depuis un poste distant, parfois hors des heures de bureau.</w:t>
            </w:r>
          </w:p>
        </w:tc>
        <w:tc>
          <w:tcPr>
            <w:tcW w:type="dxa" w:w="3756"/>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8"/>
              </w:rPr>
              <w:t>Expert en infrastructure et en conteneurisation. Travaille en ligne de commande. Refuse toute action manuelle non reproductible.</w:t>
            </w:r>
          </w:p>
        </w:tc>
        <w:tc>
          <w:tcPr>
            <w:tcW w:type="dxa" w:w="3756"/>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8"/>
              </w:rPr>
              <w:t>Savoir en moins d'une minute si la plateforme est saine. Reconstruire un nœud perdu par le code. Restaurer une base sans improviser.</w:t>
            </w:r>
          </w:p>
        </w:tc>
        <w:tc>
          <w:tcPr>
            <w:tcW w:type="dxa" w:w="3756"/>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8"/>
              </w:rPr>
              <w:t>Les alertes trop nombreuses finissent ignorées. Les procédures de reprise ne sont vérifiées qu'au moment de l'incident. La documentation d'exploitation est souvent périmée.</w:t>
            </w:r>
          </w:p>
        </w:tc>
      </w:tr>
    </w:tbl>
    <w:p>
      <w:pPr>
        <w:spacing w:after="0"/>
      </w:pPr>
    </w:p>
    <w:p>
      <w:pPr>
        <w:spacing w:before="0" w:after="80"/>
        <w:jc w:val="both"/>
      </w:pPr>
      <w:r>
        <w:rPr>
          <w:rFonts w:ascii="Calibri" w:hAnsi="Calibri" w:cs="Calibri"/>
          <w:b w:val="0"/>
          <w:i w:val="0"/>
          <w:color w:val="212529"/>
          <w:sz w:val="19"/>
        </w:rPr>
        <w:t>Scénario d'usage.  Karim reçoit une alerte de cible injoignable. Il ouvre le tableau de bord, identifie le nœud, relance le provisionnement par le code, puis vérifie le retour à la normale des métriques. Le mois suivant, il déclenche une restauration de test et mesure l'écart avec l'objectif de reprise annoncé.</w:t>
      </w:r>
    </w:p>
    <w:p>
      <w:r>
        <w:br w:type="page"/>
      </w:r>
    </w:p>
    <w:p>
      <w:pPr>
        <w:spacing w:before="240" w:after="100"/>
      </w:pPr>
      <w:r>
        <w:rPr>
          <w:rFonts w:ascii="Calibri" w:hAnsi="Calibri" w:cs="Calibri"/>
          <w:b/>
          <w:i w:val="0"/>
          <w:color w:val="1C7ED6"/>
          <w:sz w:val="26"/>
        </w:rPr>
        <w:t>2.  User stories, critères d'acceptation, priorité et estimation</w:t>
      </w:r>
    </w:p>
    <w:p>
      <w:pPr>
        <w:spacing w:before="0" w:after="120"/>
        <w:jc w:val="both"/>
      </w:pPr>
      <w:r>
        <w:rPr>
          <w:rFonts w:ascii="Calibri" w:hAnsi="Calibri" w:cs="Calibri"/>
          <w:b w:val="0"/>
          <w:i w:val="0"/>
          <w:color w:val="212529"/>
          <w:sz w:val="20"/>
        </w:rPr>
        <w:t>Le format Given When Then décrit un comportement observable et non une intention. La colonne MoSCoW donne la priorité (Must, Should, Could, Won't). Les points suivent une suite de Fibonacci et mesurent la complexité, non la durée. La colonne de traçabilité relie chaque story au cas d'utilisation correspondant et au point d'accès de l'API.</w:t>
      </w:r>
    </w:p>
    <w:tbl>
      <w:tblPr>
        <w:tblW w:type="auto" w:w="0"/>
        <w:jc w:val="center"/>
        <w:tblLayout w:type="fixed"/>
        <w:tblLook w:firstColumn="1" w:firstRow="1" w:lastColumn="0" w:lastRow="0" w:noHBand="0" w:noVBand="1" w:val="04A0"/>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Pr>
      <w:tblGrid>
        <w:gridCol w:w="751"/>
        <w:gridCol w:w="901"/>
        <w:gridCol w:w="2554"/>
        <w:gridCol w:w="5709"/>
        <w:gridCol w:w="1051"/>
        <w:gridCol w:w="600"/>
        <w:gridCol w:w="3455"/>
      </w:tblGrid>
      <w:tr>
        <w:trPr>
          <w:tblHeader/>
        </w:trPr>
        <w:tc>
          <w:tcPr>
            <w:tcW w:type="dxa" w:w="751"/>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7"/>
              </w:rPr>
              <w:t>Réf.</w:t>
            </w:r>
          </w:p>
        </w:tc>
        <w:tc>
          <w:tcPr>
            <w:tcW w:type="dxa" w:w="901"/>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7"/>
              </w:rPr>
              <w:t>Persona</w:t>
            </w:r>
          </w:p>
        </w:tc>
        <w:tc>
          <w:tcPr>
            <w:tcW w:type="dxa" w:w="2554"/>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7"/>
              </w:rPr>
              <w:t>En tant que membre, je veux</w:t>
            </w:r>
          </w:p>
        </w:tc>
        <w:tc>
          <w:tcPr>
            <w:tcW w:type="dxa" w:w="5709"/>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7"/>
              </w:rPr>
              <w:t>Critère d'acceptation (Given When Then)</w:t>
            </w:r>
          </w:p>
        </w:tc>
        <w:tc>
          <w:tcPr>
            <w:tcW w:type="dxa" w:w="1051"/>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7"/>
              </w:rPr>
              <w:t>MoSCoW</w:t>
            </w:r>
          </w:p>
        </w:tc>
        <w:tc>
          <w:tcPr>
            <w:tcW w:type="dxa" w:w="600"/>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7"/>
              </w:rPr>
              <w:t>Pts</w:t>
            </w:r>
          </w:p>
        </w:tc>
        <w:tc>
          <w:tcPr>
            <w:tcW w:type="dxa" w:w="3455"/>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7"/>
              </w:rPr>
              <w:t>Traçabilité</w:t>
            </w:r>
          </w:p>
        </w:tc>
      </w:tr>
      <w:tr>
        <w:tc>
          <w:tcPr>
            <w:tcW w:type="dxa" w:w="75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i w:val="0"/>
                <w:color w:val="212529"/>
                <w:sz w:val="17"/>
              </w:rPr>
              <w:t>US-01</w:t>
            </w:r>
          </w:p>
        </w:tc>
        <w:tc>
          <w:tcPr>
            <w:tcW w:type="dxa" w:w="9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7"/>
              </w:rPr>
              <w:t>P1</w:t>
            </w:r>
          </w:p>
        </w:tc>
        <w:tc>
          <w:tcPr>
            <w:tcW w:type="dxa" w:w="2554"/>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7"/>
              </w:rPr>
              <w:t>S'inscrire avec un pseudonyme disponible</w:t>
            </w:r>
          </w:p>
        </w:tc>
        <w:tc>
          <w:tcPr>
            <w:tcW w:type="dxa" w:w="5709"/>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7"/>
              </w:rPr>
              <w:t>Étant donné un visiteur non authentifié sur la page d'inscription, quand il soumet un pseudonyme déjà pris, alors le formulaire signale l'indisponibilité avant l'envoi et l'inscription est refusée.</w:t>
            </w:r>
          </w:p>
        </w:tc>
        <w:tc>
          <w:tcPr>
            <w:tcW w:type="dxa" w:w="1051"/>
            <w:tcBorders>
              <w:top w:val="single" w:sz="4" w:space="0" w:color="DEE2E6"/>
              <w:left w:val="single" w:sz="4" w:space="0" w:color="DEE2E6"/>
              <w:bottom w:val="single" w:sz="4" w:space="0" w:color="DEE2E6"/>
              <w:right w:val="single" w:sz="4" w:space="0" w:color="DEE2E6"/>
            </w:tcBorders>
            <w:shd w:val="clear" w:fill="FFE3E3"/>
          </w:tcPr>
          <w:p>
            <w:pPr>
              <w:spacing w:before="40" w:after="40"/>
              <w:jc w:val="center"/>
            </w:pPr>
            <w:r>
              <w:rPr>
                <w:rFonts w:ascii="Calibri" w:hAnsi="Calibri" w:cs="Calibri"/>
                <w:b w:val="0"/>
                <w:i w:val="0"/>
                <w:color w:val="212529"/>
                <w:sz w:val="17"/>
              </w:rPr>
              <w:t>Must</w:t>
            </w:r>
          </w:p>
        </w:tc>
        <w:tc>
          <w:tcPr>
            <w:tcW w:type="dxa" w:w="600"/>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7"/>
              </w:rPr>
              <w:t>3</w:t>
            </w:r>
          </w:p>
        </w:tc>
        <w:tc>
          <w:tcPr>
            <w:tcW w:type="dxa" w:w="3455"/>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7"/>
              </w:rPr>
              <w:t>UC-01 · POST /api/auth/signup</w:t>
            </w:r>
          </w:p>
        </w:tc>
      </w:tr>
      <w:tr>
        <w:tc>
          <w:tcPr>
            <w:tcW w:type="dxa" w:w="75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i w:val="0"/>
                <w:color w:val="212529"/>
                <w:sz w:val="17"/>
              </w:rPr>
              <w:t>US-02</w:t>
            </w:r>
          </w:p>
        </w:tc>
        <w:tc>
          <w:tcPr>
            <w:tcW w:type="dxa" w:w="90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7"/>
              </w:rPr>
              <w:t>P1</w:t>
            </w:r>
          </w:p>
        </w:tc>
        <w:tc>
          <w:tcPr>
            <w:tcW w:type="dxa" w:w="2554"/>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7"/>
              </w:rPr>
              <w:t>Se connecter et rester connecté</w:t>
            </w:r>
          </w:p>
        </w:tc>
        <w:tc>
          <w:tcPr>
            <w:tcW w:type="dxa" w:w="5709"/>
            <w:tcBorders>
              <w:top w:val="single" w:sz="4" w:space="0" w:color="DEE2E6"/>
              <w:left w:val="single" w:sz="4" w:space="0" w:color="DEE2E6"/>
              <w:bottom w:val="single" w:sz="4" w:space="0" w:color="DEE2E6"/>
              <w:right w:val="single" w:sz="4" w:space="0" w:color="DEE2E6"/>
            </w:tcBorders>
            <w:shd w:val="clear" w:fill="F8F9FA"/>
          </w:tcPr>
          <w:p>
            <w:pPr>
              <w:spacing w:before="40" w:after="40"/>
              <w:jc w:val="both"/>
            </w:pPr>
            <w:r>
              <w:rPr>
                <w:rFonts w:ascii="Calibri" w:hAnsi="Calibri" w:cs="Calibri"/>
                <w:b w:val="0"/>
                <w:i w:val="0"/>
                <w:color w:val="212529"/>
                <w:sz w:val="17"/>
              </w:rPr>
              <w:t>Étant donné un membre disposant d'identifiants valides, quand il se connecte, alors un cookie de session opaque httpOnly est posé et la session reste valide 30 minutes glissantes, 8 heures au maximum.</w:t>
            </w:r>
          </w:p>
        </w:tc>
        <w:tc>
          <w:tcPr>
            <w:tcW w:type="dxa" w:w="1051"/>
            <w:tcBorders>
              <w:top w:val="single" w:sz="4" w:space="0" w:color="DEE2E6"/>
              <w:left w:val="single" w:sz="4" w:space="0" w:color="DEE2E6"/>
              <w:bottom w:val="single" w:sz="4" w:space="0" w:color="DEE2E6"/>
              <w:right w:val="single" w:sz="4" w:space="0" w:color="DEE2E6"/>
            </w:tcBorders>
            <w:shd w:val="clear" w:fill="FFE3E3"/>
          </w:tcPr>
          <w:p>
            <w:pPr>
              <w:spacing w:before="40" w:after="40"/>
              <w:jc w:val="center"/>
            </w:pPr>
            <w:r>
              <w:rPr>
                <w:rFonts w:ascii="Calibri" w:hAnsi="Calibri" w:cs="Calibri"/>
                <w:b w:val="0"/>
                <w:i w:val="0"/>
                <w:color w:val="212529"/>
                <w:sz w:val="17"/>
              </w:rPr>
              <w:t>Must</w:t>
            </w:r>
          </w:p>
        </w:tc>
        <w:tc>
          <w:tcPr>
            <w:tcW w:type="dxa" w:w="600"/>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7"/>
              </w:rPr>
              <w:t>5</w:t>
            </w:r>
          </w:p>
        </w:tc>
        <w:tc>
          <w:tcPr>
            <w:tcW w:type="dxa" w:w="3455"/>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7"/>
              </w:rPr>
              <w:t>UC-02 · POST /api/auth/signin</w:t>
            </w:r>
          </w:p>
        </w:tc>
      </w:tr>
      <w:tr>
        <w:tc>
          <w:tcPr>
            <w:tcW w:type="dxa" w:w="75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i w:val="0"/>
                <w:color w:val="212529"/>
                <w:sz w:val="17"/>
              </w:rPr>
              <w:t>US-03</w:t>
            </w:r>
          </w:p>
        </w:tc>
        <w:tc>
          <w:tcPr>
            <w:tcW w:type="dxa" w:w="9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7"/>
              </w:rPr>
              <w:t>P1</w:t>
            </w:r>
          </w:p>
        </w:tc>
        <w:tc>
          <w:tcPr>
            <w:tcW w:type="dxa" w:w="2554"/>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7"/>
              </w:rPr>
              <w:t>Être protégé contre l'énumération de comptes</w:t>
            </w:r>
          </w:p>
        </w:tc>
        <w:tc>
          <w:tcPr>
            <w:tcW w:type="dxa" w:w="5709"/>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7"/>
              </w:rPr>
              <w:t>Étant donné une adresse inconnue, quand une tentative de connexion est faite, alors la réponse et le temps de réponse sont identiques à ceux d'un mot de passe erroné.</w:t>
            </w:r>
          </w:p>
        </w:tc>
        <w:tc>
          <w:tcPr>
            <w:tcW w:type="dxa" w:w="1051"/>
            <w:tcBorders>
              <w:top w:val="single" w:sz="4" w:space="0" w:color="DEE2E6"/>
              <w:left w:val="single" w:sz="4" w:space="0" w:color="DEE2E6"/>
              <w:bottom w:val="single" w:sz="4" w:space="0" w:color="DEE2E6"/>
              <w:right w:val="single" w:sz="4" w:space="0" w:color="DEE2E6"/>
            </w:tcBorders>
            <w:shd w:val="clear" w:fill="FFE3E3"/>
          </w:tcPr>
          <w:p>
            <w:pPr>
              <w:spacing w:before="40" w:after="40"/>
              <w:jc w:val="center"/>
            </w:pPr>
            <w:r>
              <w:rPr>
                <w:rFonts w:ascii="Calibri" w:hAnsi="Calibri" w:cs="Calibri"/>
                <w:b w:val="0"/>
                <w:i w:val="0"/>
                <w:color w:val="212529"/>
                <w:sz w:val="17"/>
              </w:rPr>
              <w:t>Must</w:t>
            </w:r>
          </w:p>
        </w:tc>
        <w:tc>
          <w:tcPr>
            <w:tcW w:type="dxa" w:w="600"/>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7"/>
              </w:rPr>
              <w:t>3</w:t>
            </w:r>
          </w:p>
        </w:tc>
        <w:tc>
          <w:tcPr>
            <w:tcW w:type="dxa" w:w="3455"/>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7"/>
              </w:rPr>
              <w:t>UC-02 · POST /api/auth/signin</w:t>
            </w:r>
          </w:p>
        </w:tc>
      </w:tr>
      <w:tr>
        <w:tc>
          <w:tcPr>
            <w:tcW w:type="dxa" w:w="75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i w:val="0"/>
                <w:color w:val="212529"/>
                <w:sz w:val="17"/>
              </w:rPr>
              <w:t>US-04</w:t>
            </w:r>
          </w:p>
        </w:tc>
        <w:tc>
          <w:tcPr>
            <w:tcW w:type="dxa" w:w="90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7"/>
              </w:rPr>
              <w:t>P1</w:t>
            </w:r>
          </w:p>
        </w:tc>
        <w:tc>
          <w:tcPr>
            <w:tcW w:type="dxa" w:w="2554"/>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7"/>
              </w:rPr>
              <w:t>Téléverser un média sans saturer la mémoire du serveur</w:t>
            </w:r>
          </w:p>
        </w:tc>
        <w:tc>
          <w:tcPr>
            <w:tcW w:type="dxa" w:w="5709"/>
            <w:tcBorders>
              <w:top w:val="single" w:sz="4" w:space="0" w:color="DEE2E6"/>
              <w:left w:val="single" w:sz="4" w:space="0" w:color="DEE2E6"/>
              <w:bottom w:val="single" w:sz="4" w:space="0" w:color="DEE2E6"/>
              <w:right w:val="single" w:sz="4" w:space="0" w:color="DEE2E6"/>
            </w:tcBorders>
            <w:shd w:val="clear" w:fill="F8F9FA"/>
          </w:tcPr>
          <w:p>
            <w:pPr>
              <w:spacing w:before="40" w:after="40"/>
              <w:jc w:val="both"/>
            </w:pPr>
            <w:r>
              <w:rPr>
                <w:rFonts w:ascii="Calibri" w:hAnsi="Calibri" w:cs="Calibri"/>
                <w:b w:val="0"/>
                <w:i w:val="0"/>
                <w:color w:val="212529"/>
                <w:sz w:val="17"/>
              </w:rPr>
              <w:t>Étant donné un membre authentifié, quand il téléverse un fichier de 90 Mo, alors le corps est traité en flux vers le stockage objet et le média est créé avec une visibilité privée.</w:t>
            </w:r>
          </w:p>
        </w:tc>
        <w:tc>
          <w:tcPr>
            <w:tcW w:type="dxa" w:w="1051"/>
            <w:tcBorders>
              <w:top w:val="single" w:sz="4" w:space="0" w:color="DEE2E6"/>
              <w:left w:val="single" w:sz="4" w:space="0" w:color="DEE2E6"/>
              <w:bottom w:val="single" w:sz="4" w:space="0" w:color="DEE2E6"/>
              <w:right w:val="single" w:sz="4" w:space="0" w:color="DEE2E6"/>
            </w:tcBorders>
            <w:shd w:val="clear" w:fill="FFE3E3"/>
          </w:tcPr>
          <w:p>
            <w:pPr>
              <w:spacing w:before="40" w:after="40"/>
              <w:jc w:val="center"/>
            </w:pPr>
            <w:r>
              <w:rPr>
                <w:rFonts w:ascii="Calibri" w:hAnsi="Calibri" w:cs="Calibri"/>
                <w:b w:val="0"/>
                <w:i w:val="0"/>
                <w:color w:val="212529"/>
                <w:sz w:val="17"/>
              </w:rPr>
              <w:t>Must</w:t>
            </w:r>
          </w:p>
        </w:tc>
        <w:tc>
          <w:tcPr>
            <w:tcW w:type="dxa" w:w="600"/>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7"/>
              </w:rPr>
              <w:t>8</w:t>
            </w:r>
          </w:p>
        </w:tc>
        <w:tc>
          <w:tcPr>
            <w:tcW w:type="dxa" w:w="3455"/>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7"/>
              </w:rPr>
              <w:t>UC-05 · POST /api/library/uploads</w:t>
            </w:r>
          </w:p>
        </w:tc>
      </w:tr>
      <w:tr>
        <w:tc>
          <w:tcPr>
            <w:tcW w:type="dxa" w:w="75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i w:val="0"/>
                <w:color w:val="212529"/>
                <w:sz w:val="17"/>
              </w:rPr>
              <w:t>US-05</w:t>
            </w:r>
          </w:p>
        </w:tc>
        <w:tc>
          <w:tcPr>
            <w:tcW w:type="dxa" w:w="9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7"/>
              </w:rPr>
              <w:t>P1</w:t>
            </w:r>
          </w:p>
        </w:tc>
        <w:tc>
          <w:tcPr>
            <w:tcW w:type="dxa" w:w="2554"/>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7"/>
              </w:rPr>
              <w:t>Voir un envoi trop volumineux refusé proprement</w:t>
            </w:r>
          </w:p>
        </w:tc>
        <w:tc>
          <w:tcPr>
            <w:tcW w:type="dxa" w:w="5709"/>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7"/>
              </w:rPr>
              <w:t>Étant donné une limite de 8 Mo pour une image, quand un fichier de 12 Mo est envoyé, alors le flux est rompu, l'objet partiellement écrit est supprimé et le code FILE_TOO_LARGE est retourné.</w:t>
            </w:r>
          </w:p>
        </w:tc>
        <w:tc>
          <w:tcPr>
            <w:tcW w:type="dxa" w:w="1051"/>
            <w:tcBorders>
              <w:top w:val="single" w:sz="4" w:space="0" w:color="DEE2E6"/>
              <w:left w:val="single" w:sz="4" w:space="0" w:color="DEE2E6"/>
              <w:bottom w:val="single" w:sz="4" w:space="0" w:color="DEE2E6"/>
              <w:right w:val="single" w:sz="4" w:space="0" w:color="DEE2E6"/>
            </w:tcBorders>
            <w:shd w:val="clear" w:fill="FFE3E3"/>
          </w:tcPr>
          <w:p>
            <w:pPr>
              <w:spacing w:before="40" w:after="40"/>
              <w:jc w:val="center"/>
            </w:pPr>
            <w:r>
              <w:rPr>
                <w:rFonts w:ascii="Calibri" w:hAnsi="Calibri" w:cs="Calibri"/>
                <w:b w:val="0"/>
                <w:i w:val="0"/>
                <w:color w:val="212529"/>
                <w:sz w:val="17"/>
              </w:rPr>
              <w:t>Must</w:t>
            </w:r>
          </w:p>
        </w:tc>
        <w:tc>
          <w:tcPr>
            <w:tcW w:type="dxa" w:w="600"/>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7"/>
              </w:rPr>
              <w:t>5</w:t>
            </w:r>
          </w:p>
        </w:tc>
        <w:tc>
          <w:tcPr>
            <w:tcW w:type="dxa" w:w="3455"/>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7"/>
              </w:rPr>
              <w:t>UC-05 · POST /api/library/uploads</w:t>
            </w:r>
          </w:p>
        </w:tc>
      </w:tr>
      <w:tr>
        <w:tc>
          <w:tcPr>
            <w:tcW w:type="dxa" w:w="75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i w:val="0"/>
                <w:color w:val="212529"/>
                <w:sz w:val="17"/>
              </w:rPr>
              <w:t>US-06</w:t>
            </w:r>
          </w:p>
        </w:tc>
        <w:tc>
          <w:tcPr>
            <w:tcW w:type="dxa" w:w="90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7"/>
              </w:rPr>
              <w:t>P1</w:t>
            </w:r>
          </w:p>
        </w:tc>
        <w:tc>
          <w:tcPr>
            <w:tcW w:type="dxa" w:w="2554"/>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7"/>
              </w:rPr>
              <w:t>Retrouver sa bibliothèque dans l'ordre chronologique</w:t>
            </w:r>
          </w:p>
        </w:tc>
        <w:tc>
          <w:tcPr>
            <w:tcW w:type="dxa" w:w="5709"/>
            <w:tcBorders>
              <w:top w:val="single" w:sz="4" w:space="0" w:color="DEE2E6"/>
              <w:left w:val="single" w:sz="4" w:space="0" w:color="DEE2E6"/>
              <w:bottom w:val="single" w:sz="4" w:space="0" w:color="DEE2E6"/>
              <w:right w:val="single" w:sz="4" w:space="0" w:color="DEE2E6"/>
            </w:tcBorders>
            <w:shd w:val="clear" w:fill="F8F9FA"/>
          </w:tcPr>
          <w:p>
            <w:pPr>
              <w:spacing w:before="40" w:after="40"/>
              <w:jc w:val="both"/>
            </w:pPr>
            <w:r>
              <w:rPr>
                <w:rFonts w:ascii="Calibri" w:hAnsi="Calibri" w:cs="Calibri"/>
                <w:b w:val="0"/>
                <w:i w:val="0"/>
                <w:color w:val="212529"/>
                <w:sz w:val="17"/>
              </w:rPr>
              <w:t>Étant donné un membre possédant 4 000 médias, quand il ouvre sa bibliothèque, alors les éléments sont paginés par curseur et triés par date de prise de vue décroissante.</w:t>
            </w:r>
          </w:p>
        </w:tc>
        <w:tc>
          <w:tcPr>
            <w:tcW w:type="dxa" w:w="1051"/>
            <w:tcBorders>
              <w:top w:val="single" w:sz="4" w:space="0" w:color="DEE2E6"/>
              <w:left w:val="single" w:sz="4" w:space="0" w:color="DEE2E6"/>
              <w:bottom w:val="single" w:sz="4" w:space="0" w:color="DEE2E6"/>
              <w:right w:val="single" w:sz="4" w:space="0" w:color="DEE2E6"/>
            </w:tcBorders>
            <w:shd w:val="clear" w:fill="FFE3E3"/>
          </w:tcPr>
          <w:p>
            <w:pPr>
              <w:spacing w:before="40" w:after="40"/>
              <w:jc w:val="center"/>
            </w:pPr>
            <w:r>
              <w:rPr>
                <w:rFonts w:ascii="Calibri" w:hAnsi="Calibri" w:cs="Calibri"/>
                <w:b w:val="0"/>
                <w:i w:val="0"/>
                <w:color w:val="212529"/>
                <w:sz w:val="17"/>
              </w:rPr>
              <w:t>Must</w:t>
            </w:r>
          </w:p>
        </w:tc>
        <w:tc>
          <w:tcPr>
            <w:tcW w:type="dxa" w:w="600"/>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7"/>
              </w:rPr>
              <w:t>5</w:t>
            </w:r>
          </w:p>
        </w:tc>
        <w:tc>
          <w:tcPr>
            <w:tcW w:type="dxa" w:w="3455"/>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7"/>
              </w:rPr>
              <w:t>UC-06 · GET /api/library</w:t>
            </w:r>
          </w:p>
        </w:tc>
      </w:tr>
      <w:tr>
        <w:tc>
          <w:tcPr>
            <w:tcW w:type="dxa" w:w="75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i w:val="0"/>
                <w:color w:val="212529"/>
                <w:sz w:val="17"/>
              </w:rPr>
              <w:t>US-07</w:t>
            </w:r>
          </w:p>
        </w:tc>
        <w:tc>
          <w:tcPr>
            <w:tcW w:type="dxa" w:w="9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7"/>
              </w:rPr>
              <w:t>P1</w:t>
            </w:r>
          </w:p>
        </w:tc>
        <w:tc>
          <w:tcPr>
            <w:tcW w:type="dxa" w:w="2554"/>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7"/>
              </w:rPr>
              <w:t>Constituer un album et en définir la couverture</w:t>
            </w:r>
          </w:p>
        </w:tc>
        <w:tc>
          <w:tcPr>
            <w:tcW w:type="dxa" w:w="5709"/>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7"/>
              </w:rPr>
              <w:t>Étant donné un album existant, quand un média y est placé puis désigné comme couverture, alors la position est enregistrée et la couverture s'affiche sur la vignette de l'album.</w:t>
            </w:r>
          </w:p>
        </w:tc>
        <w:tc>
          <w:tcPr>
            <w:tcW w:type="dxa" w:w="1051"/>
            <w:tcBorders>
              <w:top w:val="single" w:sz="4" w:space="0" w:color="DEE2E6"/>
              <w:left w:val="single" w:sz="4" w:space="0" w:color="DEE2E6"/>
              <w:bottom w:val="single" w:sz="4" w:space="0" w:color="DEE2E6"/>
              <w:right w:val="single" w:sz="4" w:space="0" w:color="DEE2E6"/>
            </w:tcBorders>
            <w:shd w:val="clear" w:fill="FFF3BF"/>
          </w:tcPr>
          <w:p>
            <w:pPr>
              <w:spacing w:before="40" w:after="40"/>
              <w:jc w:val="center"/>
            </w:pPr>
            <w:r>
              <w:rPr>
                <w:rFonts w:ascii="Calibri" w:hAnsi="Calibri" w:cs="Calibri"/>
                <w:b w:val="0"/>
                <w:i w:val="0"/>
                <w:color w:val="212529"/>
                <w:sz w:val="17"/>
              </w:rPr>
              <w:t>Should</w:t>
            </w:r>
          </w:p>
        </w:tc>
        <w:tc>
          <w:tcPr>
            <w:tcW w:type="dxa" w:w="600"/>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7"/>
              </w:rPr>
              <w:t>5</w:t>
            </w:r>
          </w:p>
        </w:tc>
        <w:tc>
          <w:tcPr>
            <w:tcW w:type="dxa" w:w="3455"/>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7"/>
              </w:rPr>
              <w:t>UC-07 à UC-09 · POST /api/library/albums</w:t>
            </w:r>
          </w:p>
        </w:tc>
      </w:tr>
      <w:tr>
        <w:tc>
          <w:tcPr>
            <w:tcW w:type="dxa" w:w="75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i w:val="0"/>
                <w:color w:val="212529"/>
                <w:sz w:val="17"/>
              </w:rPr>
              <w:t>US-08</w:t>
            </w:r>
          </w:p>
        </w:tc>
        <w:tc>
          <w:tcPr>
            <w:tcW w:type="dxa" w:w="90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7"/>
              </w:rPr>
              <w:t>P1</w:t>
            </w:r>
          </w:p>
        </w:tc>
        <w:tc>
          <w:tcPr>
            <w:tcW w:type="dxa" w:w="2554"/>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7"/>
              </w:rPr>
              <w:t>Publier plusieurs médias en une seule action</w:t>
            </w:r>
          </w:p>
        </w:tc>
        <w:tc>
          <w:tcPr>
            <w:tcW w:type="dxa" w:w="5709"/>
            <w:tcBorders>
              <w:top w:val="single" w:sz="4" w:space="0" w:color="DEE2E6"/>
              <w:left w:val="single" w:sz="4" w:space="0" w:color="DEE2E6"/>
              <w:bottom w:val="single" w:sz="4" w:space="0" w:color="DEE2E6"/>
              <w:right w:val="single" w:sz="4" w:space="0" w:color="DEE2E6"/>
            </w:tcBorders>
            <w:shd w:val="clear" w:fill="F8F9FA"/>
          </w:tcPr>
          <w:p>
            <w:pPr>
              <w:spacing w:before="40" w:after="40"/>
              <w:jc w:val="both"/>
            </w:pPr>
            <w:r>
              <w:rPr>
                <w:rFonts w:ascii="Calibri" w:hAnsi="Calibri" w:cs="Calibri"/>
                <w:b w:val="0"/>
                <w:i w:val="0"/>
                <w:color w:val="212529"/>
                <w:sz w:val="17"/>
              </w:rPr>
              <w:t>Étant donné une sélection de six médias privés, quand la publication est demandée, alors chaque média bascule à l'état publié, la réponse liste les succès et qualifie chaque échec par un code.</w:t>
            </w:r>
          </w:p>
        </w:tc>
        <w:tc>
          <w:tcPr>
            <w:tcW w:type="dxa" w:w="1051"/>
            <w:tcBorders>
              <w:top w:val="single" w:sz="4" w:space="0" w:color="DEE2E6"/>
              <w:left w:val="single" w:sz="4" w:space="0" w:color="DEE2E6"/>
              <w:bottom w:val="single" w:sz="4" w:space="0" w:color="DEE2E6"/>
              <w:right w:val="single" w:sz="4" w:space="0" w:color="DEE2E6"/>
            </w:tcBorders>
            <w:shd w:val="clear" w:fill="FFE3E3"/>
          </w:tcPr>
          <w:p>
            <w:pPr>
              <w:spacing w:before="40" w:after="40"/>
              <w:jc w:val="center"/>
            </w:pPr>
            <w:r>
              <w:rPr>
                <w:rFonts w:ascii="Calibri" w:hAnsi="Calibri" w:cs="Calibri"/>
                <w:b w:val="0"/>
                <w:i w:val="0"/>
                <w:color w:val="212529"/>
                <w:sz w:val="17"/>
              </w:rPr>
              <w:t>Must</w:t>
            </w:r>
          </w:p>
        </w:tc>
        <w:tc>
          <w:tcPr>
            <w:tcW w:type="dxa" w:w="600"/>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7"/>
              </w:rPr>
              <w:t>8</w:t>
            </w:r>
          </w:p>
        </w:tc>
        <w:tc>
          <w:tcPr>
            <w:tcW w:type="dxa" w:w="3455"/>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7"/>
              </w:rPr>
              <w:t>UC-11 · PATCH /api/library/publish</w:t>
            </w:r>
          </w:p>
        </w:tc>
      </w:tr>
      <w:tr>
        <w:tc>
          <w:tcPr>
            <w:tcW w:type="dxa" w:w="75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i w:val="0"/>
                <w:color w:val="212529"/>
                <w:sz w:val="17"/>
              </w:rPr>
              <w:t>US-09</w:t>
            </w:r>
          </w:p>
        </w:tc>
        <w:tc>
          <w:tcPr>
            <w:tcW w:type="dxa" w:w="9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7"/>
              </w:rPr>
              <w:t>P1</w:t>
            </w:r>
          </w:p>
        </w:tc>
        <w:tc>
          <w:tcPr>
            <w:tcW w:type="dxa" w:w="2554"/>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7"/>
              </w:rPr>
              <w:t>Annuler une publication sans perdre le média</w:t>
            </w:r>
          </w:p>
        </w:tc>
        <w:tc>
          <w:tcPr>
            <w:tcW w:type="dxa" w:w="5709"/>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7"/>
              </w:rPr>
              <w:t>Étant donné deux médias publiés, quand la dépublication est demandée, alors ils disparaissent du profil public et restent présents dans la bibliothèque privée.</w:t>
            </w:r>
          </w:p>
        </w:tc>
        <w:tc>
          <w:tcPr>
            <w:tcW w:type="dxa" w:w="1051"/>
            <w:tcBorders>
              <w:top w:val="single" w:sz="4" w:space="0" w:color="DEE2E6"/>
              <w:left w:val="single" w:sz="4" w:space="0" w:color="DEE2E6"/>
              <w:bottom w:val="single" w:sz="4" w:space="0" w:color="DEE2E6"/>
              <w:right w:val="single" w:sz="4" w:space="0" w:color="DEE2E6"/>
            </w:tcBorders>
            <w:shd w:val="clear" w:fill="FFE3E3"/>
          </w:tcPr>
          <w:p>
            <w:pPr>
              <w:spacing w:before="40" w:after="40"/>
              <w:jc w:val="center"/>
            </w:pPr>
            <w:r>
              <w:rPr>
                <w:rFonts w:ascii="Calibri" w:hAnsi="Calibri" w:cs="Calibri"/>
                <w:b w:val="0"/>
                <w:i w:val="0"/>
                <w:color w:val="212529"/>
                <w:sz w:val="17"/>
              </w:rPr>
              <w:t>Must</w:t>
            </w:r>
          </w:p>
        </w:tc>
        <w:tc>
          <w:tcPr>
            <w:tcW w:type="dxa" w:w="600"/>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7"/>
              </w:rPr>
              <w:t>5</w:t>
            </w:r>
          </w:p>
        </w:tc>
        <w:tc>
          <w:tcPr>
            <w:tcW w:type="dxa" w:w="3455"/>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7"/>
              </w:rPr>
              <w:t>UC-12 · PATCH /api/library/unpublish</w:t>
            </w:r>
          </w:p>
        </w:tc>
      </w:tr>
      <w:tr>
        <w:tc>
          <w:tcPr>
            <w:tcW w:type="dxa" w:w="75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i w:val="0"/>
                <w:color w:val="212529"/>
                <w:sz w:val="17"/>
              </w:rPr>
              <w:t>US-10</w:t>
            </w:r>
          </w:p>
        </w:tc>
        <w:tc>
          <w:tcPr>
            <w:tcW w:type="dxa" w:w="90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7"/>
              </w:rPr>
              <w:t>P1</w:t>
            </w:r>
          </w:p>
        </w:tc>
        <w:tc>
          <w:tcPr>
            <w:tcW w:type="dxa" w:w="2554"/>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7"/>
              </w:rPr>
              <w:t>Supprimer définitivement un média</w:t>
            </w:r>
          </w:p>
        </w:tc>
        <w:tc>
          <w:tcPr>
            <w:tcW w:type="dxa" w:w="5709"/>
            <w:tcBorders>
              <w:top w:val="single" w:sz="4" w:space="0" w:color="DEE2E6"/>
              <w:left w:val="single" w:sz="4" w:space="0" w:color="DEE2E6"/>
              <w:bottom w:val="single" w:sz="4" w:space="0" w:color="DEE2E6"/>
              <w:right w:val="single" w:sz="4" w:space="0" w:color="DEE2E6"/>
            </w:tcBorders>
            <w:shd w:val="clear" w:fill="F8F9FA"/>
          </w:tcPr>
          <w:p>
            <w:pPr>
              <w:spacing w:before="40" w:after="40"/>
              <w:jc w:val="both"/>
            </w:pPr>
            <w:r>
              <w:rPr>
                <w:rFonts w:ascii="Calibri" w:hAnsi="Calibri" w:cs="Calibri"/>
                <w:b w:val="0"/>
                <w:i w:val="0"/>
                <w:color w:val="212529"/>
                <w:sz w:val="17"/>
              </w:rPr>
              <w:t>Étant donné un média publié, quand sa suppression est confirmée, alors la ligne est supprimée, l'objet est effacé du stockage et le cache du CDN est invalidé.</w:t>
            </w:r>
          </w:p>
        </w:tc>
        <w:tc>
          <w:tcPr>
            <w:tcW w:type="dxa" w:w="1051"/>
            <w:tcBorders>
              <w:top w:val="single" w:sz="4" w:space="0" w:color="DEE2E6"/>
              <w:left w:val="single" w:sz="4" w:space="0" w:color="DEE2E6"/>
              <w:bottom w:val="single" w:sz="4" w:space="0" w:color="DEE2E6"/>
              <w:right w:val="single" w:sz="4" w:space="0" w:color="DEE2E6"/>
            </w:tcBorders>
            <w:shd w:val="clear" w:fill="FFE3E3"/>
          </w:tcPr>
          <w:p>
            <w:pPr>
              <w:spacing w:before="40" w:after="40"/>
              <w:jc w:val="center"/>
            </w:pPr>
            <w:r>
              <w:rPr>
                <w:rFonts w:ascii="Calibri" w:hAnsi="Calibri" w:cs="Calibri"/>
                <w:b w:val="0"/>
                <w:i w:val="0"/>
                <w:color w:val="212529"/>
                <w:sz w:val="17"/>
              </w:rPr>
              <w:t>Must</w:t>
            </w:r>
          </w:p>
        </w:tc>
        <w:tc>
          <w:tcPr>
            <w:tcW w:type="dxa" w:w="600"/>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7"/>
              </w:rPr>
              <w:t>5</w:t>
            </w:r>
          </w:p>
        </w:tc>
        <w:tc>
          <w:tcPr>
            <w:tcW w:type="dxa" w:w="3455"/>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7"/>
              </w:rPr>
              <w:t>UC-13 · DELETE /api/library/media</w:t>
            </w:r>
          </w:p>
        </w:tc>
      </w:tr>
      <w:tr>
        <w:tc>
          <w:tcPr>
            <w:tcW w:type="dxa" w:w="75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i w:val="0"/>
                <w:color w:val="212529"/>
                <w:sz w:val="17"/>
              </w:rPr>
              <w:t>US-11</w:t>
            </w:r>
          </w:p>
        </w:tc>
        <w:tc>
          <w:tcPr>
            <w:tcW w:type="dxa" w:w="9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7"/>
              </w:rPr>
              <w:t>P1</w:t>
            </w:r>
          </w:p>
        </w:tc>
        <w:tc>
          <w:tcPr>
            <w:tcW w:type="dxa" w:w="2554"/>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7"/>
              </w:rPr>
              <w:t>Ne jamais publier un avatar par mégarde</w:t>
            </w:r>
          </w:p>
        </w:tc>
        <w:tc>
          <w:tcPr>
            <w:tcW w:type="dxa" w:w="5709"/>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7"/>
              </w:rPr>
              <w:t>Étant donné un média portant le rôle avatar, quand sa publication est demandée, alors elle est refusée avec le code AVATAR_NOT_ALLOWED.</w:t>
            </w:r>
          </w:p>
        </w:tc>
        <w:tc>
          <w:tcPr>
            <w:tcW w:type="dxa" w:w="1051"/>
            <w:tcBorders>
              <w:top w:val="single" w:sz="4" w:space="0" w:color="DEE2E6"/>
              <w:left w:val="single" w:sz="4" w:space="0" w:color="DEE2E6"/>
              <w:bottom w:val="single" w:sz="4" w:space="0" w:color="DEE2E6"/>
              <w:right w:val="single" w:sz="4" w:space="0" w:color="DEE2E6"/>
            </w:tcBorders>
            <w:shd w:val="clear" w:fill="FFE3E3"/>
          </w:tcPr>
          <w:p>
            <w:pPr>
              <w:spacing w:before="40" w:after="40"/>
              <w:jc w:val="center"/>
            </w:pPr>
            <w:r>
              <w:rPr>
                <w:rFonts w:ascii="Calibri" w:hAnsi="Calibri" w:cs="Calibri"/>
                <w:b w:val="0"/>
                <w:i w:val="0"/>
                <w:color w:val="212529"/>
                <w:sz w:val="17"/>
              </w:rPr>
              <w:t>Must</w:t>
            </w:r>
          </w:p>
        </w:tc>
        <w:tc>
          <w:tcPr>
            <w:tcW w:type="dxa" w:w="600"/>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7"/>
              </w:rPr>
              <w:t>2</w:t>
            </w:r>
          </w:p>
        </w:tc>
        <w:tc>
          <w:tcPr>
            <w:tcW w:type="dxa" w:w="3455"/>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7"/>
              </w:rPr>
              <w:t>UC-11 · PATCH /api/library/publish</w:t>
            </w:r>
          </w:p>
        </w:tc>
      </w:tr>
      <w:tr>
        <w:tc>
          <w:tcPr>
            <w:tcW w:type="dxa" w:w="75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i w:val="0"/>
                <w:color w:val="212529"/>
                <w:sz w:val="17"/>
              </w:rPr>
              <w:t>US-12</w:t>
            </w:r>
          </w:p>
        </w:tc>
        <w:tc>
          <w:tcPr>
            <w:tcW w:type="dxa" w:w="90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7"/>
              </w:rPr>
              <w:t>P1</w:t>
            </w:r>
          </w:p>
        </w:tc>
        <w:tc>
          <w:tcPr>
            <w:tcW w:type="dxa" w:w="2554"/>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7"/>
              </w:rPr>
              <w:t>Modifier sa biographie et son avatar</w:t>
            </w:r>
          </w:p>
        </w:tc>
        <w:tc>
          <w:tcPr>
            <w:tcW w:type="dxa" w:w="5709"/>
            <w:tcBorders>
              <w:top w:val="single" w:sz="4" w:space="0" w:color="DEE2E6"/>
              <w:left w:val="single" w:sz="4" w:space="0" w:color="DEE2E6"/>
              <w:bottom w:val="single" w:sz="4" w:space="0" w:color="DEE2E6"/>
              <w:right w:val="single" w:sz="4" w:space="0" w:color="DEE2E6"/>
            </w:tcBorders>
            <w:shd w:val="clear" w:fill="F8F9FA"/>
          </w:tcPr>
          <w:p>
            <w:pPr>
              <w:spacing w:before="40" w:after="40"/>
              <w:jc w:val="both"/>
            </w:pPr>
            <w:r>
              <w:rPr>
                <w:rFonts w:ascii="Calibri" w:hAnsi="Calibri" w:cs="Calibri"/>
                <w:b w:val="0"/>
                <w:i w:val="0"/>
                <w:color w:val="212529"/>
                <w:sz w:val="17"/>
              </w:rPr>
              <w:t>Étant donné un membre authentifié, quand il modifie sa biographie de 160 caractères au plus et remplace son avatar, alors le profil public reflète le changement à la publication suivante.</w:t>
            </w:r>
          </w:p>
        </w:tc>
        <w:tc>
          <w:tcPr>
            <w:tcW w:type="dxa" w:w="1051"/>
            <w:tcBorders>
              <w:top w:val="single" w:sz="4" w:space="0" w:color="DEE2E6"/>
              <w:left w:val="single" w:sz="4" w:space="0" w:color="DEE2E6"/>
              <w:bottom w:val="single" w:sz="4" w:space="0" w:color="DEE2E6"/>
              <w:right w:val="single" w:sz="4" w:space="0" w:color="DEE2E6"/>
            </w:tcBorders>
            <w:shd w:val="clear" w:fill="FFF3BF"/>
          </w:tcPr>
          <w:p>
            <w:pPr>
              <w:spacing w:before="40" w:after="40"/>
              <w:jc w:val="center"/>
            </w:pPr>
            <w:r>
              <w:rPr>
                <w:rFonts w:ascii="Calibri" w:hAnsi="Calibri" w:cs="Calibri"/>
                <w:b w:val="0"/>
                <w:i w:val="0"/>
                <w:color w:val="212529"/>
                <w:sz w:val="17"/>
              </w:rPr>
              <w:t>Should</w:t>
            </w:r>
          </w:p>
        </w:tc>
        <w:tc>
          <w:tcPr>
            <w:tcW w:type="dxa" w:w="600"/>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7"/>
              </w:rPr>
              <w:t>3</w:t>
            </w:r>
          </w:p>
        </w:tc>
        <w:tc>
          <w:tcPr>
            <w:tcW w:type="dxa" w:w="3455"/>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7"/>
              </w:rPr>
              <w:t>UC-15 et UC-16 · PATCH /api/profile</w:t>
            </w:r>
          </w:p>
        </w:tc>
      </w:tr>
      <w:tr>
        <w:tc>
          <w:tcPr>
            <w:tcW w:type="dxa" w:w="75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i w:val="0"/>
                <w:color w:val="212529"/>
                <w:sz w:val="17"/>
              </w:rPr>
              <w:t>US-13</w:t>
            </w:r>
          </w:p>
        </w:tc>
        <w:tc>
          <w:tcPr>
            <w:tcW w:type="dxa" w:w="9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7"/>
              </w:rPr>
              <w:t>P1</w:t>
            </w:r>
          </w:p>
        </w:tc>
        <w:tc>
          <w:tcPr>
            <w:tcW w:type="dxa" w:w="2554"/>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7"/>
              </w:rPr>
              <w:t>Changer son mot de passe et invalider les autres sessions</w:t>
            </w:r>
          </w:p>
        </w:tc>
        <w:tc>
          <w:tcPr>
            <w:tcW w:type="dxa" w:w="5709"/>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7"/>
              </w:rPr>
              <w:t>Étant donné un membre connecté sur deux navigateurs, quand il change son mot de passe, alors la version de jeton est incrémentée et toutes les sessions existantes sont invalidées.</w:t>
            </w:r>
          </w:p>
        </w:tc>
        <w:tc>
          <w:tcPr>
            <w:tcW w:type="dxa" w:w="1051"/>
            <w:tcBorders>
              <w:top w:val="single" w:sz="4" w:space="0" w:color="DEE2E6"/>
              <w:left w:val="single" w:sz="4" w:space="0" w:color="DEE2E6"/>
              <w:bottom w:val="single" w:sz="4" w:space="0" w:color="DEE2E6"/>
              <w:right w:val="single" w:sz="4" w:space="0" w:color="DEE2E6"/>
            </w:tcBorders>
            <w:shd w:val="clear" w:fill="FFE3E3"/>
          </w:tcPr>
          <w:p>
            <w:pPr>
              <w:spacing w:before="40" w:after="40"/>
              <w:jc w:val="center"/>
            </w:pPr>
            <w:r>
              <w:rPr>
                <w:rFonts w:ascii="Calibri" w:hAnsi="Calibri" w:cs="Calibri"/>
                <w:b w:val="0"/>
                <w:i w:val="0"/>
                <w:color w:val="212529"/>
                <w:sz w:val="17"/>
              </w:rPr>
              <w:t>Must</w:t>
            </w:r>
          </w:p>
        </w:tc>
        <w:tc>
          <w:tcPr>
            <w:tcW w:type="dxa" w:w="600"/>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7"/>
              </w:rPr>
              <w:t>5</w:t>
            </w:r>
          </w:p>
        </w:tc>
        <w:tc>
          <w:tcPr>
            <w:tcW w:type="dxa" w:w="3455"/>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7"/>
              </w:rPr>
              <w:t>UC-21 · PATCH /api/settings/password</w:t>
            </w:r>
          </w:p>
        </w:tc>
      </w:tr>
      <w:tr>
        <w:tc>
          <w:tcPr>
            <w:tcW w:type="dxa" w:w="75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i w:val="0"/>
                <w:color w:val="212529"/>
                <w:sz w:val="17"/>
              </w:rPr>
              <w:t>US-14</w:t>
            </w:r>
          </w:p>
        </w:tc>
        <w:tc>
          <w:tcPr>
            <w:tcW w:type="dxa" w:w="90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7"/>
              </w:rPr>
              <w:t>P1</w:t>
            </w:r>
          </w:p>
        </w:tc>
        <w:tc>
          <w:tcPr>
            <w:tcW w:type="dxa" w:w="2554"/>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7"/>
              </w:rPr>
              <w:t>Supprimer son compte et toutes ses données</w:t>
            </w:r>
          </w:p>
        </w:tc>
        <w:tc>
          <w:tcPr>
            <w:tcW w:type="dxa" w:w="5709"/>
            <w:tcBorders>
              <w:top w:val="single" w:sz="4" w:space="0" w:color="DEE2E6"/>
              <w:left w:val="single" w:sz="4" w:space="0" w:color="DEE2E6"/>
              <w:bottom w:val="single" w:sz="4" w:space="0" w:color="DEE2E6"/>
              <w:right w:val="single" w:sz="4" w:space="0" w:color="DEE2E6"/>
            </w:tcBorders>
            <w:shd w:val="clear" w:fill="F8F9FA"/>
          </w:tcPr>
          <w:p>
            <w:pPr>
              <w:spacing w:before="40" w:after="40"/>
              <w:jc w:val="both"/>
            </w:pPr>
            <w:r>
              <w:rPr>
                <w:rFonts w:ascii="Calibri" w:hAnsi="Calibri" w:cs="Calibri"/>
                <w:b w:val="0"/>
                <w:i w:val="0"/>
                <w:color w:val="212529"/>
                <w:sz w:val="17"/>
              </w:rPr>
              <w:t>Étant donné un membre possédant médias, albums et abonnements, quand il confirme la suppression de son compte, alors la suppression en cascade efface les lignes liées et les objets du stockage.</w:t>
            </w:r>
          </w:p>
        </w:tc>
        <w:tc>
          <w:tcPr>
            <w:tcW w:type="dxa" w:w="1051"/>
            <w:tcBorders>
              <w:top w:val="single" w:sz="4" w:space="0" w:color="DEE2E6"/>
              <w:left w:val="single" w:sz="4" w:space="0" w:color="DEE2E6"/>
              <w:bottom w:val="single" w:sz="4" w:space="0" w:color="DEE2E6"/>
              <w:right w:val="single" w:sz="4" w:space="0" w:color="DEE2E6"/>
            </w:tcBorders>
            <w:shd w:val="clear" w:fill="FFE3E3"/>
          </w:tcPr>
          <w:p>
            <w:pPr>
              <w:spacing w:before="40" w:after="40"/>
              <w:jc w:val="center"/>
            </w:pPr>
            <w:r>
              <w:rPr>
                <w:rFonts w:ascii="Calibri" w:hAnsi="Calibri" w:cs="Calibri"/>
                <w:b w:val="0"/>
                <w:i w:val="0"/>
                <w:color w:val="212529"/>
                <w:sz w:val="17"/>
              </w:rPr>
              <w:t>Must</w:t>
            </w:r>
          </w:p>
        </w:tc>
        <w:tc>
          <w:tcPr>
            <w:tcW w:type="dxa" w:w="600"/>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7"/>
              </w:rPr>
              <w:t>8</w:t>
            </w:r>
          </w:p>
        </w:tc>
        <w:tc>
          <w:tcPr>
            <w:tcW w:type="dxa" w:w="3455"/>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7"/>
              </w:rPr>
              <w:t>UC-23 · DELETE /api/settings/account</w:t>
            </w:r>
          </w:p>
        </w:tc>
      </w:tr>
      <w:tr>
        <w:tc>
          <w:tcPr>
            <w:tcW w:type="dxa" w:w="75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i w:val="0"/>
                <w:color w:val="212529"/>
                <w:sz w:val="17"/>
              </w:rPr>
              <w:t>US-15</w:t>
            </w:r>
          </w:p>
        </w:tc>
        <w:tc>
          <w:tcPr>
            <w:tcW w:type="dxa" w:w="9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7"/>
              </w:rPr>
              <w:t>P2</w:t>
            </w:r>
          </w:p>
        </w:tc>
        <w:tc>
          <w:tcPr>
            <w:tcW w:type="dxa" w:w="2554"/>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7"/>
              </w:rPr>
              <w:t>Consulter un profil public sans compte</w:t>
            </w:r>
          </w:p>
        </w:tc>
        <w:tc>
          <w:tcPr>
            <w:tcW w:type="dxa" w:w="5709"/>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7"/>
              </w:rPr>
              <w:t>Étant donné un visiteur non authentifié, quand il ouvre l'adresse d'un profil, alors la galerie publiée s'affiche sans inscription ni exécution serveur.</w:t>
            </w:r>
          </w:p>
        </w:tc>
        <w:tc>
          <w:tcPr>
            <w:tcW w:type="dxa" w:w="1051"/>
            <w:tcBorders>
              <w:top w:val="single" w:sz="4" w:space="0" w:color="DEE2E6"/>
              <w:left w:val="single" w:sz="4" w:space="0" w:color="DEE2E6"/>
              <w:bottom w:val="single" w:sz="4" w:space="0" w:color="DEE2E6"/>
              <w:right w:val="single" w:sz="4" w:space="0" w:color="DEE2E6"/>
            </w:tcBorders>
            <w:shd w:val="clear" w:fill="FFE3E3"/>
          </w:tcPr>
          <w:p>
            <w:pPr>
              <w:spacing w:before="40" w:after="40"/>
              <w:jc w:val="center"/>
            </w:pPr>
            <w:r>
              <w:rPr>
                <w:rFonts w:ascii="Calibri" w:hAnsi="Calibri" w:cs="Calibri"/>
                <w:b w:val="0"/>
                <w:i w:val="0"/>
                <w:color w:val="212529"/>
                <w:sz w:val="17"/>
              </w:rPr>
              <w:t>Must</w:t>
            </w:r>
          </w:p>
        </w:tc>
        <w:tc>
          <w:tcPr>
            <w:tcW w:type="dxa" w:w="600"/>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7"/>
              </w:rPr>
              <w:t>8</w:t>
            </w:r>
          </w:p>
        </w:tc>
        <w:tc>
          <w:tcPr>
            <w:tcW w:type="dxa" w:w="3455"/>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7"/>
              </w:rPr>
              <w:t>UC-19 · GET /api/public/{username}</w:t>
            </w:r>
          </w:p>
        </w:tc>
      </w:tr>
      <w:tr>
        <w:tc>
          <w:tcPr>
            <w:tcW w:type="dxa" w:w="75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i w:val="0"/>
                <w:color w:val="212529"/>
                <w:sz w:val="17"/>
              </w:rPr>
              <w:t>US-16</w:t>
            </w:r>
          </w:p>
        </w:tc>
        <w:tc>
          <w:tcPr>
            <w:tcW w:type="dxa" w:w="90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7"/>
              </w:rPr>
              <w:t>P2</w:t>
            </w:r>
          </w:p>
        </w:tc>
        <w:tc>
          <w:tcPr>
            <w:tcW w:type="dxa" w:w="2554"/>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7"/>
              </w:rPr>
              <w:t>Ne voir que ce qui a été explicitement publié</w:t>
            </w:r>
          </w:p>
        </w:tc>
        <w:tc>
          <w:tcPr>
            <w:tcW w:type="dxa" w:w="5709"/>
            <w:tcBorders>
              <w:top w:val="single" w:sz="4" w:space="0" w:color="DEE2E6"/>
              <w:left w:val="single" w:sz="4" w:space="0" w:color="DEE2E6"/>
              <w:bottom w:val="single" w:sz="4" w:space="0" w:color="DEE2E6"/>
              <w:right w:val="single" w:sz="4" w:space="0" w:color="DEE2E6"/>
            </w:tcBorders>
            <w:shd w:val="clear" w:fill="F8F9FA"/>
          </w:tcPr>
          <w:p>
            <w:pPr>
              <w:spacing w:before="40" w:after="40"/>
              <w:jc w:val="both"/>
            </w:pPr>
            <w:r>
              <w:rPr>
                <w:rFonts w:ascii="Calibri" w:hAnsi="Calibri" w:cs="Calibri"/>
                <w:b w:val="0"/>
                <w:i w:val="0"/>
                <w:color w:val="212529"/>
                <w:sz w:val="17"/>
              </w:rPr>
              <w:t>Étant donné un membre possédant des médias privés et publiés, quand un visiteur consulte son profil, alors seuls les médias portant une date de publication apparaissent.</w:t>
            </w:r>
          </w:p>
        </w:tc>
        <w:tc>
          <w:tcPr>
            <w:tcW w:type="dxa" w:w="1051"/>
            <w:tcBorders>
              <w:top w:val="single" w:sz="4" w:space="0" w:color="DEE2E6"/>
              <w:left w:val="single" w:sz="4" w:space="0" w:color="DEE2E6"/>
              <w:bottom w:val="single" w:sz="4" w:space="0" w:color="DEE2E6"/>
              <w:right w:val="single" w:sz="4" w:space="0" w:color="DEE2E6"/>
            </w:tcBorders>
            <w:shd w:val="clear" w:fill="FFE3E3"/>
          </w:tcPr>
          <w:p>
            <w:pPr>
              <w:spacing w:before="40" w:after="40"/>
              <w:jc w:val="center"/>
            </w:pPr>
            <w:r>
              <w:rPr>
                <w:rFonts w:ascii="Calibri" w:hAnsi="Calibri" w:cs="Calibri"/>
                <w:b w:val="0"/>
                <w:i w:val="0"/>
                <w:color w:val="212529"/>
                <w:sz w:val="17"/>
              </w:rPr>
              <w:t>Must</w:t>
            </w:r>
          </w:p>
        </w:tc>
        <w:tc>
          <w:tcPr>
            <w:tcW w:type="dxa" w:w="600"/>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7"/>
              </w:rPr>
              <w:t>3</w:t>
            </w:r>
          </w:p>
        </w:tc>
        <w:tc>
          <w:tcPr>
            <w:tcW w:type="dxa" w:w="3455"/>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7"/>
              </w:rPr>
              <w:t>UC-19 · GET /api/public/{username}/media</w:t>
            </w:r>
          </w:p>
        </w:tc>
      </w:tr>
      <w:tr>
        <w:tc>
          <w:tcPr>
            <w:tcW w:type="dxa" w:w="75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i w:val="0"/>
                <w:color w:val="212529"/>
                <w:sz w:val="17"/>
              </w:rPr>
              <w:t>US-17</w:t>
            </w:r>
          </w:p>
        </w:tc>
        <w:tc>
          <w:tcPr>
            <w:tcW w:type="dxa" w:w="9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7"/>
              </w:rPr>
              <w:t>P2</w:t>
            </w:r>
          </w:p>
        </w:tc>
        <w:tc>
          <w:tcPr>
            <w:tcW w:type="dxa" w:w="2554"/>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7"/>
              </w:rPr>
              <w:t>Rechercher un profil par son pseudonyme</w:t>
            </w:r>
          </w:p>
        </w:tc>
        <w:tc>
          <w:tcPr>
            <w:tcW w:type="dxa" w:w="5709"/>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7"/>
              </w:rPr>
              <w:t>Étant donné un pseudonyme partiel, quand la recherche est lancée, alors les profils correspondants sont proposés sans révéler d'adresse de courriel.</w:t>
            </w:r>
          </w:p>
        </w:tc>
        <w:tc>
          <w:tcPr>
            <w:tcW w:type="dxa" w:w="1051"/>
            <w:tcBorders>
              <w:top w:val="single" w:sz="4" w:space="0" w:color="DEE2E6"/>
              <w:left w:val="single" w:sz="4" w:space="0" w:color="DEE2E6"/>
              <w:bottom w:val="single" w:sz="4" w:space="0" w:color="DEE2E6"/>
              <w:right w:val="single" w:sz="4" w:space="0" w:color="DEE2E6"/>
            </w:tcBorders>
            <w:shd w:val="clear" w:fill="D0EBFF"/>
          </w:tcPr>
          <w:p>
            <w:pPr>
              <w:spacing w:before="40" w:after="40"/>
              <w:jc w:val="center"/>
            </w:pPr>
            <w:r>
              <w:rPr>
                <w:rFonts w:ascii="Calibri" w:hAnsi="Calibri" w:cs="Calibri"/>
                <w:b w:val="0"/>
                <w:i w:val="0"/>
                <w:color w:val="212529"/>
                <w:sz w:val="17"/>
              </w:rPr>
              <w:t>Could</w:t>
            </w:r>
          </w:p>
        </w:tc>
        <w:tc>
          <w:tcPr>
            <w:tcW w:type="dxa" w:w="600"/>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7"/>
              </w:rPr>
              <w:t>3</w:t>
            </w:r>
          </w:p>
        </w:tc>
        <w:tc>
          <w:tcPr>
            <w:tcW w:type="dxa" w:w="3455"/>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7"/>
              </w:rPr>
              <w:t>UC-21 · GET /api/public/search</w:t>
            </w:r>
          </w:p>
        </w:tc>
      </w:tr>
      <w:tr>
        <w:tc>
          <w:tcPr>
            <w:tcW w:type="dxa" w:w="75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i w:val="0"/>
                <w:color w:val="212529"/>
                <w:sz w:val="17"/>
              </w:rPr>
              <w:t>US-18</w:t>
            </w:r>
          </w:p>
        </w:tc>
        <w:tc>
          <w:tcPr>
            <w:tcW w:type="dxa" w:w="90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7"/>
              </w:rPr>
              <w:t>P2</w:t>
            </w:r>
          </w:p>
        </w:tc>
        <w:tc>
          <w:tcPr>
            <w:tcW w:type="dxa" w:w="2554"/>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7"/>
              </w:rPr>
              <w:t>Afficher rapidement une galerie chargée</w:t>
            </w:r>
          </w:p>
        </w:tc>
        <w:tc>
          <w:tcPr>
            <w:tcW w:type="dxa" w:w="5709"/>
            <w:tcBorders>
              <w:top w:val="single" w:sz="4" w:space="0" w:color="DEE2E6"/>
              <w:left w:val="single" w:sz="4" w:space="0" w:color="DEE2E6"/>
              <w:bottom w:val="single" w:sz="4" w:space="0" w:color="DEE2E6"/>
              <w:right w:val="single" w:sz="4" w:space="0" w:color="DEE2E6"/>
            </w:tcBorders>
            <w:shd w:val="clear" w:fill="F8F9FA"/>
          </w:tcPr>
          <w:p>
            <w:pPr>
              <w:spacing w:before="40" w:after="40"/>
              <w:jc w:val="both"/>
            </w:pPr>
            <w:r>
              <w:rPr>
                <w:rFonts w:ascii="Calibri" w:hAnsi="Calibri" w:cs="Calibri"/>
                <w:b w:val="0"/>
                <w:i w:val="0"/>
                <w:color w:val="212529"/>
                <w:sz w:val="17"/>
              </w:rPr>
              <w:t>Étant donné une galerie de cent médias publiés, quand la page est ouverte, alors les fichiers sont servis par le CDN avec un cache immuable d'un an.</w:t>
            </w:r>
          </w:p>
        </w:tc>
        <w:tc>
          <w:tcPr>
            <w:tcW w:type="dxa" w:w="1051"/>
            <w:tcBorders>
              <w:top w:val="single" w:sz="4" w:space="0" w:color="DEE2E6"/>
              <w:left w:val="single" w:sz="4" w:space="0" w:color="DEE2E6"/>
              <w:bottom w:val="single" w:sz="4" w:space="0" w:color="DEE2E6"/>
              <w:right w:val="single" w:sz="4" w:space="0" w:color="DEE2E6"/>
            </w:tcBorders>
            <w:shd w:val="clear" w:fill="D0EBFF"/>
          </w:tcPr>
          <w:p>
            <w:pPr>
              <w:spacing w:before="40" w:after="40"/>
              <w:jc w:val="center"/>
            </w:pPr>
            <w:r>
              <w:rPr>
                <w:rFonts w:ascii="Calibri" w:hAnsi="Calibri" w:cs="Calibri"/>
                <w:b w:val="0"/>
                <w:i w:val="0"/>
                <w:color w:val="212529"/>
                <w:sz w:val="17"/>
              </w:rPr>
              <w:t>Could</w:t>
            </w:r>
          </w:p>
        </w:tc>
        <w:tc>
          <w:tcPr>
            <w:tcW w:type="dxa" w:w="600"/>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7"/>
              </w:rPr>
              <w:t>5</w:t>
            </w:r>
          </w:p>
        </w:tc>
        <w:tc>
          <w:tcPr>
            <w:tcW w:type="dxa" w:w="3455"/>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7"/>
              </w:rPr>
              <w:t>UC-20 · CDN cdn.dropicture.com</w:t>
            </w:r>
          </w:p>
        </w:tc>
      </w:tr>
      <w:tr>
        <w:tc>
          <w:tcPr>
            <w:tcW w:type="dxa" w:w="75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i w:val="0"/>
                <w:color w:val="212529"/>
                <w:sz w:val="17"/>
              </w:rPr>
              <w:t>US-19</w:t>
            </w:r>
          </w:p>
        </w:tc>
        <w:tc>
          <w:tcPr>
            <w:tcW w:type="dxa" w:w="9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7"/>
              </w:rPr>
              <w:t>P3</w:t>
            </w:r>
          </w:p>
        </w:tc>
        <w:tc>
          <w:tcPr>
            <w:tcW w:type="dxa" w:w="2554"/>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7"/>
              </w:rPr>
              <w:t>Obtenir et faire tourner une clé d'API personnelle</w:t>
            </w:r>
          </w:p>
        </w:tc>
        <w:tc>
          <w:tcPr>
            <w:tcW w:type="dxa" w:w="5709"/>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7"/>
              </w:rPr>
              <w:t>Étant donné un membre authentifié, quand il demande une rotation de clé, alors l'ancienne clé cesse immédiatement d'être acceptée et la nouvelle est unique en base.</w:t>
            </w:r>
          </w:p>
        </w:tc>
        <w:tc>
          <w:tcPr>
            <w:tcW w:type="dxa" w:w="1051"/>
            <w:tcBorders>
              <w:top w:val="single" w:sz="4" w:space="0" w:color="DEE2E6"/>
              <w:left w:val="single" w:sz="4" w:space="0" w:color="DEE2E6"/>
              <w:bottom w:val="single" w:sz="4" w:space="0" w:color="DEE2E6"/>
              <w:right w:val="single" w:sz="4" w:space="0" w:color="DEE2E6"/>
            </w:tcBorders>
            <w:shd w:val="clear" w:fill="FFF3BF"/>
          </w:tcPr>
          <w:p>
            <w:pPr>
              <w:spacing w:before="40" w:after="40"/>
              <w:jc w:val="center"/>
            </w:pPr>
            <w:r>
              <w:rPr>
                <w:rFonts w:ascii="Calibri" w:hAnsi="Calibri" w:cs="Calibri"/>
                <w:b w:val="0"/>
                <w:i w:val="0"/>
                <w:color w:val="212529"/>
                <w:sz w:val="17"/>
              </w:rPr>
              <w:t>Should</w:t>
            </w:r>
          </w:p>
        </w:tc>
        <w:tc>
          <w:tcPr>
            <w:tcW w:type="dxa" w:w="600"/>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7"/>
              </w:rPr>
              <w:t>5</w:t>
            </w:r>
          </w:p>
        </w:tc>
        <w:tc>
          <w:tcPr>
            <w:tcW w:type="dxa" w:w="3455"/>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7"/>
              </w:rPr>
              <w:t>UC-22 · POST /api/settings/api-key/rotate</w:t>
            </w:r>
          </w:p>
        </w:tc>
      </w:tr>
      <w:tr>
        <w:tc>
          <w:tcPr>
            <w:tcW w:type="dxa" w:w="75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i w:val="0"/>
                <w:color w:val="212529"/>
                <w:sz w:val="17"/>
              </w:rPr>
              <w:t>US-20</w:t>
            </w:r>
          </w:p>
        </w:tc>
        <w:tc>
          <w:tcPr>
            <w:tcW w:type="dxa" w:w="90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7"/>
              </w:rPr>
              <w:t>P3</w:t>
            </w:r>
          </w:p>
        </w:tc>
        <w:tc>
          <w:tcPr>
            <w:tcW w:type="dxa" w:w="2554"/>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7"/>
              </w:rPr>
              <w:t>Disposer d'un contrat d'interface documenté</w:t>
            </w:r>
          </w:p>
        </w:tc>
        <w:tc>
          <w:tcPr>
            <w:tcW w:type="dxa" w:w="5709"/>
            <w:tcBorders>
              <w:top w:val="single" w:sz="4" w:space="0" w:color="DEE2E6"/>
              <w:left w:val="single" w:sz="4" w:space="0" w:color="DEE2E6"/>
              <w:bottom w:val="single" w:sz="4" w:space="0" w:color="DEE2E6"/>
              <w:right w:val="single" w:sz="4" w:space="0" w:color="DEE2E6"/>
            </w:tcBorders>
            <w:shd w:val="clear" w:fill="F8F9FA"/>
          </w:tcPr>
          <w:p>
            <w:pPr>
              <w:spacing w:before="40" w:after="40"/>
              <w:jc w:val="both"/>
            </w:pPr>
            <w:r>
              <w:rPr>
                <w:rFonts w:ascii="Calibri" w:hAnsi="Calibri" w:cs="Calibri"/>
                <w:b w:val="0"/>
                <w:i w:val="0"/>
                <w:color w:val="212529"/>
                <w:sz w:val="17"/>
              </w:rPr>
              <w:t>Étant donné la spécification OpenAPI publiée, quand un intégrateur consulte un point d'accès, alors la requête, la réponse et les cas d'erreur sont décrits avec un exemple.</w:t>
            </w:r>
          </w:p>
        </w:tc>
        <w:tc>
          <w:tcPr>
            <w:tcW w:type="dxa" w:w="1051"/>
            <w:tcBorders>
              <w:top w:val="single" w:sz="4" w:space="0" w:color="DEE2E6"/>
              <w:left w:val="single" w:sz="4" w:space="0" w:color="DEE2E6"/>
              <w:bottom w:val="single" w:sz="4" w:space="0" w:color="DEE2E6"/>
              <w:right w:val="single" w:sz="4" w:space="0" w:color="DEE2E6"/>
            </w:tcBorders>
            <w:shd w:val="clear" w:fill="FFF3BF"/>
          </w:tcPr>
          <w:p>
            <w:pPr>
              <w:spacing w:before="40" w:after="40"/>
              <w:jc w:val="center"/>
            </w:pPr>
            <w:r>
              <w:rPr>
                <w:rFonts w:ascii="Calibri" w:hAnsi="Calibri" w:cs="Calibri"/>
                <w:b w:val="0"/>
                <w:i w:val="0"/>
                <w:color w:val="212529"/>
                <w:sz w:val="17"/>
              </w:rPr>
              <w:t>Should</w:t>
            </w:r>
          </w:p>
        </w:tc>
        <w:tc>
          <w:tcPr>
            <w:tcW w:type="dxa" w:w="600"/>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7"/>
              </w:rPr>
              <w:t>3</w:t>
            </w:r>
          </w:p>
        </w:tc>
        <w:tc>
          <w:tcPr>
            <w:tcW w:type="dxa" w:w="3455"/>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7"/>
              </w:rPr>
              <w:t>Annexe Q · GET /api/docs</w:t>
            </w:r>
          </w:p>
        </w:tc>
      </w:tr>
      <w:tr>
        <w:tc>
          <w:tcPr>
            <w:tcW w:type="dxa" w:w="75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i w:val="0"/>
                <w:color w:val="212529"/>
                <w:sz w:val="17"/>
              </w:rPr>
              <w:t>US-21</w:t>
            </w:r>
          </w:p>
        </w:tc>
        <w:tc>
          <w:tcPr>
            <w:tcW w:type="dxa" w:w="9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7"/>
              </w:rPr>
              <w:t>P3</w:t>
            </w:r>
          </w:p>
        </w:tc>
        <w:tc>
          <w:tcPr>
            <w:tcW w:type="dxa" w:w="2554"/>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7"/>
              </w:rPr>
              <w:t>Être limité en débit plutôt que bloqué sans explication</w:t>
            </w:r>
          </w:p>
        </w:tc>
        <w:tc>
          <w:tcPr>
            <w:tcW w:type="dxa" w:w="5709"/>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7"/>
              </w:rPr>
              <w:t>Étant donné plus de dix tentatives de connexion en une minute depuis une adresse, quand une nouvelle requête arrive, alors elle est refusée avec un code explicite et une durée d'attente.</w:t>
            </w:r>
          </w:p>
        </w:tc>
        <w:tc>
          <w:tcPr>
            <w:tcW w:type="dxa" w:w="1051"/>
            <w:tcBorders>
              <w:top w:val="single" w:sz="4" w:space="0" w:color="DEE2E6"/>
              <w:left w:val="single" w:sz="4" w:space="0" w:color="DEE2E6"/>
              <w:bottom w:val="single" w:sz="4" w:space="0" w:color="DEE2E6"/>
              <w:right w:val="single" w:sz="4" w:space="0" w:color="DEE2E6"/>
            </w:tcBorders>
            <w:shd w:val="clear" w:fill="D0EBFF"/>
          </w:tcPr>
          <w:p>
            <w:pPr>
              <w:spacing w:before="40" w:after="40"/>
              <w:jc w:val="center"/>
            </w:pPr>
            <w:r>
              <w:rPr>
                <w:rFonts w:ascii="Calibri" w:hAnsi="Calibri" w:cs="Calibri"/>
                <w:b w:val="0"/>
                <w:i w:val="0"/>
                <w:color w:val="212529"/>
                <w:sz w:val="17"/>
              </w:rPr>
              <w:t>Could</w:t>
            </w:r>
          </w:p>
        </w:tc>
        <w:tc>
          <w:tcPr>
            <w:tcW w:type="dxa" w:w="600"/>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7"/>
              </w:rPr>
              <w:t>3</w:t>
            </w:r>
          </w:p>
        </w:tc>
        <w:tc>
          <w:tcPr>
            <w:tcW w:type="dxa" w:w="3455"/>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7"/>
              </w:rPr>
              <w:t>UC-02 · limitation de débit</w:t>
            </w:r>
          </w:p>
        </w:tc>
      </w:tr>
      <w:tr>
        <w:tc>
          <w:tcPr>
            <w:tcW w:type="dxa" w:w="75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i w:val="0"/>
                <w:color w:val="212529"/>
                <w:sz w:val="17"/>
              </w:rPr>
              <w:t>US-22</w:t>
            </w:r>
          </w:p>
        </w:tc>
        <w:tc>
          <w:tcPr>
            <w:tcW w:type="dxa" w:w="90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7"/>
              </w:rPr>
              <w:t>P4</w:t>
            </w:r>
          </w:p>
        </w:tc>
        <w:tc>
          <w:tcPr>
            <w:tcW w:type="dxa" w:w="2554"/>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7"/>
              </w:rPr>
              <w:t>Être alerté avant que l'incident ne soit visible</w:t>
            </w:r>
          </w:p>
        </w:tc>
        <w:tc>
          <w:tcPr>
            <w:tcW w:type="dxa" w:w="5709"/>
            <w:tcBorders>
              <w:top w:val="single" w:sz="4" w:space="0" w:color="DEE2E6"/>
              <w:left w:val="single" w:sz="4" w:space="0" w:color="DEE2E6"/>
              <w:bottom w:val="single" w:sz="4" w:space="0" w:color="DEE2E6"/>
              <w:right w:val="single" w:sz="4" w:space="0" w:color="DEE2E6"/>
            </w:tcBorders>
            <w:shd w:val="clear" w:fill="F8F9FA"/>
          </w:tcPr>
          <w:p>
            <w:pPr>
              <w:spacing w:before="40" w:after="40"/>
              <w:jc w:val="both"/>
            </w:pPr>
            <w:r>
              <w:rPr>
                <w:rFonts w:ascii="Calibri" w:hAnsi="Calibri" w:cs="Calibri"/>
                <w:b w:val="0"/>
                <w:i w:val="0"/>
                <w:color w:val="212529"/>
                <w:sz w:val="17"/>
              </w:rPr>
              <w:t>Étant donné une cible de supervision injoignable depuis cinq minutes, quand la règle est évaluée, alors une alerte critique est émise et routée vers l'exploitation.</w:t>
            </w:r>
          </w:p>
        </w:tc>
        <w:tc>
          <w:tcPr>
            <w:tcW w:type="dxa" w:w="1051"/>
            <w:tcBorders>
              <w:top w:val="single" w:sz="4" w:space="0" w:color="DEE2E6"/>
              <w:left w:val="single" w:sz="4" w:space="0" w:color="DEE2E6"/>
              <w:bottom w:val="single" w:sz="4" w:space="0" w:color="DEE2E6"/>
              <w:right w:val="single" w:sz="4" w:space="0" w:color="DEE2E6"/>
            </w:tcBorders>
            <w:shd w:val="clear" w:fill="FFE3E3"/>
          </w:tcPr>
          <w:p>
            <w:pPr>
              <w:spacing w:before="40" w:after="40"/>
              <w:jc w:val="center"/>
            </w:pPr>
            <w:r>
              <w:rPr>
                <w:rFonts w:ascii="Calibri" w:hAnsi="Calibri" w:cs="Calibri"/>
                <w:b w:val="0"/>
                <w:i w:val="0"/>
                <w:color w:val="212529"/>
                <w:sz w:val="17"/>
              </w:rPr>
              <w:t>Must</w:t>
            </w:r>
          </w:p>
        </w:tc>
        <w:tc>
          <w:tcPr>
            <w:tcW w:type="dxa" w:w="600"/>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7"/>
              </w:rPr>
              <w:t>5</w:t>
            </w:r>
          </w:p>
        </w:tc>
        <w:tc>
          <w:tcPr>
            <w:tcW w:type="dxa" w:w="3455"/>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7"/>
              </w:rPr>
              <w:t>Annexe P · règle CibleInjoignable</w:t>
            </w:r>
          </w:p>
        </w:tc>
      </w:tr>
      <w:tr>
        <w:tc>
          <w:tcPr>
            <w:tcW w:type="dxa" w:w="75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i w:val="0"/>
                <w:color w:val="212529"/>
                <w:sz w:val="17"/>
              </w:rPr>
              <w:t>US-23</w:t>
            </w:r>
          </w:p>
        </w:tc>
        <w:tc>
          <w:tcPr>
            <w:tcW w:type="dxa" w:w="9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7"/>
              </w:rPr>
              <w:t>P4</w:t>
            </w:r>
          </w:p>
        </w:tc>
        <w:tc>
          <w:tcPr>
            <w:tcW w:type="dxa" w:w="2554"/>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7"/>
              </w:rPr>
              <w:t>Reconstruire un nœud perdu par le code</w:t>
            </w:r>
          </w:p>
        </w:tc>
        <w:tc>
          <w:tcPr>
            <w:tcW w:type="dxa" w:w="5709"/>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7"/>
              </w:rPr>
              <w:t>Étant donné la perte d'un nœud applicatif, quand le provisionnement est relancé, alors la machine est recréée et réintégrée au cluster sans action manuelle et sans perte de donnée.</w:t>
            </w:r>
          </w:p>
        </w:tc>
        <w:tc>
          <w:tcPr>
            <w:tcW w:type="dxa" w:w="1051"/>
            <w:tcBorders>
              <w:top w:val="single" w:sz="4" w:space="0" w:color="DEE2E6"/>
              <w:left w:val="single" w:sz="4" w:space="0" w:color="DEE2E6"/>
              <w:bottom w:val="single" w:sz="4" w:space="0" w:color="DEE2E6"/>
              <w:right w:val="single" w:sz="4" w:space="0" w:color="DEE2E6"/>
            </w:tcBorders>
            <w:shd w:val="clear" w:fill="FFE3E3"/>
          </w:tcPr>
          <w:p>
            <w:pPr>
              <w:spacing w:before="40" w:after="40"/>
              <w:jc w:val="center"/>
            </w:pPr>
            <w:r>
              <w:rPr>
                <w:rFonts w:ascii="Calibri" w:hAnsi="Calibri" w:cs="Calibri"/>
                <w:b w:val="0"/>
                <w:i w:val="0"/>
                <w:color w:val="212529"/>
                <w:sz w:val="17"/>
              </w:rPr>
              <w:t>Must</w:t>
            </w:r>
          </w:p>
        </w:tc>
        <w:tc>
          <w:tcPr>
            <w:tcW w:type="dxa" w:w="600"/>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7"/>
              </w:rPr>
              <w:t>8</w:t>
            </w:r>
          </w:p>
        </w:tc>
        <w:tc>
          <w:tcPr>
            <w:tcW w:type="dxa" w:w="3455"/>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7"/>
              </w:rPr>
              <w:t>Annexe U · scénario S1</w:t>
            </w:r>
          </w:p>
        </w:tc>
      </w:tr>
      <w:tr>
        <w:tc>
          <w:tcPr>
            <w:tcW w:type="dxa" w:w="75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i w:val="0"/>
                <w:color w:val="212529"/>
                <w:sz w:val="17"/>
              </w:rPr>
              <w:t>US-24</w:t>
            </w:r>
          </w:p>
        </w:tc>
        <w:tc>
          <w:tcPr>
            <w:tcW w:type="dxa" w:w="90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7"/>
              </w:rPr>
              <w:t>P4</w:t>
            </w:r>
          </w:p>
        </w:tc>
        <w:tc>
          <w:tcPr>
            <w:tcW w:type="dxa" w:w="2554"/>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7"/>
              </w:rPr>
              <w:t>Restaurer la base à un point de reprise connu</w:t>
            </w:r>
          </w:p>
        </w:tc>
        <w:tc>
          <w:tcPr>
            <w:tcW w:type="dxa" w:w="5709"/>
            <w:tcBorders>
              <w:top w:val="single" w:sz="4" w:space="0" w:color="DEE2E6"/>
              <w:left w:val="single" w:sz="4" w:space="0" w:color="DEE2E6"/>
              <w:bottom w:val="single" w:sz="4" w:space="0" w:color="DEE2E6"/>
              <w:right w:val="single" w:sz="4" w:space="0" w:color="DEE2E6"/>
            </w:tcBorders>
            <w:shd w:val="clear" w:fill="F8F9FA"/>
          </w:tcPr>
          <w:p>
            <w:pPr>
              <w:spacing w:before="40" w:after="40"/>
              <w:jc w:val="both"/>
            </w:pPr>
            <w:r>
              <w:rPr>
                <w:rFonts w:ascii="Calibri" w:hAnsi="Calibri" w:cs="Calibri"/>
                <w:b w:val="0"/>
                <w:i w:val="0"/>
                <w:color w:val="212529"/>
                <w:sz w:val="17"/>
              </w:rPr>
              <w:t>Étant donné une sauvegarde datant de moins de six heures, quand la restauration est déclenchée, alors la base est restaurée de façon transactionnelle et l'écart au point de reprise est mesuré.</w:t>
            </w:r>
          </w:p>
        </w:tc>
        <w:tc>
          <w:tcPr>
            <w:tcW w:type="dxa" w:w="1051"/>
            <w:tcBorders>
              <w:top w:val="single" w:sz="4" w:space="0" w:color="DEE2E6"/>
              <w:left w:val="single" w:sz="4" w:space="0" w:color="DEE2E6"/>
              <w:bottom w:val="single" w:sz="4" w:space="0" w:color="DEE2E6"/>
              <w:right w:val="single" w:sz="4" w:space="0" w:color="DEE2E6"/>
            </w:tcBorders>
            <w:shd w:val="clear" w:fill="FFE3E3"/>
          </w:tcPr>
          <w:p>
            <w:pPr>
              <w:spacing w:before="40" w:after="40"/>
              <w:jc w:val="center"/>
            </w:pPr>
            <w:r>
              <w:rPr>
                <w:rFonts w:ascii="Calibri" w:hAnsi="Calibri" w:cs="Calibri"/>
                <w:b w:val="0"/>
                <w:i w:val="0"/>
                <w:color w:val="212529"/>
                <w:sz w:val="17"/>
              </w:rPr>
              <w:t>Must</w:t>
            </w:r>
          </w:p>
        </w:tc>
        <w:tc>
          <w:tcPr>
            <w:tcW w:type="dxa" w:w="600"/>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7"/>
              </w:rPr>
              <w:t>8</w:t>
            </w:r>
          </w:p>
        </w:tc>
        <w:tc>
          <w:tcPr>
            <w:tcW w:type="dxa" w:w="3455"/>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7"/>
              </w:rPr>
              <w:t>Annexe U · scénario S2</w:t>
            </w:r>
          </w:p>
        </w:tc>
      </w:tr>
      <w:tr>
        <w:tc>
          <w:tcPr>
            <w:tcW w:type="dxa" w:w="75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i w:val="0"/>
                <w:color w:val="212529"/>
                <w:sz w:val="17"/>
              </w:rPr>
              <w:t>US-25</w:t>
            </w:r>
          </w:p>
        </w:tc>
        <w:tc>
          <w:tcPr>
            <w:tcW w:type="dxa" w:w="9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7"/>
              </w:rPr>
              <w:t>P1</w:t>
            </w:r>
          </w:p>
        </w:tc>
        <w:tc>
          <w:tcPr>
            <w:tcW w:type="dxa" w:w="2554"/>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7"/>
              </w:rPr>
              <w:t>Retrouver ses médias par reconnaissance de contenu</w:t>
            </w:r>
          </w:p>
        </w:tc>
        <w:tc>
          <w:tcPr>
            <w:tcW w:type="dxa" w:w="5709"/>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7"/>
              </w:rPr>
              <w:t>Étant donné une bibliothèque de plusieurs milliers de médias, quand une recherche par contenu est lancée, alors les médias correspondants sont proposés.</w:t>
            </w:r>
          </w:p>
        </w:tc>
        <w:tc>
          <w:tcPr>
            <w:tcW w:type="dxa" w:w="1051"/>
            <w:tcBorders>
              <w:top w:val="single" w:sz="4" w:space="0" w:color="DEE2E6"/>
              <w:left w:val="single" w:sz="4" w:space="0" w:color="DEE2E6"/>
              <w:bottom w:val="single" w:sz="4" w:space="0" w:color="DEE2E6"/>
              <w:right w:val="single" w:sz="4" w:space="0" w:color="DEE2E6"/>
            </w:tcBorders>
            <w:shd w:val="clear" w:fill="F1F3F5"/>
          </w:tcPr>
          <w:p>
            <w:pPr>
              <w:spacing w:before="40" w:after="40"/>
              <w:jc w:val="center"/>
            </w:pPr>
            <w:r>
              <w:rPr>
                <w:rFonts w:ascii="Calibri" w:hAnsi="Calibri" w:cs="Calibri"/>
                <w:b w:val="0"/>
                <w:i w:val="0"/>
                <w:color w:val="212529"/>
                <w:sz w:val="17"/>
              </w:rPr>
              <w:t>Won't</w:t>
            </w:r>
          </w:p>
        </w:tc>
        <w:tc>
          <w:tcPr>
            <w:tcW w:type="dxa" w:w="600"/>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7"/>
              </w:rPr>
              <w:t>21</w:t>
            </w:r>
          </w:p>
        </w:tc>
        <w:tc>
          <w:tcPr>
            <w:tcW w:type="dxa" w:w="3455"/>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7"/>
              </w:rPr>
              <w:t>Hors périmètre, reporté au plan d'amélioration</w:t>
            </w:r>
          </w:p>
        </w:tc>
      </w:tr>
      <w:tr>
        <w:tc>
          <w:tcPr>
            <w:tcW w:type="dxa" w:w="75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i w:val="0"/>
                <w:color w:val="212529"/>
                <w:sz w:val="17"/>
              </w:rPr>
              <w:t>US-26</w:t>
            </w:r>
          </w:p>
        </w:tc>
        <w:tc>
          <w:tcPr>
            <w:tcW w:type="dxa" w:w="90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7"/>
              </w:rPr>
              <w:t>P1</w:t>
            </w:r>
          </w:p>
        </w:tc>
        <w:tc>
          <w:tcPr>
            <w:tcW w:type="dxa" w:w="2554"/>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7"/>
              </w:rPr>
              <w:t>Déposer depuis une application mobile native</w:t>
            </w:r>
          </w:p>
        </w:tc>
        <w:tc>
          <w:tcPr>
            <w:tcW w:type="dxa" w:w="5709"/>
            <w:tcBorders>
              <w:top w:val="single" w:sz="4" w:space="0" w:color="DEE2E6"/>
              <w:left w:val="single" w:sz="4" w:space="0" w:color="DEE2E6"/>
              <w:bottom w:val="single" w:sz="4" w:space="0" w:color="DEE2E6"/>
              <w:right w:val="single" w:sz="4" w:space="0" w:color="DEE2E6"/>
            </w:tcBorders>
            <w:shd w:val="clear" w:fill="F8F9FA"/>
          </w:tcPr>
          <w:p>
            <w:pPr>
              <w:spacing w:before="40" w:after="40"/>
              <w:jc w:val="both"/>
            </w:pPr>
            <w:r>
              <w:rPr>
                <w:rFonts w:ascii="Calibri" w:hAnsi="Calibri" w:cs="Calibri"/>
                <w:b w:val="0"/>
                <w:i w:val="0"/>
                <w:color w:val="212529"/>
                <w:sz w:val="17"/>
              </w:rPr>
              <w:t>Étant donné un téléphone, quand une application native est installée, alors le dépôt se fait en arrière-plan.</w:t>
            </w:r>
          </w:p>
        </w:tc>
        <w:tc>
          <w:tcPr>
            <w:tcW w:type="dxa" w:w="1051"/>
            <w:tcBorders>
              <w:top w:val="single" w:sz="4" w:space="0" w:color="DEE2E6"/>
              <w:left w:val="single" w:sz="4" w:space="0" w:color="DEE2E6"/>
              <w:bottom w:val="single" w:sz="4" w:space="0" w:color="DEE2E6"/>
              <w:right w:val="single" w:sz="4" w:space="0" w:color="DEE2E6"/>
            </w:tcBorders>
            <w:shd w:val="clear" w:fill="F1F3F5"/>
          </w:tcPr>
          <w:p>
            <w:pPr>
              <w:spacing w:before="40" w:after="40"/>
              <w:jc w:val="center"/>
            </w:pPr>
            <w:r>
              <w:rPr>
                <w:rFonts w:ascii="Calibri" w:hAnsi="Calibri" w:cs="Calibri"/>
                <w:b w:val="0"/>
                <w:i w:val="0"/>
                <w:color w:val="212529"/>
                <w:sz w:val="17"/>
              </w:rPr>
              <w:t>Won't</w:t>
            </w:r>
          </w:p>
        </w:tc>
        <w:tc>
          <w:tcPr>
            <w:tcW w:type="dxa" w:w="600"/>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7"/>
              </w:rPr>
              <w:t>21</w:t>
            </w:r>
          </w:p>
        </w:tc>
        <w:tc>
          <w:tcPr>
            <w:tcW w:type="dxa" w:w="3455"/>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7"/>
              </w:rPr>
              <w:t>Hors périmètre, reporté au plan d'amélioration</w:t>
            </w:r>
          </w:p>
        </w:tc>
      </w:tr>
    </w:tbl>
    <w:p>
      <w:pPr>
        <w:spacing w:after="0"/>
      </w:pPr>
    </w:p>
    <w:p>
      <w:r>
        <w:br w:type="page"/>
      </w:r>
    </w:p>
    <w:p>
      <w:pPr>
        <w:spacing w:before="240" w:after="100"/>
      </w:pPr>
      <w:r>
        <w:rPr>
          <w:rFonts w:ascii="Calibri" w:hAnsi="Calibri" w:cs="Calibri"/>
          <w:b/>
          <w:i w:val="0"/>
          <w:color w:val="1C7ED6"/>
          <w:sz w:val="26"/>
        </w:rPr>
        <w:t>3.  Matrice de priorisation MoSCoW</w:t>
      </w:r>
    </w:p>
    <w:p>
      <w:pPr>
        <w:spacing w:before="0" w:after="120"/>
        <w:jc w:val="both"/>
      </w:pPr>
      <w:r>
        <w:rPr>
          <w:rFonts w:ascii="Calibri" w:hAnsi="Calibri" w:cs="Calibri"/>
          <w:b w:val="0"/>
          <w:i w:val="0"/>
          <w:color w:val="212529"/>
          <w:sz w:val="20"/>
        </w:rPr>
        <w:t>La répartition ci-dessous est calculée directement sur le tableau de la section 2. Elle mesure l'engagement réellement pris, et non la priorité déclarée.</w:t>
      </w:r>
    </w:p>
    <w:tbl>
      <w:tblPr>
        <w:tblW w:type="auto" w:w="0"/>
        <w:jc w:val="center"/>
        <w:tblLayout w:type="fixed"/>
        <w:tblLook w:firstColumn="1" w:firstRow="1" w:lastColumn="0" w:lastRow="0" w:noHBand="0" w:noVBand="1" w:val="04A0"/>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Pr>
      <w:tblGrid>
        <w:gridCol w:w="1652"/>
        <w:gridCol w:w="4056"/>
        <w:gridCol w:w="1201"/>
        <w:gridCol w:w="901"/>
        <w:gridCol w:w="1802"/>
        <w:gridCol w:w="5408"/>
      </w:tblGrid>
      <w:tr>
        <w:trPr>
          <w:tblHeader/>
        </w:trPr>
        <w:tc>
          <w:tcPr>
            <w:tcW w:type="dxa" w:w="1652"/>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Priorité</w:t>
            </w:r>
          </w:p>
        </w:tc>
        <w:tc>
          <w:tcPr>
            <w:tcW w:type="dxa" w:w="405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Signification retenue</w:t>
            </w:r>
          </w:p>
        </w:tc>
        <w:tc>
          <w:tcPr>
            <w:tcW w:type="dxa" w:w="1201"/>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Nb de stories</w:t>
            </w:r>
          </w:p>
        </w:tc>
        <w:tc>
          <w:tcPr>
            <w:tcW w:type="dxa" w:w="901"/>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Points</w:t>
            </w:r>
          </w:p>
        </w:tc>
        <w:tc>
          <w:tcPr>
            <w:tcW w:type="dxa" w:w="1802"/>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Part des points livrables</w:t>
            </w:r>
          </w:p>
        </w:tc>
        <w:tc>
          <w:tcPr>
            <w:tcW w:type="dxa" w:w="5408"/>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Traitement en cas de tension sur le délai</w:t>
            </w:r>
          </w:p>
        </w:tc>
      </w:tr>
      <w:tr>
        <w:tc>
          <w:tcPr>
            <w:tcW w:type="dxa" w:w="1652"/>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i w:val="0"/>
                <w:color w:val="212529"/>
                <w:sz w:val="18"/>
              </w:rPr>
              <w:t>Must</w:t>
            </w:r>
          </w:p>
        </w:tc>
        <w:tc>
          <w:tcPr>
            <w:tcW w:type="dxa" w:w="4056"/>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Sans elle, le produit ne tient pas sa promesse fondatrice</w:t>
            </w:r>
          </w:p>
        </w:tc>
        <w:tc>
          <w:tcPr>
            <w:tcW w:type="dxa" w:w="12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17</w:t>
            </w:r>
          </w:p>
        </w:tc>
        <w:tc>
          <w:tcPr>
            <w:tcW w:type="dxa" w:w="9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94</w:t>
            </w:r>
          </w:p>
        </w:tc>
        <w:tc>
          <w:tcPr>
            <w:tcW w:type="dxa" w:w="1802"/>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78 %</w:t>
            </w:r>
          </w:p>
        </w:tc>
        <w:tc>
          <w:tcPr>
            <w:tcW w:type="dxa" w:w="5408"/>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Non négociable. Toute tension sur le délai se reporte sur les marges du PERT</w:t>
            </w:r>
          </w:p>
        </w:tc>
      </w:tr>
      <w:tr>
        <w:tc>
          <w:tcPr>
            <w:tcW w:type="dxa" w:w="1652"/>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i w:val="0"/>
                <w:color w:val="212529"/>
                <w:sz w:val="18"/>
              </w:rPr>
              <w:t>Should</w:t>
            </w:r>
          </w:p>
        </w:tc>
        <w:tc>
          <w:tcPr>
            <w:tcW w:type="dxa" w:w="4056"/>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8"/>
              </w:rPr>
              <w:t>Attendue, mais le produit reste utilisable sans elle</w:t>
            </w:r>
          </w:p>
        </w:tc>
        <w:tc>
          <w:tcPr>
            <w:tcW w:type="dxa" w:w="120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4</w:t>
            </w:r>
          </w:p>
        </w:tc>
        <w:tc>
          <w:tcPr>
            <w:tcW w:type="dxa" w:w="90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16</w:t>
            </w:r>
          </w:p>
        </w:tc>
        <w:tc>
          <w:tcPr>
            <w:tcW w:type="dxa" w:w="1802"/>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13 %</w:t>
            </w:r>
          </w:p>
        </w:tc>
        <w:tc>
          <w:tcPr>
            <w:tcW w:type="dxa" w:w="5408"/>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8"/>
              </w:rPr>
              <w:t>Reportée à l'itération suivante, avec information des parties prenantes</w:t>
            </w:r>
          </w:p>
        </w:tc>
      </w:tr>
      <w:tr>
        <w:tc>
          <w:tcPr>
            <w:tcW w:type="dxa" w:w="1652"/>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i w:val="0"/>
                <w:color w:val="212529"/>
                <w:sz w:val="18"/>
              </w:rPr>
              <w:t>Could</w:t>
            </w:r>
          </w:p>
        </w:tc>
        <w:tc>
          <w:tcPr>
            <w:tcW w:type="dxa" w:w="4056"/>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Confort, livrée si la capacité le permet</w:t>
            </w:r>
          </w:p>
        </w:tc>
        <w:tc>
          <w:tcPr>
            <w:tcW w:type="dxa" w:w="12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3</w:t>
            </w:r>
          </w:p>
        </w:tc>
        <w:tc>
          <w:tcPr>
            <w:tcW w:type="dxa" w:w="9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11</w:t>
            </w:r>
          </w:p>
        </w:tc>
        <w:tc>
          <w:tcPr>
            <w:tcW w:type="dxa" w:w="1802"/>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9 %</w:t>
            </w:r>
          </w:p>
        </w:tc>
        <w:tc>
          <w:tcPr>
            <w:tcW w:type="dxa" w:w="5408"/>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Abandonnée sans arbitrage si la capacité manque</w:t>
            </w:r>
          </w:p>
        </w:tc>
      </w:tr>
      <w:tr>
        <w:tc>
          <w:tcPr>
            <w:tcW w:type="dxa" w:w="1652"/>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i w:val="0"/>
                <w:color w:val="212529"/>
                <w:sz w:val="18"/>
              </w:rPr>
              <w:t>Won't</w:t>
            </w:r>
          </w:p>
        </w:tc>
        <w:tc>
          <w:tcPr>
            <w:tcW w:type="dxa" w:w="4056"/>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8"/>
              </w:rPr>
              <w:t>Hors périmètre assumé pour cette version</w:t>
            </w:r>
          </w:p>
        </w:tc>
        <w:tc>
          <w:tcPr>
            <w:tcW w:type="dxa" w:w="120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2</w:t>
            </w:r>
          </w:p>
        </w:tc>
        <w:tc>
          <w:tcPr>
            <w:tcW w:type="dxa" w:w="90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42</w:t>
            </w:r>
          </w:p>
        </w:tc>
        <w:tc>
          <w:tcPr>
            <w:tcW w:type="dxa" w:w="1802"/>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hors périmètre</w:t>
            </w:r>
          </w:p>
        </w:tc>
        <w:tc>
          <w:tcPr>
            <w:tcW w:type="dxa" w:w="5408"/>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8"/>
              </w:rPr>
              <w:t>Consignée au plan d'amélioration continue, non planifiée</w:t>
            </w:r>
          </w:p>
        </w:tc>
      </w:tr>
      <w:tr>
        <w:tc>
          <w:tcPr>
            <w:tcW w:type="dxa" w:w="1652"/>
            <w:tcBorders>
              <w:top w:val="single" w:sz="4" w:space="0" w:color="DEE2E6"/>
              <w:left w:val="single" w:sz="4" w:space="0" w:color="DEE2E6"/>
              <w:bottom w:val="single" w:sz="4" w:space="0" w:color="DEE2E6"/>
              <w:right w:val="single" w:sz="4" w:space="0" w:color="DEE2E6"/>
            </w:tcBorders>
            <w:shd w:val="clear" w:fill="F1F3F5"/>
          </w:tcPr>
          <w:p>
            <w:pPr>
              <w:spacing w:before="40" w:after="40"/>
            </w:pPr>
            <w:r>
              <w:rPr>
                <w:rFonts w:ascii="Calibri" w:hAnsi="Calibri" w:cs="Calibri"/>
                <w:b/>
                <w:i w:val="0"/>
                <w:color w:val="212529"/>
                <w:sz w:val="18"/>
              </w:rPr>
              <w:t>Total livrable</w:t>
            </w:r>
          </w:p>
        </w:tc>
        <w:tc>
          <w:tcPr>
            <w:tcW w:type="dxa" w:w="4056"/>
            <w:tcBorders>
              <w:top w:val="single" w:sz="4" w:space="0" w:color="DEE2E6"/>
              <w:left w:val="single" w:sz="4" w:space="0" w:color="DEE2E6"/>
              <w:bottom w:val="single" w:sz="4" w:space="0" w:color="DEE2E6"/>
              <w:right w:val="single" w:sz="4" w:space="0" w:color="DEE2E6"/>
            </w:tcBorders>
            <w:shd w:val="clear" w:fill="F1F3F5"/>
          </w:tcPr>
          <w:p>
            <w:pPr>
              <w:spacing w:before="40" w:after="40"/>
            </w:pPr>
            <w:r>
              <w:rPr>
                <w:rFonts w:ascii="Calibri" w:hAnsi="Calibri" w:cs="Calibri"/>
                <w:b w:val="0"/>
                <w:i w:val="0"/>
                <w:color w:val="212529"/>
                <w:sz w:val="18"/>
              </w:rPr>
              <w:t>Must, Should et Could</w:t>
            </w:r>
          </w:p>
        </w:tc>
        <w:tc>
          <w:tcPr>
            <w:tcW w:type="dxa" w:w="1201"/>
            <w:tcBorders>
              <w:top w:val="single" w:sz="4" w:space="0" w:color="DEE2E6"/>
              <w:left w:val="single" w:sz="4" w:space="0" w:color="DEE2E6"/>
              <w:bottom w:val="single" w:sz="4" w:space="0" w:color="DEE2E6"/>
              <w:right w:val="single" w:sz="4" w:space="0" w:color="DEE2E6"/>
            </w:tcBorders>
            <w:shd w:val="clear" w:fill="F1F3F5"/>
          </w:tcPr>
          <w:p>
            <w:pPr>
              <w:spacing w:before="40" w:after="40"/>
              <w:jc w:val="center"/>
            </w:pPr>
            <w:r>
              <w:rPr>
                <w:rFonts w:ascii="Calibri" w:hAnsi="Calibri" w:cs="Calibri"/>
                <w:b w:val="0"/>
                <w:i w:val="0"/>
                <w:color w:val="212529"/>
                <w:sz w:val="18"/>
              </w:rPr>
              <w:t>24</w:t>
            </w:r>
          </w:p>
        </w:tc>
        <w:tc>
          <w:tcPr>
            <w:tcW w:type="dxa" w:w="901"/>
            <w:tcBorders>
              <w:top w:val="single" w:sz="4" w:space="0" w:color="DEE2E6"/>
              <w:left w:val="single" w:sz="4" w:space="0" w:color="DEE2E6"/>
              <w:bottom w:val="single" w:sz="4" w:space="0" w:color="DEE2E6"/>
              <w:right w:val="single" w:sz="4" w:space="0" w:color="DEE2E6"/>
            </w:tcBorders>
            <w:shd w:val="clear" w:fill="F1F3F5"/>
          </w:tcPr>
          <w:p>
            <w:pPr>
              <w:spacing w:before="40" w:after="40"/>
              <w:jc w:val="center"/>
            </w:pPr>
            <w:r>
              <w:rPr>
                <w:rFonts w:ascii="Calibri" w:hAnsi="Calibri" w:cs="Calibri"/>
                <w:b w:val="0"/>
                <w:i w:val="0"/>
                <w:color w:val="212529"/>
                <w:sz w:val="18"/>
              </w:rPr>
              <w:t>121</w:t>
            </w:r>
          </w:p>
        </w:tc>
        <w:tc>
          <w:tcPr>
            <w:tcW w:type="dxa" w:w="1802"/>
            <w:tcBorders>
              <w:top w:val="single" w:sz="4" w:space="0" w:color="DEE2E6"/>
              <w:left w:val="single" w:sz="4" w:space="0" w:color="DEE2E6"/>
              <w:bottom w:val="single" w:sz="4" w:space="0" w:color="DEE2E6"/>
              <w:right w:val="single" w:sz="4" w:space="0" w:color="DEE2E6"/>
            </w:tcBorders>
            <w:shd w:val="clear" w:fill="F1F3F5"/>
          </w:tcPr>
          <w:p>
            <w:pPr>
              <w:spacing w:before="40" w:after="40"/>
              <w:jc w:val="center"/>
            </w:pPr>
            <w:r>
              <w:rPr>
                <w:rFonts w:ascii="Calibri" w:hAnsi="Calibri" w:cs="Calibri"/>
                <w:b w:val="0"/>
                <w:i w:val="0"/>
                <w:color w:val="212529"/>
                <w:sz w:val="18"/>
              </w:rPr>
              <w:t>100 %</w:t>
            </w:r>
          </w:p>
        </w:tc>
        <w:tc>
          <w:tcPr>
            <w:tcW w:type="dxa" w:w="5408"/>
            <w:tcBorders>
              <w:top w:val="single" w:sz="4" w:space="0" w:color="DEE2E6"/>
              <w:left w:val="single" w:sz="4" w:space="0" w:color="DEE2E6"/>
              <w:bottom w:val="single" w:sz="4" w:space="0" w:color="DEE2E6"/>
              <w:right w:val="single" w:sz="4" w:space="0" w:color="DEE2E6"/>
            </w:tcBorders>
            <w:shd w:val="clear" w:fill="F1F3F5"/>
          </w:tcPr>
          <w:p>
            <w:pPr>
              <w:spacing w:before="40" w:after="40"/>
            </w:pPr>
            <w:r>
              <w:rPr>
                <w:rFonts w:ascii="Calibri" w:hAnsi="Calibri" w:cs="Calibri"/>
                <w:b w:val="0"/>
                <w:i w:val="0"/>
                <w:color w:val="212529"/>
                <w:sz w:val="18"/>
              </w:rPr>
              <w:t>Capacité observée d'environ 10 points par itération de deux semaines</w:t>
            </w:r>
          </w:p>
        </w:tc>
      </w:tr>
    </w:tbl>
    <w:p>
      <w:pPr>
        <w:spacing w:after="0"/>
      </w:pPr>
    </w:p>
    <w:p>
      <w:pPr>
        <w:spacing w:before="120" w:after="120"/>
        <w:jc w:val="both"/>
      </w:pPr>
      <w:r>
        <w:rPr>
          <w:rFonts w:ascii="Calibri" w:hAnsi="Calibri" w:cs="Calibri"/>
          <w:b w:val="0"/>
          <w:i w:val="0"/>
          <w:color w:val="212529"/>
          <w:sz w:val="20"/>
        </w:rPr>
        <w:t>Le fait marquant de cette répartition n'est pas flatteur et mérite d'être énoncé. La part des Must atteint 78 % des points livrables, ce qui traduit un périmètre déjà réduit à son noyau avant même la priorisation. En clair, la matrice MoSCoW laisse ici peu de marge d'arbitrage, et le seul amortisseur réel en cas de retard reste les marges calculées au PERT (cf. Annexe M), six jours sur l'infrastructure, vingt-cinq sur le frontend, trente-quatre sur la sécurité. C'est une limite assumée du découpage, pas un oubli de méthode.</w:t>
      </w:r>
    </w:p>
    <w:p>
      <w:pPr>
        <w:spacing w:before="0" w:after="120"/>
        <w:jc w:val="both"/>
      </w:pPr>
      <w:r>
        <w:rPr>
          <w:rFonts w:ascii="Calibri" w:hAnsi="Calibri" w:cs="Calibri"/>
          <w:b w:val="0"/>
          <w:i w:val="0"/>
          <w:color w:val="212529"/>
          <w:sz w:val="20"/>
        </w:rPr>
        <w:t>Chaque priorité est justifiée par un critère unique, l'atteinte ou non de la promesse fondatrice du produit, à savoir le contrôle explicite de la visibilité (cf. Annexe W, KF1). Les deux stories classées Won't ne sont pas des oublis, ce sont des renoncements documentés. La recherche par contenu supposerait un traitement d'images à grande échelle, hors du périmètre de charge et hors du modèle de sobriété retenu. Les 42 points ainsi écartés représentent à eux seuls 26 % de l'effort qui aurait été nécessaire pour couvrir l'ensemble des demandes recensées.</w:t>
      </w:r>
    </w:p>
    <w:p>
      <w:pPr>
        <w:spacing w:before="240" w:after="100"/>
      </w:pPr>
      <w:r>
        <w:rPr>
          <w:rFonts w:ascii="Calibri" w:hAnsi="Calibri" w:cs="Calibri"/>
          <w:b/>
          <w:i w:val="0"/>
          <w:color w:val="1C7ED6"/>
          <w:sz w:val="26"/>
        </w:rPr>
        <w:t>4.  Croisement valeur et effort</w:t>
      </w:r>
    </w:p>
    <w:p>
      <w:pPr>
        <w:spacing w:before="0" w:after="120"/>
        <w:jc w:val="both"/>
      </w:pPr>
      <w:r>
        <w:rPr>
          <w:rFonts w:ascii="Calibri" w:hAnsi="Calibri" w:cs="Calibri"/>
          <w:b w:val="0"/>
          <w:i w:val="0"/>
          <w:color w:val="212529"/>
          <w:sz w:val="20"/>
        </w:rPr>
        <w:t>Le second axe de priorisation croise la valeur perçue par le persona et l'effort estimé. Il sert à ordonner les stories à l'intérieur d'une même priorité MoSCoW.</w:t>
      </w:r>
    </w:p>
    <w:tbl>
      <w:tblPr>
        <w:tblW w:type="auto" w:w="0"/>
        <w:jc w:val="center"/>
        <w:tblLayout w:type="fixed"/>
        <w:tblLook w:firstColumn="1" w:firstRow="1" w:lastColumn="0" w:lastRow="0" w:noHBand="0" w:noVBand="1" w:val="04A0"/>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Pr>
      <w:tblGrid>
        <w:gridCol w:w="2103"/>
        <w:gridCol w:w="4206"/>
        <w:gridCol w:w="4206"/>
        <w:gridCol w:w="4507"/>
      </w:tblGrid>
      <w:tr>
        <w:trPr>
          <w:tblHeader/>
        </w:trPr>
        <w:tc>
          <w:tcPr>
            <w:tcW w:type="dxa" w:w="2103"/>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r>
          </w:p>
        </w:tc>
        <w:tc>
          <w:tcPr>
            <w:tcW w:type="dxa" w:w="420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Effort faible (2 à 3 pts)</w:t>
            </w:r>
          </w:p>
        </w:tc>
        <w:tc>
          <w:tcPr>
            <w:tcW w:type="dxa" w:w="420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Effort moyen (5 pts)</w:t>
            </w:r>
          </w:p>
        </w:tc>
        <w:tc>
          <w:tcPr>
            <w:tcW w:type="dxa" w:w="4507"/>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Effort élevé (8 pts et plus)</w:t>
            </w:r>
          </w:p>
        </w:tc>
      </w:tr>
      <w:tr>
        <w:tc>
          <w:tcPr>
            <w:tcW w:type="dxa" w:w="2103"/>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i w:val="0"/>
                <w:color w:val="212529"/>
                <w:sz w:val="18"/>
              </w:rPr>
              <w:t>Valeur forte</w:t>
            </w:r>
          </w:p>
        </w:tc>
        <w:tc>
          <w:tcPr>
            <w:tcW w:type="dxa" w:w="4206"/>
            <w:tcBorders>
              <w:top w:val="single" w:sz="4" w:space="0" w:color="DEE2E6"/>
              <w:left w:val="single" w:sz="4" w:space="0" w:color="DEE2E6"/>
              <w:bottom w:val="single" w:sz="4" w:space="0" w:color="DEE2E6"/>
              <w:right w:val="single" w:sz="4" w:space="0" w:color="DEE2E6"/>
            </w:tcBorders>
            <w:shd w:val="clear" w:fill="E9FAC8"/>
          </w:tcPr>
          <w:p>
            <w:pPr>
              <w:spacing w:before="40" w:after="40"/>
            </w:pPr>
            <w:r>
              <w:rPr>
                <w:rFonts w:ascii="Calibri" w:hAnsi="Calibri" w:cs="Calibri"/>
                <w:b w:val="0"/>
                <w:i w:val="0"/>
                <w:color w:val="212529"/>
                <w:sz w:val="18"/>
              </w:rPr>
              <w:t>US-03, US-11, US-16</w:t>
            </w:r>
          </w:p>
        </w:tc>
        <w:tc>
          <w:tcPr>
            <w:tcW w:type="dxa" w:w="4206"/>
            <w:tcBorders>
              <w:top w:val="single" w:sz="4" w:space="0" w:color="DEE2E6"/>
              <w:left w:val="single" w:sz="4" w:space="0" w:color="DEE2E6"/>
              <w:bottom w:val="single" w:sz="4" w:space="0" w:color="DEE2E6"/>
              <w:right w:val="single" w:sz="4" w:space="0" w:color="DEE2E6"/>
            </w:tcBorders>
            <w:shd w:val="clear" w:fill="E9FAC8"/>
          </w:tcPr>
          <w:p>
            <w:pPr>
              <w:spacing w:before="40" w:after="40"/>
            </w:pPr>
            <w:r>
              <w:rPr>
                <w:rFonts w:ascii="Calibri" w:hAnsi="Calibri" w:cs="Calibri"/>
                <w:b w:val="0"/>
                <w:i w:val="0"/>
                <w:color w:val="212529"/>
                <w:sz w:val="18"/>
              </w:rPr>
              <w:t>US-02, US-09, US-10, US-13, US-22</w:t>
            </w:r>
          </w:p>
        </w:tc>
        <w:tc>
          <w:tcPr>
            <w:tcW w:type="dxa" w:w="4507"/>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US-04, US-08, US-14, US-15, US-23, US-24</w:t>
            </w:r>
          </w:p>
        </w:tc>
      </w:tr>
      <w:tr>
        <w:tc>
          <w:tcPr>
            <w:tcW w:type="dxa" w:w="2103"/>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i w:val="0"/>
                <w:color w:val="212529"/>
                <w:sz w:val="18"/>
              </w:rPr>
              <w:t>Valeur moyenne</w:t>
            </w:r>
          </w:p>
        </w:tc>
        <w:tc>
          <w:tcPr>
            <w:tcW w:type="dxa" w:w="4206"/>
            <w:tcBorders>
              <w:top w:val="single" w:sz="4" w:space="0" w:color="DEE2E6"/>
              <w:left w:val="single" w:sz="4" w:space="0" w:color="DEE2E6"/>
              <w:bottom w:val="single" w:sz="4" w:space="0" w:color="DEE2E6"/>
              <w:right w:val="single" w:sz="4" w:space="0" w:color="DEE2E6"/>
            </w:tcBorders>
            <w:shd w:val="clear" w:fill="FFF3BF"/>
          </w:tcPr>
          <w:p>
            <w:pPr>
              <w:spacing w:before="40" w:after="40"/>
            </w:pPr>
            <w:r>
              <w:rPr>
                <w:rFonts w:ascii="Calibri" w:hAnsi="Calibri" w:cs="Calibri"/>
                <w:b w:val="0"/>
                <w:i w:val="0"/>
                <w:color w:val="212529"/>
                <w:sz w:val="18"/>
              </w:rPr>
              <w:t>US-01, US-12, US-17, US-20, US-21</w:t>
            </w:r>
          </w:p>
        </w:tc>
        <w:tc>
          <w:tcPr>
            <w:tcW w:type="dxa" w:w="4206"/>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8"/>
              </w:rPr>
              <w:t>US-06, US-07, US-18, US-19</w:t>
            </w:r>
          </w:p>
        </w:tc>
        <w:tc>
          <w:tcPr>
            <w:tcW w:type="dxa" w:w="4507"/>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8"/>
              </w:rPr>
            </w:r>
          </w:p>
        </w:tc>
      </w:tr>
      <w:tr>
        <w:tc>
          <w:tcPr>
            <w:tcW w:type="dxa" w:w="2103"/>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i w:val="0"/>
                <w:color w:val="212529"/>
                <w:sz w:val="18"/>
              </w:rPr>
              <w:t>Valeur faible</w:t>
            </w:r>
          </w:p>
        </w:tc>
        <w:tc>
          <w:tcPr>
            <w:tcW w:type="dxa" w:w="4206"/>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r>
          </w:p>
        </w:tc>
        <w:tc>
          <w:tcPr>
            <w:tcW w:type="dxa" w:w="4206"/>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r>
          </w:p>
        </w:tc>
        <w:tc>
          <w:tcPr>
            <w:tcW w:type="dxa" w:w="4507"/>
            <w:tcBorders>
              <w:top w:val="single" w:sz="4" w:space="0" w:color="DEE2E6"/>
              <w:left w:val="single" w:sz="4" w:space="0" w:color="DEE2E6"/>
              <w:bottom w:val="single" w:sz="4" w:space="0" w:color="DEE2E6"/>
              <w:right w:val="single" w:sz="4" w:space="0" w:color="DEE2E6"/>
            </w:tcBorders>
            <w:shd w:val="clear" w:fill="F1F3F5"/>
          </w:tcPr>
          <w:p>
            <w:pPr>
              <w:spacing w:before="40" w:after="40"/>
            </w:pPr>
            <w:r>
              <w:rPr>
                <w:rFonts w:ascii="Calibri" w:hAnsi="Calibri" w:cs="Calibri"/>
                <w:b w:val="0"/>
                <w:i w:val="0"/>
                <w:color w:val="212529"/>
                <w:sz w:val="18"/>
              </w:rPr>
              <w:t>US-25, US-26 (hors périmètre)</w:t>
            </w:r>
          </w:p>
        </w:tc>
      </w:tr>
    </w:tbl>
    <w:p>
      <w:pPr>
        <w:spacing w:after="0"/>
      </w:pPr>
    </w:p>
    <w:p>
      <w:pPr>
        <w:spacing w:before="120" w:after="120"/>
        <w:jc w:val="both"/>
      </w:pPr>
      <w:r>
        <w:rPr>
          <w:rFonts w:ascii="Calibri" w:hAnsi="Calibri" w:cs="Calibri"/>
          <w:b w:val="0"/>
          <w:i w:val="0"/>
          <w:color w:val="212529"/>
          <w:sz w:val="20"/>
        </w:rPr>
        <w:t>Les stories situées en valeur forte et effort faible sont traitées en premier dans chaque itération, parce qu'elles produisent un effet visible à faible coût. Les stories en valeur forte et effort élevé sont découpées avant d'entrer en itération, aucune n'excédant huit points une fois découpée.</w:t>
      </w:r>
    </w:p>
    <w:p>
      <w:pPr>
        <w:spacing w:before="240"/>
      </w:pPr>
      <w:r>
        <w:rPr>
          <w:rFonts w:ascii="Calibri" w:hAnsi="Calibri" w:cs="Calibri"/>
          <w:b w:val="0"/>
          <w:i w:val="0"/>
          <w:color w:val="868E96"/>
          <w:sz w:val="16"/>
        </w:rPr>
        <w:t>Sources : mémoire §11.2.1 (fonctionnalités requises), §11.2.2 (collecte et analyse des besoins), §13.5.2 (méthodologie de projet) · Annexe G (cas d'utilisation) · Annexe Q (contrat d'interface) · Annexe W (killer features) · Annexe Z (plan de tests).</w:t>
      </w:r>
    </w:p>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