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1A0CF65">
      <w:pPr>
        <w:spacing w:after="40"/>
      </w:pPr>
      <w:r>
        <w:rPr>
          <w:rFonts w:ascii="Calibri" w:hAnsi="Calibri" w:eastAsia="Calibri" w:cs="Calibri"/>
          <w:b/>
          <w:bCs/>
          <w:color w:val="212529"/>
          <w:sz w:val="38"/>
          <w:szCs w:val="22"/>
        </w:rPr>
        <w:t>Annexe R Cartographie ISO/IEC 27001:2022 et RGPD</w:t>
      </w:r>
    </w:p>
    <w:p w14:paraId="6C58ED48">
      <w:pPr>
        <w:spacing w:after="200"/>
      </w:pPr>
      <w:r>
        <w:rPr>
          <w:rFonts w:ascii="Calibri" w:hAnsi="Calibri" w:eastAsia="Calibri" w:cs="Calibri"/>
          <w:color w:val="868E96"/>
          <w:sz w:val="22"/>
          <w:szCs w:val="22"/>
        </w:rPr>
        <w:t>dropicture · correspondance entre les mesures de sécurité effectivement mises en œuvre et les référentiels applicables</w:t>
      </w:r>
    </w:p>
    <w:p w14:paraId="08EA6404">
      <w:pPr>
        <w:spacing w:after="280"/>
      </w:pPr>
      <w:r>
        <w:rPr>
          <w:rFonts w:ascii="Calibri" w:hAnsi="Calibri" w:eastAsia="Calibri" w:cs="Calibri"/>
          <w:i/>
          <w:iCs/>
          <w:color w:val="868E96"/>
          <w:sz w:val="17"/>
          <w:szCs w:val="22"/>
        </w:rPr>
        <w:t xml:space="preserve">RNCP40573  Expert en informatique et systèmes d'information, option DevOps · Amir Redjem · appelée en §11.3.4, §12.1.2, §12.4.1 et §13 du mémoire</w:t>
      </w:r>
    </w:p>
    <w:p w14:paraId="7FD6B955">
      <w:pPr>
        <w:spacing w:after="120"/>
        <w:jc w:val="both"/>
      </w:pPr>
      <w:r>
        <w:rPr>
          <w:rFonts w:ascii="Calibri" w:hAnsi="Calibri" w:eastAsia="Calibri" w:cs="Calibri"/>
          <w:color w:val="212529"/>
          <w:sz w:val="20"/>
          <w:szCs w:val="22"/>
        </w:rPr>
        <w:t>Cette cartographie rapproche les mesures réellement déployées dans le dépôt dropicture des mesures de l'annexe A de la norme ISO/IEC 27001 dans sa version 2022, puis des articles du règlement général sur la protection des données. Elle ne prétend pas à une certification, elle documente une couverture, et surtout ses écarts. Une cartographie qui ne montrerait que ce qui est couvert n'aurait aucune valeur d'audit.</w:t>
      </w:r>
    </w:p>
    <w:p w14:paraId="6C7D2A12">
      <w:pPr>
        <w:spacing w:after="120"/>
        <w:jc w:val="both"/>
      </w:pPr>
      <w:r>
        <w:rPr>
          <w:rFonts w:ascii="Calibri" w:hAnsi="Calibri" w:eastAsia="Calibri" w:cs="Calibri"/>
          <w:color w:val="212529"/>
          <w:sz w:val="20"/>
          <w:szCs w:val="22"/>
        </w:rPr>
        <w:t>Trois statuts sont employés. « Couvert » signifie qu'une mesure technique effective, vérifiable dans le dépôt, répond au contrôle. « Partiellement couvert » signale un dispositif en place mais incomplet, dont l'écart est décrit et rattaché au plan d'amélioration continue. « Délégué » désigne un contrôle qui relève contractuellement d'un fournisseur d'hébergement certifié. « Hors périmètre » marque un contrôle sans traduction technique dans ce projet.</w:t>
      </w:r>
    </w:p>
    <w:p w14:paraId="0E320CC2">
      <w:pPr>
        <w:keepNext/>
        <w:spacing w:before="280" w:after="80"/>
      </w:pPr>
      <w:r>
        <w:rPr>
          <w:rFonts w:ascii="Calibri" w:hAnsi="Calibri" w:eastAsia="Calibri" w:cs="Calibri"/>
          <w:b/>
          <w:bCs/>
          <w:color w:val="1C7ED6"/>
          <w:sz w:val="25"/>
          <w:szCs w:val="22"/>
        </w:rPr>
        <w:t>A.5 — Contrôles organisationnels</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3756"/>
        <w:gridCol w:w="3756"/>
        <w:gridCol w:w="3756"/>
        <w:gridCol w:w="3756"/>
      </w:tblGrid>
      <w:tr>
        <w:trPr>
          <w:tblHeader/>
        </w:trPr>
        <w:tc>
          <w:tcPr>
            <w:tcW w:w="147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4DB1FC67">
            <w:pPr>
              <w:spacing w:before="40" w:after="40" w:line="252" w:lineRule="auto"/>
              <w:jc w:val="center"/>
            </w:pPr>
            <w:r/>
            <w:r>
              <w:rPr>
                <w:rFonts w:ascii="Calibri" w:hAnsi="Calibri" w:eastAsia="Calibri" w:cs="Calibri"/>
                <w:b/>
                <w:bCs/>
                <w:color w:val="FFFFFF"/>
                <w:sz w:val="18"/>
                <w:szCs w:val="22"/>
              </w:rPr>
              <w:t>Réf.</w:t>
            </w:r>
          </w:p>
        </w:tc>
        <w:tc>
          <w:tcPr>
            <w:tcW w:w="362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48599E35">
            <w:pPr>
              <w:spacing w:before="40" w:after="40" w:line="252" w:lineRule="auto"/>
              <w:jc w:val="center"/>
            </w:pPr>
            <w:r/>
            <w:r>
              <w:rPr>
                <w:rFonts w:ascii="Calibri" w:hAnsi="Calibri" w:eastAsia="Calibri" w:cs="Calibri"/>
                <w:b/>
                <w:bCs/>
                <w:color w:val="FFFFFF"/>
                <w:sz w:val="18"/>
                <w:szCs w:val="22"/>
              </w:rPr>
              <w:t>Contrôle</w:t>
            </w:r>
          </w:p>
        </w:tc>
        <w:tc>
          <w:tcPr>
            <w:tcW w:w="181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387A5683">
            <w:pPr>
              <w:spacing w:before="40" w:after="40" w:line="252" w:lineRule="auto"/>
              <w:jc w:val="center"/>
            </w:pPr>
            <w:r/>
            <w:r>
              <w:rPr>
                <w:rFonts w:ascii="Calibri" w:hAnsi="Calibri" w:eastAsia="Calibri" w:cs="Calibri"/>
                <w:b/>
                <w:bCs/>
                <w:color w:val="FFFFFF"/>
                <w:sz w:val="18"/>
                <w:szCs w:val="22"/>
              </w:rPr>
              <w:t>Statut</w:t>
            </w:r>
          </w:p>
        </w:tc>
        <w:tc>
          <w:tcPr>
            <w:tcW w:w="771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7035F6FF">
            <w:pPr>
              <w:spacing w:before="40" w:after="40" w:line="252" w:lineRule="auto"/>
              <w:jc w:val="center"/>
            </w:pPr>
            <w:r/>
            <w:r>
              <w:rPr>
                <w:rFonts w:ascii="Calibri" w:hAnsi="Calibri" w:eastAsia="Calibri" w:cs="Calibri"/>
                <w:b/>
                <w:bCs/>
                <w:color w:val="FFFFFF"/>
                <w:sz w:val="18"/>
                <w:szCs w:val="22"/>
              </w:rPr>
              <w:t>Mise en œuvre dans dropicture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5CB9D43">
            <w:pPr>
              <w:spacing w:before="40" w:after="40" w:line="252" w:lineRule="auto"/>
              <w:jc w:val="center"/>
            </w:pPr>
            <w:r/>
            <w:r>
              <w:rPr>
                <w:rFonts w:ascii="Calibri" w:hAnsi="Calibri" w:eastAsia="Calibri" w:cs="Calibri"/>
                <w:b/>
                <w:bCs/>
                <w:color w:val="212529"/>
                <w:sz w:val="17"/>
                <w:szCs w:val="22"/>
              </w:rPr>
              <w:t>5.1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E03550F">
            <w:pPr>
              <w:spacing w:before="40" w:after="40" w:line="252" w:lineRule="auto"/>
            </w:pPr>
            <w:r/>
            <w:r>
              <w:rPr>
                <w:rFonts w:ascii="Calibri" w:hAnsi="Calibri" w:eastAsia="Calibri" w:cs="Calibri"/>
                <w:color w:val="212529"/>
                <w:sz w:val="17"/>
                <w:szCs w:val="22"/>
              </w:rPr>
              <w:t>Politiques de sécurité de l'information</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F6102B0">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9C2F54F">
            <w:pPr>
              <w:spacing w:before="40" w:after="40" w:line="252" w:lineRule="auto"/>
            </w:pPr>
            <w:r/>
            <w:r>
              <w:rPr>
                <w:rFonts w:ascii="Calibri" w:hAnsi="Calibri" w:eastAsia="Calibri" w:cs="Calibri"/>
                <w:color w:val="212529"/>
                <w:sz w:val="17"/>
                <w:szCs w:val="22"/>
              </w:rPr>
              <w:t>Politique portée par le dossier technique, le journal des décisions d'architecture (Annexe J) et le README du dépôt. Toute règle est traduite en code ou en configuration versionnée.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E855AC7">
            <w:pPr>
              <w:spacing w:before="40" w:after="40" w:line="252" w:lineRule="auto"/>
              <w:jc w:val="center"/>
            </w:pPr>
            <w:r/>
            <w:r>
              <w:rPr>
                <w:rFonts w:ascii="Calibri" w:hAnsi="Calibri" w:eastAsia="Calibri" w:cs="Calibri"/>
                <w:b/>
                <w:bCs/>
                <w:color w:val="212529"/>
                <w:sz w:val="17"/>
                <w:szCs w:val="22"/>
              </w:rPr>
              <w:t>5.7</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5F7F59">
            <w:pPr>
              <w:spacing w:before="40" w:after="40" w:line="252" w:lineRule="auto"/>
            </w:pPr>
            <w:r/>
            <w:r>
              <w:rPr>
                <w:rFonts w:ascii="Calibri" w:hAnsi="Calibri" w:eastAsia="Calibri" w:cs="Calibri"/>
                <w:color w:val="212529"/>
                <w:sz w:val="17"/>
                <w:szCs w:val="22"/>
              </w:rPr>
              <w:t>Renseignement sur les menaces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9D3602B">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A9F13A5">
            <w:pPr>
              <w:spacing w:before="40" w:after="40" w:line="252" w:lineRule="auto"/>
            </w:pPr>
            <w:r>
              <w:rPr>
                <w:rFonts w:ascii="Calibri" w:hAnsi="Calibri" w:eastAsia="Calibri" w:cs="Calibri"/>
                <w:color w:val="212529"/>
                <w:sz w:val="17"/>
                <w:szCs w:val="22"/>
              </w:rPr>
              <w:t xml:space="preserve">Veille technologique et réglementaire structurée (mémoire §11.1). Base de vulnérabilités Trivy rafraîchie à chaque exécution du pipeline,  résultats SARIF publiés dans GitHub Code Scanning.</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0B903BF">
            <w:pPr>
              <w:spacing w:before="40" w:after="40" w:line="252" w:lineRule="auto"/>
              <w:jc w:val="center"/>
            </w:pPr>
            <w:r/>
            <w:r>
              <w:rPr>
                <w:rFonts w:ascii="Calibri" w:hAnsi="Calibri" w:eastAsia="Calibri" w:cs="Calibri"/>
                <w:b/>
                <w:bCs/>
                <w:color w:val="212529"/>
                <w:sz w:val="17"/>
                <w:szCs w:val="22"/>
              </w:rPr>
              <w:t>5.8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FBB9788">
            <w:pPr>
              <w:spacing w:before="40" w:after="40" w:line="252" w:lineRule="auto"/>
            </w:pPr>
            <w:r/>
            <w:r>
              <w:rPr>
                <w:rFonts w:ascii="Calibri" w:hAnsi="Calibri" w:eastAsia="Calibri" w:cs="Calibri"/>
                <w:color w:val="212529"/>
                <w:sz w:val="17"/>
                <w:szCs w:val="22"/>
              </w:rPr>
              <w:t>Sécurité de l'information dans la gestion de projet</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A64F407">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4217312">
            <w:pPr>
              <w:spacing w:before="40" w:after="40" w:line="252" w:lineRule="auto"/>
            </w:pPr>
            <w:r/>
            <w:r>
              <w:rPr>
                <w:rFonts w:ascii="Calibri" w:hAnsi="Calibri" w:eastAsia="Calibri" w:cs="Calibri"/>
                <w:color w:val="212529"/>
                <w:sz w:val="17"/>
                <w:szCs w:val="22"/>
              </w:rPr>
              <w:t>Exigences de sécurité inscrites au cahier des charges et au lot WBS 7. Portes bloquantes dans la chaîne de livraison (Annexe S). Registre des risques revu périodiquement (Annexe O).</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E3C1DC6">
            <w:pPr>
              <w:spacing w:before="40" w:after="40" w:line="252" w:lineRule="auto"/>
              <w:jc w:val="center"/>
            </w:pPr>
            <w:r/>
            <w:r>
              <w:rPr>
                <w:rFonts w:ascii="Calibri" w:hAnsi="Calibri" w:eastAsia="Calibri" w:cs="Calibri"/>
                <w:b/>
                <w:bCs/>
                <w:color w:val="212529"/>
                <w:sz w:val="17"/>
                <w:szCs w:val="22"/>
              </w:rPr>
              <w:t>5.9 / 5.10</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BBC921B">
            <w:pPr>
              <w:spacing w:before="40" w:after="40" w:line="252" w:lineRule="auto"/>
            </w:pPr>
            <w:r/>
            <w:r>
              <w:rPr>
                <w:rFonts w:ascii="Calibri" w:hAnsi="Calibri" w:eastAsia="Calibri" w:cs="Calibri"/>
                <w:color w:val="212529"/>
                <w:sz w:val="17"/>
                <w:szCs w:val="22"/>
              </w:rPr>
              <w:t>Inventaire des actifs et usage acceptable</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A587268">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33B7997">
            <w:pPr>
              <w:spacing w:before="40" w:after="40" w:line="252" w:lineRule="auto"/>
            </w:pPr>
            <w:r>
              <w:rPr>
                <w:rFonts w:ascii="Calibri" w:hAnsi="Calibri" w:eastAsia="Calibri" w:cs="Calibri"/>
                <w:color w:val="212529"/>
                <w:sz w:val="17"/>
                <w:szCs w:val="22"/>
              </w:rPr>
              <w:t xml:space="preserve">L'état Terraform constitue l'inventaire faisant autorité,  nœuds, réseaux, pare-feu, buckets, distribution, paramètres. Aucune ressource n'est créée hors du code.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C9282DC">
            <w:pPr>
              <w:spacing w:before="40" w:after="40" w:line="252" w:lineRule="auto"/>
              <w:jc w:val="center"/>
            </w:pPr>
            <w:r/>
            <w:r>
              <w:rPr>
                <w:rFonts w:ascii="Calibri" w:hAnsi="Calibri" w:eastAsia="Calibri" w:cs="Calibri"/>
                <w:b/>
                <w:bCs/>
                <w:color w:val="212529"/>
                <w:sz w:val="17"/>
                <w:szCs w:val="22"/>
              </w:rPr>
              <w:t>5.14</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C63D1C">
            <w:pPr>
              <w:spacing w:before="40" w:after="40" w:line="252" w:lineRule="auto"/>
            </w:pPr>
            <w:r/>
            <w:r>
              <w:rPr>
                <w:rFonts w:ascii="Calibri" w:hAnsi="Calibri" w:eastAsia="Calibri" w:cs="Calibri"/>
                <w:color w:val="212529"/>
                <w:sz w:val="17"/>
                <w:szCs w:val="22"/>
              </w:rPr>
              <w:t>Transfert d'informations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2BE93C3B">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6D4C946">
            <w:pPr>
              <w:spacing w:before="40" w:after="40" w:line="252" w:lineRule="auto"/>
            </w:pPr>
            <w:r/>
            <w:r>
              <w:rPr>
                <w:rFonts w:ascii="Calibri" w:hAnsi="Calibri" w:eastAsia="Calibri" w:cs="Calibri"/>
                <w:color w:val="212529"/>
                <w:sz w:val="17"/>
                <w:szCs w:val="22"/>
              </w:rPr>
              <w:t>TLS strict de bout en bout (Cloudflare « full strict », certificat Origin CA sur l'origine), HSTS deux ans avec preload, politique de bucket refusant explicitement tout transport non chiffré.</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EB564B7">
            <w:pPr>
              <w:spacing w:before="40" w:after="40" w:line="252" w:lineRule="auto"/>
              <w:jc w:val="center"/>
            </w:pPr>
            <w:r/>
            <w:r>
              <w:rPr>
                <w:rFonts w:ascii="Calibri" w:hAnsi="Calibri" w:eastAsia="Calibri" w:cs="Calibri"/>
                <w:b/>
                <w:bCs/>
                <w:color w:val="212529"/>
                <w:sz w:val="17"/>
                <w:szCs w:val="22"/>
              </w:rPr>
              <w:t>5.15</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3708722">
            <w:pPr>
              <w:spacing w:before="40" w:after="40" w:line="252" w:lineRule="auto"/>
            </w:pPr>
            <w:r/>
            <w:r>
              <w:rPr>
                <w:rFonts w:ascii="Calibri" w:hAnsi="Calibri" w:eastAsia="Calibri" w:cs="Calibri"/>
                <w:color w:val="212529"/>
                <w:sz w:val="17"/>
                <w:szCs w:val="22"/>
              </w:rPr>
              <w:t>Contrôle d'accès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41F08BE">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F2DE2C">
            <w:pPr>
              <w:spacing w:before="40" w:after="40" w:line="252" w:lineRule="auto"/>
            </w:pPr>
            <w:r>
              <w:rPr>
                <w:rFonts w:ascii="Calibri" w:hAnsi="Calibri" w:eastAsia="Calibri" w:cs="Calibri"/>
                <w:color w:val="212529"/>
                <w:sz w:val="17"/>
                <w:szCs w:val="22"/>
              </w:rPr>
              <w:t xml:space="preserve">Session opaque obligatoire sur toutes les routes protégées,  chaque opération est bornée par une clause d'appartenance ; accès programmatique par clé d'API personnelle, rotative et révocable.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9E0D977">
            <w:pPr>
              <w:spacing w:before="40" w:after="40" w:line="252" w:lineRule="auto"/>
              <w:jc w:val="center"/>
            </w:pPr>
            <w:r/>
            <w:r>
              <w:rPr>
                <w:rFonts w:ascii="Calibri" w:hAnsi="Calibri" w:eastAsia="Calibri" w:cs="Calibri"/>
                <w:b/>
                <w:bCs/>
                <w:color w:val="212529"/>
                <w:sz w:val="17"/>
                <w:szCs w:val="22"/>
              </w:rPr>
              <w:t>5.16 / 5.17 / 5.18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277BCDA">
            <w:pPr>
              <w:spacing w:before="40" w:after="40" w:line="252" w:lineRule="auto"/>
            </w:pPr>
            <w:r/>
            <w:r>
              <w:rPr>
                <w:rFonts w:ascii="Calibri" w:hAnsi="Calibri" w:eastAsia="Calibri" w:cs="Calibri"/>
                <w:color w:val="212529"/>
                <w:sz w:val="17"/>
                <w:szCs w:val="22"/>
              </w:rPr>
              <w:t>Gestion des identités, des informations d'authentification et des droits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DBD60EA">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F625FD8">
            <w:pPr>
              <w:spacing w:before="40" w:after="40" w:line="252" w:lineRule="auto"/>
            </w:pPr>
            <w:r/>
            <w:r>
              <w:rPr>
                <w:rFonts w:ascii="Calibri" w:hAnsi="Calibri" w:eastAsia="Calibri" w:cs="Calibri"/>
                <w:color w:val="212529"/>
                <w:sz w:val="17"/>
                <w:szCs w:val="22"/>
              </w:rPr>
              <w:t>Identité unique par compte (pseudonyme et e-mail uniques). Mot de passe haché en Argon2id, exclu des lectures par défaut. Révocation globale par versionnement de jeton. Clé d'API régénérable et révocable en un appel.</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A736042">
            <w:pPr>
              <w:spacing w:before="40" w:after="40" w:line="252" w:lineRule="auto"/>
              <w:jc w:val="center"/>
            </w:pPr>
            <w:r/>
            <w:r>
              <w:rPr>
                <w:rFonts w:ascii="Calibri" w:hAnsi="Calibri" w:eastAsia="Calibri" w:cs="Calibri"/>
                <w:b/>
                <w:bCs/>
                <w:color w:val="212529"/>
                <w:sz w:val="17"/>
                <w:szCs w:val="22"/>
              </w:rPr>
              <w:t>5.19 / 5.20 / 5.21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0A24586">
            <w:pPr>
              <w:spacing w:before="40" w:after="40" w:line="252" w:lineRule="auto"/>
            </w:pPr>
            <w:r/>
            <w:r>
              <w:rPr>
                <w:rFonts w:ascii="Calibri" w:hAnsi="Calibri" w:eastAsia="Calibri" w:cs="Calibri"/>
                <w:color w:val="212529"/>
                <w:sz w:val="17"/>
                <w:szCs w:val="22"/>
              </w:rPr>
              <w:t>Relations fournisseurs et chaîne d'approvisionnement TIC</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037BF4A">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D2F62E4">
            <w:pPr>
              <w:spacing w:before="40" w:after="40" w:line="252" w:lineRule="auto"/>
            </w:pPr>
            <w:r/>
            <w:r>
              <w:rPr>
                <w:rFonts w:ascii="Calibri" w:hAnsi="Calibri" w:eastAsia="Calibri" w:cs="Calibri"/>
                <w:color w:val="212529"/>
                <w:sz w:val="17"/>
                <w:szCs w:val="22"/>
              </w:rPr>
              <w:t>Trois fournisseurs identifiés, chacun sur un périmètre explicite (Annexe B). Versions d'images épinglées, nomenclature logicielle CycloneDX produite pour chaque artefact publié.</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DE6B3BE">
            <w:pPr>
              <w:spacing w:before="40" w:after="40" w:line="252" w:lineRule="auto"/>
              <w:jc w:val="center"/>
            </w:pPr>
            <w:r/>
            <w:r>
              <w:rPr>
                <w:rFonts w:ascii="Calibri" w:hAnsi="Calibri" w:eastAsia="Calibri" w:cs="Calibri"/>
                <w:b/>
                <w:bCs/>
                <w:color w:val="212529"/>
                <w:sz w:val="17"/>
                <w:szCs w:val="22"/>
              </w:rPr>
              <w:t>5.23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46F0C36">
            <w:pPr>
              <w:spacing w:before="40" w:after="40" w:line="252" w:lineRule="auto"/>
            </w:pPr>
            <w:r/>
            <w:r>
              <w:rPr>
                <w:rFonts w:ascii="Calibri" w:hAnsi="Calibri" w:eastAsia="Calibri" w:cs="Calibri"/>
                <w:color w:val="212529"/>
                <w:sz w:val="17"/>
                <w:szCs w:val="22"/>
              </w:rPr>
              <w:t>Sécurité de l'information pour l'usage de services en nuage</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236F37F7">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4DC00E9">
            <w:pPr>
              <w:spacing w:before="40" w:after="40" w:line="252" w:lineRule="auto"/>
            </w:pPr>
            <w:r/>
            <w:r>
              <w:rPr>
                <w:rFonts w:ascii="Calibri" w:hAnsi="Calibri" w:eastAsia="Calibri" w:cs="Calibri"/>
                <w:color w:val="212529"/>
                <w:sz w:val="17"/>
                <w:szCs w:val="22"/>
              </w:rPr>
              <w:t>Régions européennes imposées (Hetzner fsn1, AWS eu-west-3). Accès aux services AWS par identifiants dédiés au périmètre applicatif. Configuration du CDN lue dans le magasin de paramètres, jamais codée en dur.</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03D3FB1">
            <w:pPr>
              <w:spacing w:before="40" w:after="40" w:line="252" w:lineRule="auto"/>
              <w:jc w:val="center"/>
            </w:pPr>
            <w:r/>
            <w:r>
              <w:rPr>
                <w:rFonts w:ascii="Calibri" w:hAnsi="Calibri" w:eastAsia="Calibri" w:cs="Calibri"/>
                <w:b/>
                <w:bCs/>
                <w:color w:val="212529"/>
                <w:sz w:val="17"/>
                <w:szCs w:val="22"/>
              </w:rPr>
              <w:t>5.24 → 5.28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C54379F">
            <w:pPr>
              <w:spacing w:before="40" w:after="40" w:line="252" w:lineRule="auto"/>
            </w:pPr>
            <w:r/>
            <w:r>
              <w:rPr>
                <w:rFonts w:ascii="Calibri" w:hAnsi="Calibri" w:eastAsia="Calibri" w:cs="Calibri"/>
                <w:color w:val="212529"/>
                <w:sz w:val="17"/>
                <w:szCs w:val="22"/>
              </w:rPr>
              <w:t>Gestion des incidents de sécurité</w:t>
            </w:r>
          </w:p>
        </w:tc>
        <w:tc>
          <w:tcPr>
            <w:tcW w:w="1814"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4147ACF">
            <w:pPr>
              <w:spacing w:before="40" w:after="40" w:line="252" w:lineRule="auto"/>
              <w:jc w:val="center"/>
            </w:pPr>
            <w:r/>
            <w:r>
              <w:rPr>
                <w:rFonts w:ascii="Calibri" w:hAnsi="Calibri" w:eastAsia="Calibri" w:cs="Calibri"/>
                <w:b/>
                <w:bCs/>
                <w:color w:val="212529"/>
                <w:sz w:val="17"/>
                <w:szCs w:val="22"/>
              </w:rPr>
              <w:t>Partiellement 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4C909D5">
            <w:pPr>
              <w:spacing w:before="40" w:after="40" w:line="252" w:lineRule="auto"/>
            </w:pPr>
            <w:r>
              <w:rPr>
                <w:rFonts w:ascii="Calibri" w:hAnsi="Calibri" w:eastAsia="Calibri" w:cs="Calibri"/>
                <w:color w:val="212529"/>
                <w:sz w:val="17"/>
                <w:szCs w:val="22"/>
              </w:rPr>
              <w:t xml:space="preserve">Détection par dix règles d'alerte et par les journaux structurés,  réponse outillée (retour arrière automatique, révocation globale de sessions, détection de rejeu). Écart assumé,  les canaux de notification d'Alertmanager ne sont pas encore raccordés (plan d'amélioration, 1 j-h).</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462B564">
            <w:pPr>
              <w:spacing w:before="40" w:after="40" w:line="252" w:lineRule="auto"/>
              <w:jc w:val="center"/>
            </w:pPr>
            <w:r/>
            <w:r>
              <w:rPr>
                <w:rFonts w:ascii="Calibri" w:hAnsi="Calibri" w:eastAsia="Calibri" w:cs="Calibri"/>
                <w:b/>
                <w:bCs/>
                <w:color w:val="212529"/>
                <w:sz w:val="17"/>
                <w:szCs w:val="22"/>
              </w:rPr>
              <w:t>5.29 / 5.30</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57553C2">
            <w:pPr>
              <w:spacing w:before="40" w:after="40" w:line="252" w:lineRule="auto"/>
            </w:pPr>
            <w:r/>
            <w:r>
              <w:rPr>
                <w:rFonts w:ascii="Calibri" w:hAnsi="Calibri" w:eastAsia="Calibri" w:cs="Calibri"/>
                <w:color w:val="212529"/>
                <w:sz w:val="17"/>
                <w:szCs w:val="22"/>
              </w:rPr>
              <w:t>Continuité et préparation des TIC à la continuité</w:t>
            </w:r>
          </w:p>
        </w:tc>
        <w:tc>
          <w:tcPr>
            <w:tcW w:w="1814"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11786BF">
            <w:pPr>
              <w:spacing w:before="40" w:after="40" w:line="252" w:lineRule="auto"/>
              <w:jc w:val="center"/>
            </w:pPr>
            <w:r/>
            <w:r>
              <w:rPr>
                <w:rFonts w:ascii="Calibri" w:hAnsi="Calibri" w:eastAsia="Calibri" w:cs="Calibri"/>
                <w:b/>
                <w:bCs/>
                <w:color w:val="212529"/>
                <w:sz w:val="17"/>
                <w:szCs w:val="22"/>
              </w:rPr>
              <w:t>Partiellement 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198BBFC">
            <w:pPr>
              <w:spacing w:before="40" w:after="40" w:line="252" w:lineRule="auto"/>
            </w:pPr>
            <w:r>
              <w:rPr>
                <w:rFonts w:ascii="Calibri" w:hAnsi="Calibri" w:eastAsia="Calibri" w:cs="Calibri"/>
                <w:color w:val="212529"/>
                <w:sz w:val="17"/>
                <w:szCs w:val="22"/>
              </w:rPr>
              <w:t>Plan de reprise outillé et rejouable (Annexe U), reconstruction intégrale par le code, restauration transactionnelle. Écart assumé, l'exercice de reprise périodique en conditions réelles n'est pas encore formalisé (plan d'amélioration, 3 j-h).</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DBE8D6F">
            <w:pPr>
              <w:spacing w:before="40" w:after="40" w:line="252" w:lineRule="auto"/>
              <w:jc w:val="center"/>
            </w:pPr>
            <w:r/>
            <w:r>
              <w:rPr>
                <w:rFonts w:ascii="Calibri" w:hAnsi="Calibri" w:eastAsia="Calibri" w:cs="Calibri"/>
                <w:b/>
                <w:bCs/>
                <w:color w:val="212529"/>
                <w:sz w:val="17"/>
                <w:szCs w:val="22"/>
              </w:rPr>
              <w:t>5.31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C6EFF9">
            <w:pPr>
              <w:spacing w:before="40" w:after="40" w:line="252" w:lineRule="auto"/>
            </w:pPr>
            <w:r/>
            <w:r>
              <w:rPr>
                <w:rFonts w:ascii="Calibri" w:hAnsi="Calibri" w:eastAsia="Calibri" w:cs="Calibri"/>
                <w:color w:val="212529"/>
                <w:sz w:val="17"/>
                <w:szCs w:val="22"/>
              </w:rPr>
              <w:t>Exigences légales, réglementaires et contractuelles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0CB6971">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87697DB">
            <w:pPr>
              <w:spacing w:before="40" w:after="40" w:line="252" w:lineRule="auto"/>
            </w:pPr>
            <w:r/>
            <w:r>
              <w:rPr>
                <w:rFonts w:ascii="Calibri" w:hAnsi="Calibri" w:eastAsia="Calibri" w:cs="Calibri"/>
                <w:color w:val="212529"/>
                <w:sz w:val="17"/>
                <w:szCs w:val="22"/>
              </w:rPr>
              <w:t>RGPD, directive NIS 2, règlement européen sur l'intelligence artificielle et Cloud Act suivis en veille réglementaire. Le Cloud Act a directement motivé le choix d'un hébergeur européen pour le calcul (Annexe J, ADR-007).</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CF0F92C">
            <w:pPr>
              <w:spacing w:before="40" w:after="40" w:line="252" w:lineRule="auto"/>
              <w:jc w:val="center"/>
            </w:pPr>
            <w:r/>
            <w:r>
              <w:rPr>
                <w:rFonts w:ascii="Calibri" w:hAnsi="Calibri" w:eastAsia="Calibri" w:cs="Calibri"/>
                <w:b/>
                <w:bCs/>
                <w:color w:val="212529"/>
                <w:sz w:val="17"/>
                <w:szCs w:val="22"/>
              </w:rPr>
              <w:t>5.33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1B23649">
            <w:pPr>
              <w:spacing w:before="40" w:after="40" w:line="252" w:lineRule="auto"/>
            </w:pPr>
            <w:r/>
            <w:r>
              <w:rPr>
                <w:rFonts w:ascii="Calibri" w:hAnsi="Calibri" w:eastAsia="Calibri" w:cs="Calibri"/>
                <w:color w:val="212529"/>
                <w:sz w:val="17"/>
                <w:szCs w:val="22"/>
              </w:rPr>
              <w:t>Protection des enregistrements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65ABD9E">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A46D92C">
            <w:pPr>
              <w:spacing w:before="40" w:after="40" w:line="252" w:lineRule="auto"/>
            </w:pPr>
            <w:r>
              <w:rPr>
                <w:rFonts w:ascii="Calibri" w:hAnsi="Calibri" w:eastAsia="Calibri" w:cs="Calibri"/>
                <w:color w:val="212529"/>
                <w:sz w:val="17"/>
                <w:szCs w:val="22"/>
              </w:rPr>
              <w:t>Sauvegardes versionnées et verrouillées par Object Lock en mode GOVERNANCE, un enregistrement ne peut être ni altéré ni supprimé avant l'échéance de rétention.</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8E86CDD">
            <w:pPr>
              <w:spacing w:before="40" w:after="40" w:line="252" w:lineRule="auto"/>
              <w:jc w:val="center"/>
            </w:pPr>
            <w:r/>
            <w:r>
              <w:rPr>
                <w:rFonts w:ascii="Calibri" w:hAnsi="Calibri" w:eastAsia="Calibri" w:cs="Calibri"/>
                <w:b/>
                <w:bCs/>
                <w:color w:val="212529"/>
                <w:sz w:val="17"/>
                <w:szCs w:val="22"/>
              </w:rPr>
              <w:t>5.34</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EA5251F">
            <w:pPr>
              <w:spacing w:before="40" w:after="40" w:line="252" w:lineRule="auto"/>
            </w:pPr>
            <w:r/>
            <w:r>
              <w:rPr>
                <w:rFonts w:ascii="Calibri" w:hAnsi="Calibri" w:eastAsia="Calibri" w:cs="Calibri"/>
                <w:color w:val="212529"/>
                <w:sz w:val="17"/>
                <w:szCs w:val="22"/>
              </w:rPr>
              <w:t>Vie privée et protection des données à caractère personnel</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252E3700">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0452873">
            <w:pPr>
              <w:spacing w:before="40" w:after="40" w:line="252" w:lineRule="auto"/>
            </w:pPr>
            <w:r/>
            <w:r>
              <w:rPr>
                <w:rFonts w:ascii="Calibri" w:hAnsi="Calibri" w:eastAsia="Calibri" w:cs="Calibri"/>
                <w:color w:val="212529"/>
                <w:sz w:val="17"/>
                <w:szCs w:val="22"/>
              </w:rPr>
              <w:t>Minimisation (cinq tables, aucune donnée collectée « au cas où »), privé par défaut, suppression en cascade servant le droit à l'effacement. Détail en Annexe F.3.</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F71F0F0">
            <w:pPr>
              <w:spacing w:before="40" w:after="40" w:line="252" w:lineRule="auto"/>
              <w:jc w:val="center"/>
            </w:pPr>
            <w:r/>
            <w:r>
              <w:rPr>
                <w:rFonts w:ascii="Calibri" w:hAnsi="Calibri" w:eastAsia="Calibri" w:cs="Calibri"/>
                <w:b/>
                <w:bCs/>
                <w:color w:val="212529"/>
                <w:sz w:val="17"/>
                <w:szCs w:val="22"/>
              </w:rPr>
              <w:t>5.36</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5F78C32">
            <w:pPr>
              <w:spacing w:before="40" w:after="40" w:line="252" w:lineRule="auto"/>
            </w:pPr>
            <w:r/>
            <w:r>
              <w:rPr>
                <w:rFonts w:ascii="Calibri" w:hAnsi="Calibri" w:eastAsia="Calibri" w:cs="Calibri"/>
                <w:color w:val="212529"/>
                <w:sz w:val="17"/>
                <w:szCs w:val="22"/>
              </w:rPr>
              <w:t>Conformité aux politiques et normes de sécurité</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26C0FC7F">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FA19DBD">
            <w:pPr>
              <w:spacing w:before="40" w:after="40" w:line="252" w:lineRule="auto"/>
            </w:pPr>
            <w:r/>
            <w:r>
              <w:rPr>
                <w:rFonts w:ascii="Calibri" w:hAnsi="Calibri" w:eastAsia="Calibri" w:cs="Calibri"/>
                <w:color w:val="212529"/>
                <w:sz w:val="17"/>
                <w:szCs w:val="22"/>
              </w:rPr>
              <w:t>Analyse statique de la configuration d'infrastructure (Terraform, Ansible, Dockerfile) en porte bloquante. Revue de code systématique. Exceptions centralisées et datées.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7077E63">
            <w:pPr>
              <w:spacing w:before="40" w:after="40" w:line="252" w:lineRule="auto"/>
              <w:jc w:val="center"/>
            </w:pPr>
            <w:r/>
            <w:r>
              <w:rPr>
                <w:rFonts w:ascii="Calibri" w:hAnsi="Calibri" w:eastAsia="Calibri" w:cs="Calibri"/>
                <w:b/>
                <w:bCs/>
                <w:color w:val="212529"/>
                <w:sz w:val="17"/>
                <w:szCs w:val="22"/>
              </w:rPr>
              <w:t>5.37</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21452AE">
            <w:pPr>
              <w:spacing w:before="40" w:after="40" w:line="252" w:lineRule="auto"/>
            </w:pPr>
            <w:r/>
            <w:r>
              <w:rPr>
                <w:rFonts w:ascii="Calibri" w:hAnsi="Calibri" w:eastAsia="Calibri" w:cs="Calibri"/>
                <w:color w:val="212529"/>
                <w:sz w:val="17"/>
                <w:szCs w:val="22"/>
              </w:rPr>
              <w:t>Procédures d'exploitation documentées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CBDF504">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7371FE2">
            <w:pPr>
              <w:spacing w:before="40" w:after="40" w:line="252" w:lineRule="auto"/>
            </w:pPr>
            <w:r>
              <w:rPr>
                <w:rFonts w:ascii="Calibri" w:hAnsi="Calibri" w:eastAsia="Calibri" w:cs="Calibri"/>
                <w:color w:val="212529"/>
                <w:sz w:val="17"/>
                <w:szCs w:val="22"/>
              </w:rPr>
              <w:t xml:space="preserve">Les playbooks Ansible et les workflows constituent la procédure exécutable,  les runbooks documentent le diagnostic et la remédiation des situations non automatisées.</w:t>
            </w:r>
          </w:p>
        </w:tc>
      </w:tr>
    </w:tbl>
    <w:p w14:paraId="3F06E358">
      <w:pPr>
        <w:keepNext/>
        <w:spacing w:before="280" w:after="80"/>
      </w:pPr>
      <w:r>
        <w:rPr>
          <w:rFonts w:ascii="Calibri" w:hAnsi="Calibri" w:eastAsia="Calibri" w:cs="Calibri"/>
          <w:b/>
          <w:bCs/>
          <w:color w:val="1C7ED6"/>
          <w:sz w:val="25"/>
          <w:szCs w:val="22"/>
        </w:rPr>
        <w:t>A.6 — Contrôles liés aux personnes</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3756"/>
        <w:gridCol w:w="3756"/>
        <w:gridCol w:w="3756"/>
        <w:gridCol w:w="3756"/>
      </w:tblGrid>
      <w:tr>
        <w:trPr>
          <w:tblHeader/>
        </w:trPr>
        <w:tc>
          <w:tcPr>
            <w:tcW w:w="147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4F216D50">
            <w:pPr>
              <w:spacing w:before="40" w:after="40" w:line="252" w:lineRule="auto"/>
              <w:jc w:val="center"/>
            </w:pPr>
            <w:r/>
            <w:r>
              <w:rPr>
                <w:rFonts w:ascii="Calibri" w:hAnsi="Calibri" w:eastAsia="Calibri" w:cs="Calibri"/>
                <w:b/>
                <w:bCs/>
                <w:color w:val="FFFFFF"/>
                <w:sz w:val="18"/>
                <w:szCs w:val="22"/>
              </w:rPr>
              <w:t>Réf.</w:t>
            </w:r>
          </w:p>
        </w:tc>
        <w:tc>
          <w:tcPr>
            <w:tcW w:w="362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371F522D">
            <w:pPr>
              <w:spacing w:before="40" w:after="40" w:line="252" w:lineRule="auto"/>
              <w:jc w:val="center"/>
            </w:pPr>
            <w:r/>
            <w:r>
              <w:rPr>
                <w:rFonts w:ascii="Calibri" w:hAnsi="Calibri" w:eastAsia="Calibri" w:cs="Calibri"/>
                <w:b/>
                <w:bCs/>
                <w:color w:val="FFFFFF"/>
                <w:sz w:val="18"/>
                <w:szCs w:val="22"/>
              </w:rPr>
              <w:t>Contrôle</w:t>
            </w:r>
          </w:p>
        </w:tc>
        <w:tc>
          <w:tcPr>
            <w:tcW w:w="181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77B1199B">
            <w:pPr>
              <w:spacing w:before="40" w:after="40" w:line="252" w:lineRule="auto"/>
              <w:jc w:val="center"/>
            </w:pPr>
            <w:r/>
            <w:r>
              <w:rPr>
                <w:rFonts w:ascii="Calibri" w:hAnsi="Calibri" w:eastAsia="Calibri" w:cs="Calibri"/>
                <w:b/>
                <w:bCs/>
                <w:color w:val="FFFFFF"/>
                <w:sz w:val="18"/>
                <w:szCs w:val="22"/>
              </w:rPr>
              <w:t>Statut</w:t>
            </w:r>
          </w:p>
        </w:tc>
        <w:tc>
          <w:tcPr>
            <w:tcW w:w="771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643C90D6">
            <w:pPr>
              <w:spacing w:before="40" w:after="40" w:line="252" w:lineRule="auto"/>
              <w:jc w:val="center"/>
            </w:pPr>
            <w:r/>
            <w:r>
              <w:rPr>
                <w:rFonts w:ascii="Calibri" w:hAnsi="Calibri" w:eastAsia="Calibri" w:cs="Calibri"/>
                <w:b/>
                <w:bCs/>
                <w:color w:val="FFFFFF"/>
                <w:sz w:val="18"/>
                <w:szCs w:val="22"/>
              </w:rPr>
              <w:t>Mise en œuvre dans dropicture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CB2C53F">
            <w:pPr>
              <w:spacing w:before="40" w:after="40" w:line="252" w:lineRule="auto"/>
              <w:jc w:val="center"/>
            </w:pPr>
            <w:r/>
            <w:r>
              <w:rPr>
                <w:rFonts w:ascii="Calibri" w:hAnsi="Calibri" w:eastAsia="Calibri" w:cs="Calibri"/>
                <w:b/>
                <w:bCs/>
                <w:color w:val="212529"/>
                <w:sz w:val="17"/>
                <w:szCs w:val="22"/>
              </w:rPr>
              <w:t>6.3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325F97B">
            <w:pPr>
              <w:spacing w:before="40" w:after="40" w:line="252" w:lineRule="auto"/>
            </w:pPr>
            <w:r/>
            <w:r>
              <w:rPr>
                <w:rFonts w:ascii="Calibri" w:hAnsi="Calibri" w:eastAsia="Calibri" w:cs="Calibri"/>
                <w:color w:val="212529"/>
                <w:sz w:val="17"/>
                <w:szCs w:val="22"/>
              </w:rPr>
              <w:t>Sensibilisation, formation et éducation</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00A7634">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AFDB043">
            <w:pPr>
              <w:spacing w:before="40" w:after="40" w:line="252" w:lineRule="auto"/>
            </w:pPr>
            <w:r>
              <w:rPr>
                <w:rFonts w:ascii="Calibri" w:hAnsi="Calibri" w:eastAsia="Calibri" w:cs="Calibri"/>
                <w:color w:val="212529"/>
                <w:sz w:val="17"/>
                <w:szCs w:val="22"/>
              </w:rPr>
              <w:t>Revue de code systématique, programmation en binôme sur les points délicats, rédaction de décisions d'architecture documentées, les savoir-faire circulent au lieu de se concentrer.</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EE8FBA7">
            <w:pPr>
              <w:spacing w:before="40" w:after="40" w:line="252" w:lineRule="auto"/>
              <w:jc w:val="center"/>
            </w:pPr>
            <w:r/>
            <w:r>
              <w:rPr>
                <w:rFonts w:ascii="Calibri" w:hAnsi="Calibri" w:eastAsia="Calibri" w:cs="Calibri"/>
                <w:b/>
                <w:bCs/>
                <w:color w:val="212529"/>
                <w:sz w:val="17"/>
                <w:szCs w:val="22"/>
              </w:rPr>
              <w:t>6.6</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A54396E">
            <w:pPr>
              <w:spacing w:before="40" w:after="40" w:line="252" w:lineRule="auto"/>
            </w:pPr>
            <w:r/>
            <w:r>
              <w:rPr>
                <w:rFonts w:ascii="Calibri" w:hAnsi="Calibri" w:eastAsia="Calibri" w:cs="Calibri"/>
                <w:color w:val="212529"/>
                <w:sz w:val="17"/>
                <w:szCs w:val="22"/>
              </w:rPr>
              <w:t>Accords de confidentialité</w:t>
            </w:r>
          </w:p>
        </w:tc>
        <w:tc>
          <w:tcPr>
            <w:tcW w:w="1814"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45A3CBBA">
            <w:pPr>
              <w:spacing w:before="40" w:after="40" w:line="252" w:lineRule="auto"/>
              <w:jc w:val="center"/>
            </w:pPr>
            <w:r/>
            <w:r>
              <w:rPr>
                <w:rFonts w:ascii="Calibri" w:hAnsi="Calibri" w:eastAsia="Calibri" w:cs="Calibri"/>
                <w:b/>
                <w:bCs/>
                <w:color w:val="212529"/>
                <w:sz w:val="17"/>
                <w:szCs w:val="22"/>
              </w:rPr>
              <w:t>Hors périmètre</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63E3EC9">
            <w:pPr>
              <w:spacing w:before="40" w:after="40" w:line="252" w:lineRule="auto"/>
            </w:pPr>
            <w:r/>
            <w:r>
              <w:rPr>
                <w:rFonts w:ascii="Calibri" w:hAnsi="Calibri" w:eastAsia="Calibri" w:cs="Calibri"/>
                <w:color w:val="212529"/>
                <w:sz w:val="17"/>
                <w:szCs w:val="22"/>
              </w:rPr>
              <w:t>Contrôle de nature contractuelle, sans traduction technique dans le projet. Serait porté par le cadre juridique de l'organisation exploitante.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655EB6D">
            <w:pPr>
              <w:spacing w:before="40" w:after="40" w:line="252" w:lineRule="auto"/>
              <w:jc w:val="center"/>
            </w:pPr>
            <w:r/>
            <w:r>
              <w:rPr>
                <w:rFonts w:ascii="Calibri" w:hAnsi="Calibri" w:eastAsia="Calibri" w:cs="Calibri"/>
                <w:b/>
                <w:bCs/>
                <w:color w:val="212529"/>
                <w:sz w:val="17"/>
                <w:szCs w:val="22"/>
              </w:rPr>
              <w:t>6.8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60CFFAA">
            <w:pPr>
              <w:spacing w:before="40" w:after="40" w:line="252" w:lineRule="auto"/>
            </w:pPr>
            <w:r/>
            <w:r>
              <w:rPr>
                <w:rFonts w:ascii="Calibri" w:hAnsi="Calibri" w:eastAsia="Calibri" w:cs="Calibri"/>
                <w:color w:val="212529"/>
                <w:sz w:val="17"/>
                <w:szCs w:val="22"/>
              </w:rPr>
              <w:t>Signalement des événements de sécurité</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C559B46">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5A4B662">
            <w:pPr>
              <w:spacing w:before="40" w:after="40" w:line="252" w:lineRule="auto"/>
            </w:pPr>
            <w:r/>
            <w:r>
              <w:rPr>
                <w:rFonts w:ascii="Calibri" w:hAnsi="Calibri" w:eastAsia="Calibri" w:cs="Calibri"/>
                <w:color w:val="212529"/>
                <w:sz w:val="17"/>
                <w:szCs w:val="22"/>
              </w:rPr>
              <w:t>Journal d'accès structuré interrogeable dans Loki, alertes qualifiées portées par Alertmanager, détection automatique de rejeu de session avec journalisation d'alerte dédiée.</w:t>
            </w:r>
          </w:p>
        </w:tc>
      </w:tr>
    </w:tbl>
    <w:p w14:paraId="6AF5028B">
      <w:pPr>
        <w:keepNext/>
        <w:spacing w:before="280" w:after="80"/>
      </w:pPr>
      <w:r>
        <w:rPr>
          <w:rFonts w:ascii="Calibri" w:hAnsi="Calibri" w:eastAsia="Calibri" w:cs="Calibri"/>
          <w:b/>
          <w:bCs/>
          <w:color w:val="1C7ED6"/>
          <w:sz w:val="25"/>
          <w:szCs w:val="22"/>
        </w:rPr>
        <w:t>A.7 — Contrôles physiques</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3756"/>
        <w:gridCol w:w="3756"/>
        <w:gridCol w:w="3756"/>
        <w:gridCol w:w="3756"/>
      </w:tblGrid>
      <w:tr>
        <w:trPr>
          <w:tblHeader/>
        </w:trPr>
        <w:tc>
          <w:tcPr>
            <w:tcW w:w="147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3504FF1C">
            <w:pPr>
              <w:spacing w:before="40" w:after="40" w:line="252" w:lineRule="auto"/>
              <w:jc w:val="center"/>
            </w:pPr>
            <w:r/>
            <w:r>
              <w:rPr>
                <w:rFonts w:ascii="Calibri" w:hAnsi="Calibri" w:eastAsia="Calibri" w:cs="Calibri"/>
                <w:b/>
                <w:bCs/>
                <w:color w:val="FFFFFF"/>
                <w:sz w:val="18"/>
                <w:szCs w:val="22"/>
              </w:rPr>
              <w:t>Réf.</w:t>
            </w:r>
          </w:p>
        </w:tc>
        <w:tc>
          <w:tcPr>
            <w:tcW w:w="362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0AAF077E">
            <w:pPr>
              <w:spacing w:before="40" w:after="40" w:line="252" w:lineRule="auto"/>
              <w:jc w:val="center"/>
            </w:pPr>
            <w:r/>
            <w:r>
              <w:rPr>
                <w:rFonts w:ascii="Calibri" w:hAnsi="Calibri" w:eastAsia="Calibri" w:cs="Calibri"/>
                <w:b/>
                <w:bCs/>
                <w:color w:val="FFFFFF"/>
                <w:sz w:val="18"/>
                <w:szCs w:val="22"/>
              </w:rPr>
              <w:t>Contrôle</w:t>
            </w:r>
          </w:p>
        </w:tc>
        <w:tc>
          <w:tcPr>
            <w:tcW w:w="181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2452E159">
            <w:pPr>
              <w:spacing w:before="40" w:after="40" w:line="252" w:lineRule="auto"/>
              <w:jc w:val="center"/>
            </w:pPr>
            <w:r/>
            <w:r>
              <w:rPr>
                <w:rFonts w:ascii="Calibri" w:hAnsi="Calibri" w:eastAsia="Calibri" w:cs="Calibri"/>
                <w:b/>
                <w:bCs/>
                <w:color w:val="FFFFFF"/>
                <w:sz w:val="18"/>
                <w:szCs w:val="22"/>
              </w:rPr>
              <w:t>Statut</w:t>
            </w:r>
          </w:p>
        </w:tc>
        <w:tc>
          <w:tcPr>
            <w:tcW w:w="771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992C8F3">
            <w:pPr>
              <w:spacing w:before="40" w:after="40" w:line="252" w:lineRule="auto"/>
              <w:jc w:val="center"/>
            </w:pPr>
            <w:r/>
            <w:r>
              <w:rPr>
                <w:rFonts w:ascii="Calibri" w:hAnsi="Calibri" w:eastAsia="Calibri" w:cs="Calibri"/>
                <w:b/>
                <w:bCs/>
                <w:color w:val="FFFFFF"/>
                <w:sz w:val="18"/>
                <w:szCs w:val="22"/>
              </w:rPr>
              <w:t>Mise en œuvre dans dropicture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CC8EBCE">
            <w:pPr>
              <w:spacing w:before="40" w:after="40" w:line="252" w:lineRule="auto"/>
              <w:jc w:val="center"/>
            </w:pPr>
            <w:r/>
            <w:r>
              <w:rPr>
                <w:rFonts w:ascii="Calibri" w:hAnsi="Calibri" w:eastAsia="Calibri" w:cs="Calibri"/>
                <w:b/>
                <w:bCs/>
                <w:color w:val="212529"/>
                <w:sz w:val="17"/>
                <w:szCs w:val="22"/>
              </w:rPr>
              <w:t>7.1 → 7.14</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4BF3F6">
            <w:pPr>
              <w:spacing w:before="40" w:after="40" w:line="252" w:lineRule="auto"/>
            </w:pPr>
            <w:r/>
            <w:r>
              <w:rPr>
                <w:rFonts w:ascii="Calibri" w:hAnsi="Calibri" w:eastAsia="Calibri" w:cs="Calibri"/>
                <w:color w:val="212529"/>
                <w:sz w:val="17"/>
                <w:szCs w:val="22"/>
              </w:rPr>
              <w:t>Périmètres, contrôles d'accès physiques, sécurité des équipements, câblage, maintenance et mise au rebut</w:t>
            </w:r>
          </w:p>
        </w:tc>
        <w:tc>
          <w:tcPr>
            <w:tcW w:w="1814"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3DAA222B">
            <w:pPr>
              <w:spacing w:before="40" w:after="40" w:line="252" w:lineRule="auto"/>
              <w:jc w:val="center"/>
            </w:pPr>
            <w:r/>
            <w:r>
              <w:rPr>
                <w:rFonts w:ascii="Calibri" w:hAnsi="Calibri" w:eastAsia="Calibri" w:cs="Calibri"/>
                <w:b/>
                <w:bCs/>
                <w:color w:val="212529"/>
                <w:sz w:val="17"/>
                <w:szCs w:val="22"/>
              </w:rPr>
              <w:t>Délégué</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E3C0DE5">
            <w:pPr>
              <w:spacing w:before="40" w:after="40" w:line="252" w:lineRule="auto"/>
            </w:pPr>
            <w:r/>
            <w:r>
              <w:rPr>
                <w:rFonts w:ascii="Calibri" w:hAnsi="Calibri" w:eastAsia="Calibri" w:cs="Calibri"/>
                <w:color w:val="212529"/>
                <w:sz w:val="17"/>
                <w:szCs w:val="22"/>
              </w:rPr>
              <w:t>Intégralement délégué aux fournisseurs d'hébergement, dont les centres de données sont certifiés ISO/IEC 27001 (Hetzner, Falkenstein ; AWS, région eu-west-3). Le projet ne détient aucun matériel physique. La responsabilité est contractuelle et documentée, non technique.</w:t>
            </w:r>
          </w:p>
        </w:tc>
      </w:tr>
    </w:tbl>
    <w:p w14:paraId="7EB98902">
      <w:pPr>
        <w:keepNext/>
        <w:spacing w:before="280" w:after="80"/>
      </w:pPr>
      <w:r>
        <w:rPr>
          <w:rFonts w:ascii="Calibri" w:hAnsi="Calibri" w:eastAsia="Calibri" w:cs="Calibri"/>
          <w:b/>
          <w:bCs/>
          <w:color w:val="1C7ED6"/>
          <w:sz w:val="25"/>
          <w:szCs w:val="22"/>
        </w:rPr>
        <w:t>A.8 — Contrôles technologiques</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3756"/>
        <w:gridCol w:w="3756"/>
        <w:gridCol w:w="3756"/>
        <w:gridCol w:w="3756"/>
      </w:tblGrid>
      <w:tr>
        <w:trPr>
          <w:tblHeader/>
        </w:trPr>
        <w:tc>
          <w:tcPr>
            <w:tcW w:w="147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4266D9FA">
            <w:pPr>
              <w:spacing w:before="40" w:after="40" w:line="252" w:lineRule="auto"/>
              <w:jc w:val="center"/>
            </w:pPr>
            <w:r/>
            <w:r>
              <w:rPr>
                <w:rFonts w:ascii="Calibri" w:hAnsi="Calibri" w:eastAsia="Calibri" w:cs="Calibri"/>
                <w:b/>
                <w:bCs/>
                <w:color w:val="FFFFFF"/>
                <w:sz w:val="18"/>
                <w:szCs w:val="22"/>
              </w:rPr>
              <w:t>Réf.</w:t>
            </w:r>
          </w:p>
        </w:tc>
        <w:tc>
          <w:tcPr>
            <w:tcW w:w="362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258F9C33">
            <w:pPr>
              <w:spacing w:before="40" w:after="40" w:line="252" w:lineRule="auto"/>
              <w:jc w:val="center"/>
            </w:pPr>
            <w:r/>
            <w:r>
              <w:rPr>
                <w:rFonts w:ascii="Calibri" w:hAnsi="Calibri" w:eastAsia="Calibri" w:cs="Calibri"/>
                <w:b/>
                <w:bCs/>
                <w:color w:val="FFFFFF"/>
                <w:sz w:val="18"/>
                <w:szCs w:val="22"/>
              </w:rPr>
              <w:t>Contrôle</w:t>
            </w:r>
          </w:p>
        </w:tc>
        <w:tc>
          <w:tcPr>
            <w:tcW w:w="181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718A43D4">
            <w:pPr>
              <w:spacing w:before="40" w:after="40" w:line="252" w:lineRule="auto"/>
              <w:jc w:val="center"/>
            </w:pPr>
            <w:r/>
            <w:r>
              <w:rPr>
                <w:rFonts w:ascii="Calibri" w:hAnsi="Calibri" w:eastAsia="Calibri" w:cs="Calibri"/>
                <w:b/>
                <w:bCs/>
                <w:color w:val="FFFFFF"/>
                <w:sz w:val="18"/>
                <w:szCs w:val="22"/>
              </w:rPr>
              <w:t>Statut</w:t>
            </w:r>
          </w:p>
        </w:tc>
        <w:tc>
          <w:tcPr>
            <w:tcW w:w="771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6C29523F">
            <w:pPr>
              <w:spacing w:before="40" w:after="40" w:line="252" w:lineRule="auto"/>
              <w:jc w:val="center"/>
            </w:pPr>
            <w:r/>
            <w:r>
              <w:rPr>
                <w:rFonts w:ascii="Calibri" w:hAnsi="Calibri" w:eastAsia="Calibri" w:cs="Calibri"/>
                <w:b/>
                <w:bCs/>
                <w:color w:val="FFFFFF"/>
                <w:sz w:val="18"/>
                <w:szCs w:val="22"/>
              </w:rPr>
              <w:t>Mise en œuvre dans dropicture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894A043">
            <w:pPr>
              <w:spacing w:before="40" w:after="40" w:line="252" w:lineRule="auto"/>
              <w:jc w:val="center"/>
            </w:pPr>
            <w:r/>
            <w:r>
              <w:rPr>
                <w:rFonts w:ascii="Calibri" w:hAnsi="Calibri" w:eastAsia="Calibri" w:cs="Calibri"/>
                <w:b/>
                <w:bCs/>
                <w:color w:val="212529"/>
                <w:sz w:val="17"/>
                <w:szCs w:val="22"/>
              </w:rPr>
              <w:t>8.2</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9592CD9">
            <w:pPr>
              <w:spacing w:before="40" w:after="40" w:line="252" w:lineRule="auto"/>
            </w:pPr>
            <w:r/>
            <w:r>
              <w:rPr>
                <w:rFonts w:ascii="Calibri" w:hAnsi="Calibri" w:eastAsia="Calibri" w:cs="Calibri"/>
                <w:color w:val="212529"/>
                <w:sz w:val="17"/>
                <w:szCs w:val="22"/>
              </w:rPr>
              <w:t>Droits d'accès privilégiés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3FA931C0">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AC85853">
            <w:pPr>
              <w:spacing w:before="40" w:after="40" w:line="252" w:lineRule="auto"/>
            </w:pPr>
            <w:r/>
            <w:r>
              <w:rPr>
                <w:rFonts w:ascii="Calibri" w:hAnsi="Calibri" w:eastAsia="Calibri" w:cs="Calibri"/>
                <w:color w:val="212529"/>
                <w:sz w:val="17"/>
                <w:szCs w:val="22"/>
              </w:rPr>
              <w:t>Accès SSH par clé uniquement (authentification par mot de passe et interactive désactivées, trois tentatives au plus). L'API Docker n'est jamais exposée : elle est médiée par un mandataire en lecture seule sur un réseau interne dédié.</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62E1DDC">
            <w:pPr>
              <w:spacing w:before="40" w:after="40" w:line="252" w:lineRule="auto"/>
              <w:jc w:val="center"/>
            </w:pPr>
            <w:r/>
            <w:r>
              <w:rPr>
                <w:rFonts w:ascii="Calibri" w:hAnsi="Calibri" w:eastAsia="Calibri" w:cs="Calibri"/>
                <w:b/>
                <w:bCs/>
                <w:color w:val="212529"/>
                <w:sz w:val="17"/>
                <w:szCs w:val="22"/>
              </w:rPr>
              <w:t>8.3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5044F35">
            <w:pPr>
              <w:spacing w:before="40" w:after="40" w:line="252" w:lineRule="auto"/>
            </w:pPr>
            <w:r/>
            <w:r>
              <w:rPr>
                <w:rFonts w:ascii="Calibri" w:hAnsi="Calibri" w:eastAsia="Calibri" w:cs="Calibri"/>
                <w:color w:val="212529"/>
                <w:sz w:val="17"/>
                <w:szCs w:val="22"/>
              </w:rPr>
              <w:t>Restriction d'accès à l'information</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EB191BF">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4C33DD">
            <w:pPr>
              <w:spacing w:before="40" w:after="40" w:line="252" w:lineRule="auto"/>
            </w:pPr>
            <w:r/>
            <w:r>
              <w:rPr>
                <w:rFonts w:ascii="Calibri" w:hAnsi="Calibri" w:eastAsia="Calibri" w:cs="Calibri"/>
                <w:color w:val="212529"/>
                <w:sz w:val="17"/>
                <w:szCs w:val="22"/>
              </w:rPr>
              <w:t>Clause d'appartenance sur chaque opération portant sur un média ou un album. Empreinte du mot de passe et clé d'API exclues des lectures par défaut au niveau du modèle.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A73CC3E">
            <w:pPr>
              <w:spacing w:before="40" w:after="40" w:line="252" w:lineRule="auto"/>
              <w:jc w:val="center"/>
            </w:pPr>
            <w:r/>
            <w:r>
              <w:rPr>
                <w:rFonts w:ascii="Calibri" w:hAnsi="Calibri" w:eastAsia="Calibri" w:cs="Calibri"/>
                <w:b/>
                <w:bCs/>
                <w:color w:val="212529"/>
                <w:sz w:val="17"/>
                <w:szCs w:val="22"/>
              </w:rPr>
              <w:t>8.5</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B40F1E">
            <w:pPr>
              <w:spacing w:before="40" w:after="40" w:line="252" w:lineRule="auto"/>
            </w:pPr>
            <w:r/>
            <w:r>
              <w:rPr>
                <w:rFonts w:ascii="Calibri" w:hAnsi="Calibri" w:eastAsia="Calibri" w:cs="Calibri"/>
                <w:color w:val="212529"/>
                <w:sz w:val="17"/>
                <w:szCs w:val="22"/>
              </w:rPr>
              <w:t>Authentification sécurisée</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B5BF1E9">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7B8CE85">
            <w:pPr>
              <w:spacing w:before="40" w:after="40" w:line="252" w:lineRule="auto"/>
            </w:pPr>
            <w:r/>
            <w:r>
              <w:rPr>
                <w:rFonts w:ascii="Calibri" w:hAnsi="Calibri" w:eastAsia="Calibri" w:cs="Calibri"/>
                <w:color w:val="212529"/>
                <w:sz w:val="17"/>
                <w:szCs w:val="22"/>
              </w:rPr>
              <w:t>Argon2id, session opaque adossée à Redis, expiration glissante et absolue, rotation par nonce sous verrou, fenêtre de grâce, détection de rejeu et révocation globale (Annexe I.3).</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FE77E56">
            <w:pPr>
              <w:spacing w:before="40" w:after="40" w:line="252" w:lineRule="auto"/>
              <w:jc w:val="center"/>
            </w:pPr>
            <w:r/>
            <w:r>
              <w:rPr>
                <w:rFonts w:ascii="Calibri" w:hAnsi="Calibri" w:eastAsia="Calibri" w:cs="Calibri"/>
                <w:b/>
                <w:bCs/>
                <w:color w:val="212529"/>
                <w:sz w:val="17"/>
                <w:szCs w:val="22"/>
              </w:rPr>
              <w:t>8.6</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0980F2C">
            <w:pPr>
              <w:spacing w:before="40" w:after="40" w:line="252" w:lineRule="auto"/>
            </w:pPr>
            <w:r/>
            <w:r>
              <w:rPr>
                <w:rFonts w:ascii="Calibri" w:hAnsi="Calibri" w:eastAsia="Calibri" w:cs="Calibri"/>
                <w:color w:val="212529"/>
                <w:sz w:val="17"/>
                <w:szCs w:val="22"/>
              </w:rPr>
              <w:t>Dimensionnement</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44D7196">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E8ACBEC">
            <w:pPr>
              <w:spacing w:before="40" w:after="40" w:line="252" w:lineRule="auto"/>
            </w:pPr>
            <w:r/>
            <w:r>
              <w:rPr>
                <w:rFonts w:ascii="Calibri" w:hAnsi="Calibri" w:eastAsia="Calibri" w:cs="Calibri"/>
                <w:color w:val="212529"/>
                <w:sz w:val="17"/>
                <w:szCs w:val="22"/>
              </w:rPr>
              <w:t>Réservations et limites déclarées service par service (right-sizing). Alertes de saturation processeur, mémoire et disque, dont une alerte prédictive à 24 heures.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5B92936">
            <w:pPr>
              <w:spacing w:before="40" w:after="40" w:line="252" w:lineRule="auto"/>
              <w:jc w:val="center"/>
            </w:pPr>
            <w:r/>
            <w:r>
              <w:rPr>
                <w:rFonts w:ascii="Calibri" w:hAnsi="Calibri" w:eastAsia="Calibri" w:cs="Calibri"/>
                <w:b/>
                <w:bCs/>
                <w:color w:val="212529"/>
                <w:sz w:val="17"/>
                <w:szCs w:val="22"/>
              </w:rPr>
              <w:t>8.7</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54EA60C">
            <w:pPr>
              <w:spacing w:before="40" w:after="40" w:line="252" w:lineRule="auto"/>
            </w:pPr>
            <w:r/>
            <w:r>
              <w:rPr>
                <w:rFonts w:ascii="Calibri" w:hAnsi="Calibri" w:eastAsia="Calibri" w:cs="Calibri"/>
                <w:color w:val="212529"/>
                <w:sz w:val="17"/>
                <w:szCs w:val="22"/>
              </w:rPr>
              <w:t>Protection contre les programmes malveillants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2C16B68">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DD54582">
            <w:pPr>
              <w:spacing w:before="40" w:after="40" w:line="252" w:lineRule="auto"/>
            </w:pPr>
            <w:r/>
            <w:r>
              <w:rPr>
                <w:rFonts w:ascii="Calibri" w:hAnsi="Calibri" w:eastAsia="Calibri" w:cs="Calibri"/>
                <w:color w:val="212529"/>
                <w:sz w:val="17"/>
                <w:szCs w:val="22"/>
              </w:rPr>
              <w:t>Images de base minimales (Alpine), exécution sous utilisateur non privilégié, analyse Trivy des dépendances et des images en portes bloquantes.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508C673">
            <w:pPr>
              <w:spacing w:before="40" w:after="40" w:line="252" w:lineRule="auto"/>
              <w:jc w:val="center"/>
            </w:pPr>
            <w:r/>
            <w:r>
              <w:rPr>
                <w:rFonts w:ascii="Calibri" w:hAnsi="Calibri" w:eastAsia="Calibri" w:cs="Calibri"/>
                <w:b/>
                <w:bCs/>
                <w:color w:val="212529"/>
                <w:sz w:val="17"/>
                <w:szCs w:val="22"/>
              </w:rPr>
              <w:t>8.8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B8A4466">
            <w:pPr>
              <w:spacing w:before="40" w:after="40" w:line="252" w:lineRule="auto"/>
            </w:pPr>
            <w:r/>
            <w:r>
              <w:rPr>
                <w:rFonts w:ascii="Calibri" w:hAnsi="Calibri" w:eastAsia="Calibri" w:cs="Calibri"/>
                <w:color w:val="212529"/>
                <w:sz w:val="17"/>
                <w:szCs w:val="22"/>
              </w:rPr>
              <w:t>Gestion des vulnérabilités techniques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68F4A1F">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3A9E110">
            <w:pPr>
              <w:spacing w:before="40" w:after="40" w:line="252" w:lineRule="auto"/>
            </w:pPr>
            <w:r/>
            <w:r>
              <w:rPr>
                <w:rFonts w:ascii="Calibri" w:hAnsi="Calibri" w:eastAsia="Calibri" w:cs="Calibri"/>
                <w:color w:val="212529"/>
                <w:sz w:val="17"/>
                <w:szCs w:val="22"/>
              </w:rPr>
              <w:t>Trois analyses bloquantes (dépendances et secrets, configuration d'infrastructure, image publiée), seuils CRITICAL et HIGH. Rapports SARIF historisés dans GitHub Code Scanning. Exceptions datées dans un fichier dédié.</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3641183">
            <w:pPr>
              <w:spacing w:before="40" w:after="40" w:line="252" w:lineRule="auto"/>
              <w:jc w:val="center"/>
            </w:pPr>
            <w:r/>
            <w:r>
              <w:rPr>
                <w:rFonts w:ascii="Calibri" w:hAnsi="Calibri" w:eastAsia="Calibri" w:cs="Calibri"/>
                <w:b/>
                <w:bCs/>
                <w:color w:val="212529"/>
                <w:sz w:val="17"/>
                <w:szCs w:val="22"/>
              </w:rPr>
              <w:t>8.9</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CE9E371">
            <w:pPr>
              <w:spacing w:before="40" w:after="40" w:line="252" w:lineRule="auto"/>
            </w:pPr>
            <w:r/>
            <w:r>
              <w:rPr>
                <w:rFonts w:ascii="Calibri" w:hAnsi="Calibri" w:eastAsia="Calibri" w:cs="Calibri"/>
                <w:color w:val="212529"/>
                <w:sz w:val="17"/>
                <w:szCs w:val="22"/>
              </w:rPr>
              <w:t>Gestion des configurations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860447D">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3586DB0">
            <w:pPr>
              <w:spacing w:before="40" w:after="40" w:line="252" w:lineRule="auto"/>
            </w:pPr>
            <w:r/>
            <w:r>
              <w:rPr>
                <w:rFonts w:ascii="Calibri" w:hAnsi="Calibri" w:eastAsia="Calibri" w:cs="Calibri"/>
                <w:color w:val="212529"/>
                <w:sz w:val="17"/>
                <w:szCs w:val="22"/>
              </w:rPr>
              <w:t>Toute configuration est décrite en code et versionnée. Les fichiers d'observabilité sont publiés en configurations Swarm nommées par empreinte : une modification crée un nouvel objet et déclenche mécaniquement la mise à jour du service.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A747A3">
            <w:pPr>
              <w:spacing w:before="40" w:after="40" w:line="252" w:lineRule="auto"/>
              <w:jc w:val="center"/>
            </w:pPr>
            <w:r/>
            <w:r>
              <w:rPr>
                <w:rFonts w:ascii="Calibri" w:hAnsi="Calibri" w:eastAsia="Calibri" w:cs="Calibri"/>
                <w:b/>
                <w:bCs/>
                <w:color w:val="212529"/>
                <w:sz w:val="17"/>
                <w:szCs w:val="22"/>
              </w:rPr>
              <w:t>8.10</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BA65C4">
            <w:pPr>
              <w:spacing w:before="40" w:after="40" w:line="252" w:lineRule="auto"/>
            </w:pPr>
            <w:r/>
            <w:r>
              <w:rPr>
                <w:rFonts w:ascii="Calibri" w:hAnsi="Calibri" w:eastAsia="Calibri" w:cs="Calibri"/>
                <w:color w:val="212529"/>
                <w:sz w:val="17"/>
                <w:szCs w:val="22"/>
              </w:rPr>
              <w:t>Suppression des informations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DC14630">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68DA73C">
            <w:pPr>
              <w:spacing w:before="40" w:after="40" w:line="252" w:lineRule="auto"/>
            </w:pPr>
            <w:r/>
            <w:r>
              <w:rPr>
                <w:rFonts w:ascii="Calibri" w:hAnsi="Calibri" w:eastAsia="Calibri" w:cs="Calibri"/>
                <w:color w:val="212529"/>
                <w:sz w:val="17"/>
                <w:szCs w:val="22"/>
              </w:rPr>
              <w:t>Suppression du compte : effacement des objets du stockage par lots, suppression en base propagée en cascade, puis invalidation du cache de diffusion.</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683AE99">
            <w:pPr>
              <w:spacing w:before="40" w:after="40" w:line="252" w:lineRule="auto"/>
              <w:jc w:val="center"/>
            </w:pPr>
            <w:r/>
            <w:r>
              <w:rPr>
                <w:rFonts w:ascii="Calibri" w:hAnsi="Calibri" w:eastAsia="Calibri" w:cs="Calibri"/>
                <w:b/>
                <w:bCs/>
                <w:color w:val="212529"/>
                <w:sz w:val="17"/>
                <w:szCs w:val="22"/>
              </w:rPr>
              <w:t>8.11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D7D051A">
            <w:pPr>
              <w:spacing w:before="40" w:after="40" w:line="252" w:lineRule="auto"/>
            </w:pPr>
            <w:r/>
            <w:r>
              <w:rPr>
                <w:rFonts w:ascii="Calibri" w:hAnsi="Calibri" w:eastAsia="Calibri" w:cs="Calibri"/>
                <w:color w:val="212529"/>
                <w:sz w:val="17"/>
                <w:szCs w:val="22"/>
              </w:rPr>
              <w:t>Masquage des données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5E3699A">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D066D36">
            <w:pPr>
              <w:spacing w:before="40" w:after="40" w:line="252" w:lineRule="auto"/>
            </w:pPr>
            <w:r/>
            <w:r>
              <w:rPr>
                <w:rFonts w:ascii="Calibri" w:hAnsi="Calibri" w:eastAsia="Calibri" w:cs="Calibri"/>
                <w:color w:val="212529"/>
                <w:sz w:val="17"/>
                <w:szCs w:val="22"/>
              </w:rPr>
              <w:t>Les journaux d'accès ne contiennent qu'un identifiant technique de compte (UUID), jamais d'identité en clair. Les secrets applicatifs ne sont jamais journalisés.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CB93674">
            <w:pPr>
              <w:spacing w:before="40" w:after="40" w:line="252" w:lineRule="auto"/>
              <w:jc w:val="center"/>
            </w:pPr>
            <w:r/>
            <w:r>
              <w:rPr>
                <w:rFonts w:ascii="Calibri" w:hAnsi="Calibri" w:eastAsia="Calibri" w:cs="Calibri"/>
                <w:b/>
                <w:bCs/>
                <w:color w:val="212529"/>
                <w:sz w:val="17"/>
                <w:szCs w:val="22"/>
              </w:rPr>
              <w:t>8.12</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362140E">
            <w:pPr>
              <w:spacing w:before="40" w:after="40" w:line="252" w:lineRule="auto"/>
            </w:pPr>
            <w:r/>
            <w:r>
              <w:rPr>
                <w:rFonts w:ascii="Calibri" w:hAnsi="Calibri" w:eastAsia="Calibri" w:cs="Calibri"/>
                <w:color w:val="212529"/>
                <w:sz w:val="17"/>
                <w:szCs w:val="22"/>
              </w:rPr>
              <w:t>Prévention de la fuite de données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5E46DDF">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842308C">
            <w:pPr>
              <w:spacing w:before="40" w:after="40" w:line="252" w:lineRule="auto"/>
            </w:pPr>
            <w:r/>
            <w:r>
              <w:rPr>
                <w:rFonts w:ascii="Calibri" w:hAnsi="Calibri" w:eastAsia="Calibri" w:cs="Calibri"/>
                <w:color w:val="212529"/>
                <w:sz w:val="17"/>
                <w:szCs w:val="22"/>
              </w:rPr>
              <w:t>Privé par défaut. Bucket des médias intégralement privé (blocage d'accès public complet), lecture restreinte au seul préfixe public via un contrôle d'accès d'origine. Origines autorisées en liste blanche (CORS).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AE98810">
            <w:pPr>
              <w:spacing w:before="40" w:after="40" w:line="252" w:lineRule="auto"/>
              <w:jc w:val="center"/>
            </w:pPr>
            <w:r/>
            <w:r>
              <w:rPr>
                <w:rFonts w:ascii="Calibri" w:hAnsi="Calibri" w:eastAsia="Calibri" w:cs="Calibri"/>
                <w:b/>
                <w:bCs/>
                <w:color w:val="212529"/>
                <w:sz w:val="17"/>
                <w:szCs w:val="22"/>
              </w:rPr>
              <w:t>8.13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6ADD9F">
            <w:pPr>
              <w:spacing w:before="40" w:after="40" w:line="252" w:lineRule="auto"/>
            </w:pPr>
            <w:r/>
            <w:r>
              <w:rPr>
                <w:rFonts w:ascii="Calibri" w:hAnsi="Calibri" w:eastAsia="Calibri" w:cs="Calibri"/>
                <w:color w:val="212529"/>
                <w:sz w:val="17"/>
                <w:szCs w:val="22"/>
              </w:rPr>
              <w:t>Sauvegarde des informations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67B4F01">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8317547">
            <w:pPr>
              <w:spacing w:before="40" w:after="40" w:line="252" w:lineRule="auto"/>
            </w:pPr>
            <w:r/>
            <w:r>
              <w:rPr>
                <w:rFonts w:ascii="Calibri" w:hAnsi="Calibri" w:eastAsia="Calibri" w:cs="Calibri"/>
                <w:color w:val="212529"/>
                <w:sz w:val="17"/>
                <w:szCs w:val="22"/>
              </w:rPr>
              <w:t>Sauvegarde toutes les six heures, vérifiée par empreinte SHA-256 et par contrôle de la taille de l'objet déposé, versionnée, verrouillée et soumise à un cycle de vie (Annexe U).</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8A116B1">
            <w:pPr>
              <w:spacing w:before="40" w:after="40" w:line="252" w:lineRule="auto"/>
              <w:jc w:val="center"/>
            </w:pPr>
            <w:r/>
            <w:r>
              <w:rPr>
                <w:rFonts w:ascii="Calibri" w:hAnsi="Calibri" w:eastAsia="Calibri" w:cs="Calibri"/>
                <w:b/>
                <w:bCs/>
                <w:color w:val="212529"/>
                <w:sz w:val="17"/>
                <w:szCs w:val="22"/>
              </w:rPr>
              <w:t>8.15</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DB7F2C3">
            <w:pPr>
              <w:spacing w:before="40" w:after="40" w:line="252" w:lineRule="auto"/>
            </w:pPr>
            <w:r/>
            <w:r>
              <w:rPr>
                <w:rFonts w:ascii="Calibri" w:hAnsi="Calibri" w:eastAsia="Calibri" w:cs="Calibri"/>
                <w:color w:val="212529"/>
                <w:sz w:val="17"/>
                <w:szCs w:val="22"/>
              </w:rPr>
              <w:t>Journalisation</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CF98451">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7DBD45">
            <w:pPr>
              <w:spacing w:before="40" w:after="40" w:line="252" w:lineRule="auto"/>
            </w:pPr>
            <w:r/>
            <w:r>
              <w:rPr>
                <w:rFonts w:ascii="Calibri" w:hAnsi="Calibri" w:eastAsia="Calibri" w:cs="Calibri"/>
                <w:color w:val="212529"/>
                <w:sz w:val="17"/>
                <w:szCs w:val="22"/>
              </w:rPr>
              <w:t>Journal d'accès HTTP structuré en JSON (méthode, route, statut, adresse IP, identifiant de compte, quota, durée), centralisé dans Loki avec une rétention de trente jours.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8797C39">
            <w:pPr>
              <w:spacing w:before="40" w:after="40" w:line="252" w:lineRule="auto"/>
              <w:jc w:val="center"/>
            </w:pPr>
            <w:r/>
            <w:r>
              <w:rPr>
                <w:rFonts w:ascii="Calibri" w:hAnsi="Calibri" w:eastAsia="Calibri" w:cs="Calibri"/>
                <w:b/>
                <w:bCs/>
                <w:color w:val="212529"/>
                <w:sz w:val="17"/>
                <w:szCs w:val="22"/>
              </w:rPr>
              <w:t>8.16</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BE33DD6">
            <w:pPr>
              <w:spacing w:before="40" w:after="40" w:line="252" w:lineRule="auto"/>
            </w:pPr>
            <w:r/>
            <w:r>
              <w:rPr>
                <w:rFonts w:ascii="Calibri" w:hAnsi="Calibri" w:eastAsia="Calibri" w:cs="Calibri"/>
                <w:color w:val="212529"/>
                <w:sz w:val="17"/>
                <w:szCs w:val="22"/>
              </w:rPr>
              <w:t>Activités de surveillance</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76C10E7">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56CB2D5">
            <w:pPr>
              <w:spacing w:before="40" w:after="40" w:line="252" w:lineRule="auto"/>
            </w:pPr>
            <w:r>
              <w:rPr>
                <w:rFonts w:ascii="Calibri" w:hAnsi="Calibri" w:eastAsia="Calibri" w:cs="Calibri"/>
                <w:color w:val="212529"/>
                <w:sz w:val="17"/>
                <w:szCs w:val="22"/>
              </w:rPr>
              <w:t xml:space="preserve">Prometheus scrute cinq familles de cibles toutes les quinze secondes,  dix règles d'alerte couvrent disponibilité, saturation, taux d'erreur, latence et consommation électrique estimée (Annexe P).</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05F05EC">
            <w:pPr>
              <w:spacing w:before="40" w:after="40" w:line="252" w:lineRule="auto"/>
              <w:jc w:val="center"/>
            </w:pPr>
            <w:r/>
            <w:r>
              <w:rPr>
                <w:rFonts w:ascii="Calibri" w:hAnsi="Calibri" w:eastAsia="Calibri" w:cs="Calibri"/>
                <w:b/>
                <w:bCs/>
                <w:color w:val="212529"/>
                <w:sz w:val="17"/>
                <w:szCs w:val="22"/>
              </w:rPr>
              <w:t>8.17</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3BF8C0E">
            <w:pPr>
              <w:spacing w:before="40" w:after="40" w:line="252" w:lineRule="auto"/>
            </w:pPr>
            <w:r/>
            <w:r>
              <w:rPr>
                <w:rFonts w:ascii="Calibri" w:hAnsi="Calibri" w:eastAsia="Calibri" w:cs="Calibri"/>
                <w:color w:val="212529"/>
                <w:sz w:val="17"/>
                <w:szCs w:val="22"/>
              </w:rPr>
              <w:t>Synchronisation des horloges</w:t>
            </w:r>
          </w:p>
        </w:tc>
        <w:tc>
          <w:tcPr>
            <w:tcW w:w="1814"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60C94659">
            <w:pPr>
              <w:spacing w:before="40" w:after="40" w:line="252" w:lineRule="auto"/>
              <w:jc w:val="center"/>
            </w:pPr>
            <w:r/>
            <w:r>
              <w:rPr>
                <w:rFonts w:ascii="Calibri" w:hAnsi="Calibri" w:eastAsia="Calibri" w:cs="Calibri"/>
                <w:b/>
                <w:bCs/>
                <w:color w:val="212529"/>
                <w:sz w:val="17"/>
                <w:szCs w:val="22"/>
              </w:rPr>
              <w:t>Partiellement 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23F5596">
            <w:pPr>
              <w:spacing w:before="40" w:after="40" w:line="252" w:lineRule="auto"/>
            </w:pPr>
            <w:r>
              <w:rPr>
                <w:rFonts w:ascii="Calibri" w:hAnsi="Calibri" w:eastAsia="Calibri" w:cs="Calibri"/>
                <w:color w:val="212529"/>
                <w:sz w:val="17"/>
                <w:szCs w:val="22"/>
              </w:rPr>
              <w:t>Assurée par le service de synchronisation par défaut du système d'exploitation des nœuds. Écart assumé, la source de temps n'est pas explicitement pilotée par le code de configuration.</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17D365F">
            <w:pPr>
              <w:spacing w:before="40" w:after="40" w:line="252" w:lineRule="auto"/>
              <w:jc w:val="center"/>
            </w:pPr>
            <w:r/>
            <w:r>
              <w:rPr>
                <w:rFonts w:ascii="Calibri" w:hAnsi="Calibri" w:eastAsia="Calibri" w:cs="Calibri"/>
                <w:b/>
                <w:bCs/>
                <w:color w:val="212529"/>
                <w:sz w:val="17"/>
                <w:szCs w:val="22"/>
              </w:rPr>
              <w:t>8.18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234B901">
            <w:pPr>
              <w:spacing w:before="40" w:after="40" w:line="252" w:lineRule="auto"/>
            </w:pPr>
            <w:r/>
            <w:r>
              <w:rPr>
                <w:rFonts w:ascii="Calibri" w:hAnsi="Calibri" w:eastAsia="Calibri" w:cs="Calibri"/>
                <w:color w:val="212529"/>
                <w:sz w:val="17"/>
                <w:szCs w:val="22"/>
              </w:rPr>
              <w:t>Utilisation de programmes utilitaires à privilèges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680DCEA">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51EC901">
            <w:pPr>
              <w:spacing w:before="40" w:after="40" w:line="252" w:lineRule="auto"/>
            </w:pPr>
            <w:r/>
            <w:r>
              <w:rPr>
                <w:rFonts w:ascii="Calibri" w:hAnsi="Calibri" w:eastAsia="Calibri" w:cs="Calibri"/>
                <w:color w:val="212529"/>
                <w:sz w:val="17"/>
                <w:szCs w:val="22"/>
              </w:rPr>
              <w:t>Le mandataire de socket n'autorise qu'un ensemble restreint de points de lecture. Aucune opération d'écriture sur l'API Docker n'est exposée à un conteneur joignable depuis Internet.</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C73D823">
            <w:pPr>
              <w:spacing w:before="40" w:after="40" w:line="252" w:lineRule="auto"/>
              <w:jc w:val="center"/>
            </w:pPr>
            <w:r/>
            <w:r>
              <w:rPr>
                <w:rFonts w:ascii="Calibri" w:hAnsi="Calibri" w:eastAsia="Calibri" w:cs="Calibri"/>
                <w:b/>
                <w:bCs/>
                <w:color w:val="212529"/>
                <w:sz w:val="17"/>
                <w:szCs w:val="22"/>
              </w:rPr>
              <w:t>8.19</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A8DE168">
            <w:pPr>
              <w:spacing w:before="40" w:after="40" w:line="252" w:lineRule="auto"/>
            </w:pPr>
            <w:r/>
            <w:r>
              <w:rPr>
                <w:rFonts w:ascii="Calibri" w:hAnsi="Calibri" w:eastAsia="Calibri" w:cs="Calibri"/>
                <w:color w:val="212529"/>
                <w:sz w:val="17"/>
                <w:szCs w:val="22"/>
              </w:rPr>
              <w:t>Installation de logiciels sur les systèmes en exploitation</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3C8E5CA">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C5681E8">
            <w:pPr>
              <w:spacing w:before="40" w:after="40" w:line="252" w:lineRule="auto"/>
            </w:pPr>
            <w:r>
              <w:rPr>
                <w:rFonts w:ascii="Calibri" w:hAnsi="Calibri" w:eastAsia="Calibri" w:cs="Calibri"/>
                <w:color w:val="212529"/>
                <w:sz w:val="17"/>
                <w:szCs w:val="22"/>
              </w:rPr>
              <w:t xml:space="preserve">Les images sont immuables et étiquetées par empreinte de commit. Aucune installation manuelle n'est pratiquée sur les nœuds,  toute évolution passe par le pipeline.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F6D9CED">
            <w:pPr>
              <w:spacing w:before="40" w:after="40" w:line="252" w:lineRule="auto"/>
              <w:jc w:val="center"/>
            </w:pPr>
            <w:r/>
            <w:r>
              <w:rPr>
                <w:rFonts w:ascii="Calibri" w:hAnsi="Calibri" w:eastAsia="Calibri" w:cs="Calibri"/>
                <w:b/>
                <w:bCs/>
                <w:color w:val="212529"/>
                <w:sz w:val="17"/>
                <w:szCs w:val="22"/>
              </w:rPr>
              <w:t>8.20 / 8.21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FDEC7E4">
            <w:pPr>
              <w:spacing w:before="40" w:after="40" w:line="252" w:lineRule="auto"/>
            </w:pPr>
            <w:r/>
            <w:r>
              <w:rPr>
                <w:rFonts w:ascii="Calibri" w:hAnsi="Calibri" w:eastAsia="Calibri" w:cs="Calibri"/>
                <w:color w:val="212529"/>
                <w:sz w:val="17"/>
                <w:szCs w:val="22"/>
              </w:rPr>
              <w:t>Sécurité des réseaux et des services réseau</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84AE26F">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FC679CF">
            <w:pPr>
              <w:spacing w:before="40" w:after="40" w:line="252" w:lineRule="auto"/>
            </w:pPr>
            <w:r/>
            <w:r>
              <w:rPr>
                <w:rFonts w:ascii="Calibri" w:hAnsi="Calibri" w:eastAsia="Calibri" w:cs="Calibri"/>
                <w:color w:val="212529"/>
                <w:sz w:val="17"/>
                <w:szCs w:val="22"/>
              </w:rPr>
              <w:t>Pare-feu de projet n'ouvrant 80 et 443 qu'aux plages d'adresses de Cloudflare, lues dynamiquement. Plan de contrôle de l'orchestrateur confiné au réseau privé. Terminaison TLS et routage par Traefik, sondes de santé par service.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2002DEB">
            <w:pPr>
              <w:spacing w:before="40" w:after="40" w:line="252" w:lineRule="auto"/>
              <w:jc w:val="center"/>
            </w:pPr>
            <w:r/>
            <w:r>
              <w:rPr>
                <w:rFonts w:ascii="Calibri" w:hAnsi="Calibri" w:eastAsia="Calibri" w:cs="Calibri"/>
                <w:b/>
                <w:bCs/>
                <w:color w:val="212529"/>
                <w:sz w:val="17"/>
                <w:szCs w:val="22"/>
              </w:rPr>
              <w:t>8.22</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6C16BF6">
            <w:pPr>
              <w:spacing w:before="40" w:after="40" w:line="252" w:lineRule="auto"/>
            </w:pPr>
            <w:r/>
            <w:r>
              <w:rPr>
                <w:rFonts w:ascii="Calibri" w:hAnsi="Calibri" w:eastAsia="Calibri" w:cs="Calibri"/>
                <w:color w:val="212529"/>
                <w:sz w:val="17"/>
                <w:szCs w:val="22"/>
              </w:rPr>
              <w:t>Cloisonnement des réseaux</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61C7062">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EE37FF7">
            <w:pPr>
              <w:spacing w:before="40" w:after="40" w:line="252" w:lineRule="auto"/>
            </w:pPr>
            <w:r>
              <w:rPr>
                <w:rFonts w:ascii="Calibri" w:hAnsi="Calibri" w:eastAsia="Calibri" w:cs="Calibri"/>
                <w:color w:val="212529"/>
                <w:sz w:val="17"/>
                <w:szCs w:val="22"/>
              </w:rPr>
              <w:t>Cinq réseaux overlay aux rôles distincts, dont deux marqués « internes » (aucune route par défaut vers l'extérieur), la base de données n'est joignable que depuis le réseau applicatif (Annexe C).</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48A2A73">
            <w:pPr>
              <w:spacing w:before="40" w:after="40" w:line="252" w:lineRule="auto"/>
              <w:jc w:val="center"/>
            </w:pPr>
            <w:r/>
            <w:r>
              <w:rPr>
                <w:rFonts w:ascii="Calibri" w:hAnsi="Calibri" w:eastAsia="Calibri" w:cs="Calibri"/>
                <w:b/>
                <w:bCs/>
                <w:color w:val="212529"/>
                <w:sz w:val="17"/>
                <w:szCs w:val="22"/>
              </w:rPr>
              <w:t>8.23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BE296A">
            <w:pPr>
              <w:spacing w:before="40" w:after="40" w:line="252" w:lineRule="auto"/>
            </w:pPr>
            <w:r/>
            <w:r>
              <w:rPr>
                <w:rFonts w:ascii="Calibri" w:hAnsi="Calibri" w:eastAsia="Calibri" w:cs="Calibri"/>
                <w:color w:val="212529"/>
                <w:sz w:val="17"/>
                <w:szCs w:val="22"/>
              </w:rPr>
              <w:t>Filtrage web</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4A08D91">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2014D4">
            <w:pPr>
              <w:spacing w:before="40" w:after="40" w:line="252" w:lineRule="auto"/>
            </w:pPr>
            <w:r/>
            <w:r>
              <w:rPr>
                <w:rFonts w:ascii="Calibri" w:hAnsi="Calibri" w:eastAsia="Calibri" w:cs="Calibri"/>
                <w:color w:val="212529"/>
                <w:sz w:val="17"/>
                <w:szCs w:val="22"/>
              </w:rPr>
              <w:t>Pare-feu applicatif Cloudflare en périphérie et pare-feu applicatif AWS devant la diffusion des médias (limitation de débit par adresse, liste de réputation, jeu de règles communes).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E6BE3A">
            <w:pPr>
              <w:spacing w:before="40" w:after="40" w:line="252" w:lineRule="auto"/>
              <w:jc w:val="center"/>
            </w:pPr>
            <w:r/>
            <w:r>
              <w:rPr>
                <w:rFonts w:ascii="Calibri" w:hAnsi="Calibri" w:eastAsia="Calibri" w:cs="Calibri"/>
                <w:b/>
                <w:bCs/>
                <w:color w:val="212529"/>
                <w:sz w:val="17"/>
                <w:szCs w:val="22"/>
              </w:rPr>
              <w:t>8.24</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58E4D77">
            <w:pPr>
              <w:spacing w:before="40" w:after="40" w:line="252" w:lineRule="auto"/>
            </w:pPr>
            <w:r/>
            <w:r>
              <w:rPr>
                <w:rFonts w:ascii="Calibri" w:hAnsi="Calibri" w:eastAsia="Calibri" w:cs="Calibri"/>
                <w:color w:val="212529"/>
                <w:sz w:val="17"/>
                <w:szCs w:val="22"/>
              </w:rPr>
              <w:t>Utilisation de la cryptographie</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2091DC1">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170807D">
            <w:pPr>
              <w:spacing w:before="40" w:after="40" w:line="252" w:lineRule="auto"/>
            </w:pPr>
            <w:r/>
            <w:r>
              <w:rPr>
                <w:rFonts w:ascii="Calibri" w:hAnsi="Calibri" w:eastAsia="Calibri" w:cs="Calibri"/>
                <w:color w:val="212529"/>
                <w:sz w:val="17"/>
                <w:szCs w:val="22"/>
              </w:rPr>
              <w:t>Argon2id pour les mots de passe, AES-256 au repos sur tous les buckets, TLS 1.2 minimum en transit, certificat d'origine RSA 2048 émis par Cloudflare, secrets Swarm chiffrés au repos.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433BE59">
            <w:pPr>
              <w:spacing w:before="40" w:after="40" w:line="252" w:lineRule="auto"/>
              <w:jc w:val="center"/>
            </w:pPr>
            <w:r/>
            <w:r>
              <w:rPr>
                <w:rFonts w:ascii="Calibri" w:hAnsi="Calibri" w:eastAsia="Calibri" w:cs="Calibri"/>
                <w:b/>
                <w:bCs/>
                <w:color w:val="212529"/>
                <w:sz w:val="17"/>
                <w:szCs w:val="22"/>
              </w:rPr>
              <w:t>8.25 → 8.28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39FC236">
            <w:pPr>
              <w:spacing w:before="40" w:after="40" w:line="252" w:lineRule="auto"/>
            </w:pPr>
            <w:r/>
            <w:r>
              <w:rPr>
                <w:rFonts w:ascii="Calibri" w:hAnsi="Calibri" w:eastAsia="Calibri" w:cs="Calibri"/>
                <w:color w:val="212529"/>
                <w:sz w:val="17"/>
                <w:szCs w:val="22"/>
              </w:rPr>
              <w:t>Cycle de développement sécurisé, exigences applicatives, principes d'ingénierie et codage sécurisé</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6065D4B">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BAC89D5">
            <w:pPr>
              <w:spacing w:before="40" w:after="40" w:line="252" w:lineRule="auto"/>
            </w:pPr>
            <w:r>
              <w:rPr>
                <w:rFonts w:ascii="Calibri" w:hAnsi="Calibri" w:eastAsia="Calibri" w:cs="Calibri"/>
                <w:color w:val="212529"/>
                <w:sz w:val="17"/>
                <w:szCs w:val="22"/>
              </w:rPr>
              <w:t xml:space="preserve">Contrôles déplacés au plus tôt (pre-commit, tests, analyses). Validation des entrées en liste blanche avec rejet de toute propriété non déclarée. Recommandations OWASP appliquées,  en-têtes de sécurité, corps plafonné, limitation de débit, requêtes paramétrées par l'ORM.</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6303FDE">
            <w:pPr>
              <w:spacing w:before="40" w:after="40" w:line="252" w:lineRule="auto"/>
              <w:jc w:val="center"/>
            </w:pPr>
            <w:r/>
            <w:r>
              <w:rPr>
                <w:rFonts w:ascii="Calibri" w:hAnsi="Calibri" w:eastAsia="Calibri" w:cs="Calibri"/>
                <w:b/>
                <w:bCs/>
                <w:color w:val="212529"/>
                <w:sz w:val="17"/>
                <w:szCs w:val="22"/>
              </w:rPr>
              <w:t>8.29</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5A6F256">
            <w:pPr>
              <w:spacing w:before="40" w:after="40" w:line="252" w:lineRule="auto"/>
            </w:pPr>
            <w:r/>
            <w:r>
              <w:rPr>
                <w:rFonts w:ascii="Calibri" w:hAnsi="Calibri" w:eastAsia="Calibri" w:cs="Calibri"/>
                <w:color w:val="212529"/>
                <w:sz w:val="17"/>
                <w:szCs w:val="22"/>
              </w:rPr>
              <w:t>Tests de sécurité en développement et en recette</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3A160E32">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5D199C5">
            <w:pPr>
              <w:spacing w:before="40" w:after="40" w:line="252" w:lineRule="auto"/>
            </w:pPr>
            <w:r/>
            <w:r>
              <w:rPr>
                <w:rFonts w:ascii="Calibri" w:hAnsi="Calibri" w:eastAsia="Calibri" w:cs="Calibri"/>
                <w:color w:val="212529"/>
                <w:sz w:val="17"/>
                <w:szCs w:val="22"/>
              </w:rPr>
              <w:t>218 tests automatisés, dont une suite dédiée à la limitation de débit et des cas couvrant explicitement la rotation de session, la détection de rejeu et le contrôle d'appartenance.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20F466B">
            <w:pPr>
              <w:spacing w:before="40" w:after="40" w:line="252" w:lineRule="auto"/>
              <w:jc w:val="center"/>
            </w:pPr>
            <w:r/>
            <w:r>
              <w:rPr>
                <w:rFonts w:ascii="Calibri" w:hAnsi="Calibri" w:eastAsia="Calibri" w:cs="Calibri"/>
                <w:b/>
                <w:bCs/>
                <w:color w:val="212529"/>
                <w:sz w:val="17"/>
                <w:szCs w:val="22"/>
              </w:rPr>
              <w:t>8.31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9D1F66C">
            <w:pPr>
              <w:spacing w:before="40" w:after="40" w:line="252" w:lineRule="auto"/>
            </w:pPr>
            <w:r/>
            <w:r>
              <w:rPr>
                <w:rFonts w:ascii="Calibri" w:hAnsi="Calibri" w:eastAsia="Calibri" w:cs="Calibri"/>
                <w:color w:val="212529"/>
                <w:sz w:val="17"/>
                <w:szCs w:val="22"/>
              </w:rPr>
              <w:t>Séparation des environnements</w:t>
            </w:r>
          </w:p>
        </w:tc>
        <w:tc>
          <w:tcPr>
            <w:tcW w:w="1814"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026B597">
            <w:pPr>
              <w:spacing w:before="40" w:after="40" w:line="252" w:lineRule="auto"/>
              <w:jc w:val="center"/>
            </w:pPr>
            <w:r/>
            <w:r>
              <w:rPr>
                <w:rFonts w:ascii="Calibri" w:hAnsi="Calibri" w:eastAsia="Calibri" w:cs="Calibri"/>
                <w:b/>
                <w:bCs/>
                <w:color w:val="212529"/>
                <w:sz w:val="17"/>
                <w:szCs w:val="22"/>
              </w:rPr>
              <w:t>Partiellement 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52585ED">
            <w:pPr>
              <w:spacing w:before="40" w:after="40" w:line="252" w:lineRule="auto"/>
            </w:pPr>
            <w:r>
              <w:rPr>
                <w:rFonts w:ascii="Calibri" w:hAnsi="Calibri" w:eastAsia="Calibri" w:cs="Calibri"/>
                <w:color w:val="212529"/>
                <w:sz w:val="17"/>
                <w:szCs w:val="22"/>
              </w:rPr>
              <w:t xml:space="preserve">Développement local isolé (base et cache conteneurisés, identifiants générés localement) et production entièrement pilotée par le code. Écart assumé,  il n'existe pas d'environnement de préproduction distinct, choix cohérent avec la maîtrise des coûts mais tracé comme limite.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07C0136">
            <w:pPr>
              <w:spacing w:before="40" w:after="40" w:line="252" w:lineRule="auto"/>
              <w:jc w:val="center"/>
            </w:pPr>
            <w:r/>
            <w:r>
              <w:rPr>
                <w:rFonts w:ascii="Calibri" w:hAnsi="Calibri" w:eastAsia="Calibri" w:cs="Calibri"/>
                <w:b/>
                <w:bCs/>
                <w:color w:val="212529"/>
                <w:sz w:val="17"/>
                <w:szCs w:val="22"/>
              </w:rPr>
              <w:t>8.32</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954B863">
            <w:pPr>
              <w:spacing w:before="40" w:after="40" w:line="252" w:lineRule="auto"/>
            </w:pPr>
            <w:r/>
            <w:r>
              <w:rPr>
                <w:rFonts w:ascii="Calibri" w:hAnsi="Calibri" w:eastAsia="Calibri" w:cs="Calibri"/>
                <w:color w:val="212529"/>
                <w:sz w:val="17"/>
                <w:szCs w:val="22"/>
              </w:rPr>
              <w:t>Gestion des changements</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BE7D4BD">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BF522D">
            <w:pPr>
              <w:spacing w:before="40" w:after="40" w:line="252" w:lineRule="auto"/>
            </w:pPr>
            <w:r>
              <w:rPr>
                <w:rFonts w:ascii="Calibri" w:hAnsi="Calibri" w:eastAsia="Calibri" w:cs="Calibri"/>
                <w:color w:val="212529"/>
                <w:sz w:val="17"/>
                <w:szCs w:val="22"/>
              </w:rPr>
              <w:t>Toute modification passe par le dépôt, revue, tests, plan Terraform inspecté avant application, déploiement progressif surveillé avec retour arrière automatique.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FA27BC2">
            <w:pPr>
              <w:spacing w:before="40" w:after="40" w:line="252" w:lineRule="auto"/>
              <w:jc w:val="center"/>
            </w:pPr>
            <w:r/>
            <w:r>
              <w:rPr>
                <w:rFonts w:ascii="Calibri" w:hAnsi="Calibri" w:eastAsia="Calibri" w:cs="Calibri"/>
                <w:b/>
                <w:bCs/>
                <w:color w:val="212529"/>
                <w:sz w:val="17"/>
                <w:szCs w:val="22"/>
              </w:rPr>
              <w:t>8.33</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FC94913">
            <w:pPr>
              <w:spacing w:before="40" w:after="40" w:line="252" w:lineRule="auto"/>
            </w:pPr>
            <w:r/>
            <w:r>
              <w:rPr>
                <w:rFonts w:ascii="Calibri" w:hAnsi="Calibri" w:eastAsia="Calibri" w:cs="Calibri"/>
                <w:color w:val="212529"/>
                <w:sz w:val="17"/>
                <w:szCs w:val="22"/>
              </w:rPr>
              <w:t>Informations de test</w:t>
            </w:r>
          </w:p>
        </w:tc>
        <w:tc>
          <w:tcPr>
            <w:tcW w:w="1814"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F89E57E">
            <w:pPr>
              <w:spacing w:before="40" w:after="40" w:line="252" w:lineRule="auto"/>
              <w:jc w:val="center"/>
            </w:pPr>
            <w:r/>
            <w:r>
              <w:rPr>
                <w:rFonts w:ascii="Calibri" w:hAnsi="Calibri" w:eastAsia="Calibri" w:cs="Calibri"/>
                <w:b/>
                <w:bCs/>
                <w:color w:val="212529"/>
                <w:sz w:val="17"/>
                <w:szCs w:val="22"/>
              </w:rPr>
              <w:t>Couvert</w:t>
            </w:r>
          </w:p>
        </w:tc>
        <w:tc>
          <w:tcPr>
            <w:tcW w:w="771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8B07C71">
            <w:pPr>
              <w:spacing w:before="40" w:after="40" w:line="252" w:lineRule="auto"/>
            </w:pPr>
            <w:r>
              <w:rPr>
                <w:rFonts w:ascii="Calibri" w:hAnsi="Calibri" w:eastAsia="Calibri" w:cs="Calibri"/>
                <w:color w:val="212529"/>
                <w:sz w:val="17"/>
                <w:szCs w:val="22"/>
              </w:rPr>
              <w:t xml:space="preserve">La suite de tests est autonome,  Redis remplacé par une implémentation en mémoire, persistance par des dépôts factices, service de médias doublé. Aucune donnée réelle n'est utilisée.</w:t>
            </w:r>
          </w:p>
        </w:tc>
      </w:tr>
    </w:tbl>
    <w:p w14:paraId="19675A40">
      <w:pPr>
        <w:pageBreakBefore/>
        <w:spacing w:after="120" w:line="276" w:lineRule="auto"/>
      </w:pPr>
      <w:r>
        <w:lastRenderedPageBreak/>
      </w:r>
    </w:p>
    <w:p w14:paraId="19DAC86F">
      <w:pPr>
        <w:keepNext/>
        <w:spacing w:before="0" w:after="80"/>
      </w:pPr>
      <w:r>
        <w:rPr>
          <w:rFonts w:ascii="Calibri" w:hAnsi="Calibri" w:eastAsia="Calibri" w:cs="Calibri"/>
          <w:b/>
          <w:bCs/>
          <w:color w:val="1C7ED6"/>
          <w:sz w:val="25"/>
          <w:szCs w:val="22"/>
        </w:rPr>
        <w:t>Règlement général sur la protection des données (UE) 2016/679</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5008"/>
        <w:gridCol w:w="5008"/>
        <w:gridCol w:w="5008"/>
      </w:tblGrid>
      <w:tr>
        <w:trPr>
          <w:tblHeader/>
        </w:trPr>
        <w:tc>
          <w:tcPr>
            <w:tcW w:w="147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28C6028E">
            <w:pPr>
              <w:spacing w:before="40" w:after="40" w:line="252" w:lineRule="auto"/>
              <w:jc w:val="center"/>
            </w:pPr>
            <w:r/>
            <w:r>
              <w:rPr>
                <w:rFonts w:ascii="Calibri" w:hAnsi="Calibri" w:eastAsia="Calibri" w:cs="Calibri"/>
                <w:b/>
                <w:bCs/>
                <w:color w:val="FFFFFF"/>
                <w:sz w:val="18"/>
                <w:szCs w:val="22"/>
              </w:rPr>
              <w:t>Article</w:t>
            </w:r>
          </w:p>
        </w:tc>
        <w:tc>
          <w:tcPr>
            <w:tcW w:w="362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0C9A2504">
            <w:pPr>
              <w:spacing w:before="40" w:after="40" w:line="252" w:lineRule="auto"/>
              <w:jc w:val="center"/>
            </w:pPr>
            <w:r/>
            <w:r>
              <w:rPr>
                <w:rFonts w:ascii="Calibri" w:hAnsi="Calibri" w:eastAsia="Calibri" w:cs="Calibri"/>
                <w:b/>
                <w:bCs/>
                <w:color w:val="FFFFFF"/>
                <w:sz w:val="18"/>
                <w:szCs w:val="22"/>
              </w:rPr>
              <w:t>Obligation</w:t>
            </w:r>
          </w:p>
        </w:tc>
        <w:tc>
          <w:tcPr>
            <w:tcW w:w="952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3947AAAA">
            <w:pPr>
              <w:spacing w:before="40" w:after="40" w:line="252" w:lineRule="auto"/>
              <w:jc w:val="center"/>
            </w:pPr>
            <w:r/>
            <w:r>
              <w:rPr>
                <w:rFonts w:ascii="Calibri" w:hAnsi="Calibri" w:eastAsia="Calibri" w:cs="Calibri"/>
                <w:b/>
                <w:bCs/>
                <w:color w:val="FFFFFF"/>
                <w:sz w:val="18"/>
                <w:szCs w:val="22"/>
              </w:rPr>
              <w:t>Mise en œuvre dans dropicture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0E00617">
            <w:pPr>
              <w:spacing w:before="40" w:after="40" w:line="252" w:lineRule="auto"/>
              <w:jc w:val="center"/>
            </w:pPr>
            <w:r/>
            <w:r>
              <w:rPr>
                <w:rFonts w:ascii="Calibri" w:hAnsi="Calibri" w:eastAsia="Calibri" w:cs="Calibri"/>
                <w:b/>
                <w:bCs/>
                <w:color w:val="212529"/>
                <w:sz w:val="17"/>
                <w:szCs w:val="22"/>
              </w:rPr>
              <w:t>Art. 5</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A023618">
            <w:pPr>
              <w:spacing w:before="40" w:after="40" w:line="252" w:lineRule="auto"/>
            </w:pPr>
            <w:r/>
            <w:r>
              <w:rPr>
                <w:rFonts w:ascii="Calibri" w:hAnsi="Calibri" w:eastAsia="Calibri" w:cs="Calibri"/>
                <w:color w:val="212529"/>
                <w:sz w:val="17"/>
                <w:szCs w:val="22"/>
              </w:rPr>
              <w:t>Principes relatifs au traitement</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318B9E3">
            <w:pPr>
              <w:spacing w:before="40" w:after="40" w:line="252" w:lineRule="auto"/>
            </w:pPr>
            <w:r>
              <w:rPr>
                <w:rFonts w:ascii="Calibri" w:hAnsi="Calibri" w:eastAsia="Calibri" w:cs="Calibri"/>
                <w:color w:val="212529"/>
                <w:sz w:val="17"/>
                <w:szCs w:val="22"/>
              </w:rPr>
              <w:t xml:space="preserve">Minimisation,  cinq tables couvrent l'ensemble du domaine,  ni géolocalisation, ni EXIF complet, ni traceur. Limitation des durées, sessions 8 h, journaux 30 jours, sauvegardes 35 / 365 jours. Exactitude, l'utilisateur rectifie lui-même son identité, son e-mail et son pseudonyme.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0D8D492">
            <w:pPr>
              <w:spacing w:before="40" w:after="40" w:line="252" w:lineRule="auto"/>
              <w:jc w:val="center"/>
            </w:pPr>
            <w:r/>
            <w:r>
              <w:rPr>
                <w:rFonts w:ascii="Calibri" w:hAnsi="Calibri" w:eastAsia="Calibri" w:cs="Calibri"/>
                <w:b/>
                <w:bCs/>
                <w:color w:val="212529"/>
                <w:sz w:val="17"/>
                <w:szCs w:val="22"/>
              </w:rPr>
              <w:t>Art. 6</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4EC9470">
            <w:pPr>
              <w:spacing w:before="40" w:after="40" w:line="252" w:lineRule="auto"/>
            </w:pPr>
            <w:r/>
            <w:r>
              <w:rPr>
                <w:rFonts w:ascii="Calibri" w:hAnsi="Calibri" w:eastAsia="Calibri" w:cs="Calibri"/>
                <w:color w:val="212529"/>
                <w:sz w:val="17"/>
                <w:szCs w:val="22"/>
              </w:rPr>
              <w:t>Licéité du traitement</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6657495">
            <w:pPr>
              <w:spacing w:before="40" w:after="40" w:line="252" w:lineRule="auto"/>
            </w:pPr>
            <w:r/>
            <w:r>
              <w:rPr>
                <w:rFonts w:ascii="Calibri" w:hAnsi="Calibri" w:eastAsia="Calibri" w:cs="Calibri"/>
                <w:color w:val="212529"/>
                <w:sz w:val="17"/>
                <w:szCs w:val="22"/>
              </w:rPr>
              <w:t>Exécution du contrat pour l'identité, l'e-mail, les médias et les abonnements. Consentement pour la biographie et la photo de profil, publiées volontairement. Intérêt légitime pour l'adresse IP, l'agent utilisateur et les journaux d'exploitation.</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86E1C2D">
            <w:pPr>
              <w:spacing w:before="40" w:after="40" w:line="252" w:lineRule="auto"/>
              <w:jc w:val="center"/>
            </w:pPr>
            <w:r/>
            <w:r>
              <w:rPr>
                <w:rFonts w:ascii="Calibri" w:hAnsi="Calibri" w:eastAsia="Calibri" w:cs="Calibri"/>
                <w:b/>
                <w:bCs/>
                <w:color w:val="212529"/>
                <w:sz w:val="17"/>
                <w:szCs w:val="22"/>
              </w:rPr>
              <w:t>Art. 12 → 14</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3C53A13">
            <w:pPr>
              <w:spacing w:before="40" w:after="40" w:line="252" w:lineRule="auto"/>
            </w:pPr>
            <w:r/>
            <w:r>
              <w:rPr>
                <w:rFonts w:ascii="Calibri" w:hAnsi="Calibri" w:eastAsia="Calibri" w:cs="Calibri"/>
                <w:color w:val="212529"/>
                <w:sz w:val="17"/>
                <w:szCs w:val="22"/>
              </w:rPr>
              <w:t>Transparence et information</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C195A5E">
            <w:pPr>
              <w:spacing w:before="40" w:after="40" w:line="252" w:lineRule="auto"/>
            </w:pPr>
            <w:r>
              <w:rPr>
                <w:rFonts w:ascii="Calibri" w:hAnsi="Calibri" w:eastAsia="Calibri" w:cs="Calibri"/>
                <w:color w:val="212529"/>
                <w:sz w:val="17"/>
                <w:szCs w:val="22"/>
              </w:rPr>
              <w:t>Pages publiques dédiées sur le site vitrine, mentions légales, politique de confidentialité, conditions d'utilisation et information sur les cookies.</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E9B0AF3">
            <w:pPr>
              <w:spacing w:before="40" w:after="40" w:line="252" w:lineRule="auto"/>
              <w:jc w:val="center"/>
            </w:pPr>
            <w:r/>
            <w:r>
              <w:rPr>
                <w:rFonts w:ascii="Calibri" w:hAnsi="Calibri" w:eastAsia="Calibri" w:cs="Calibri"/>
                <w:b/>
                <w:bCs/>
                <w:color w:val="212529"/>
                <w:sz w:val="17"/>
                <w:szCs w:val="22"/>
              </w:rPr>
              <w:t>Art. 15</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03FF3A3">
            <w:pPr>
              <w:spacing w:before="40" w:after="40" w:line="252" w:lineRule="auto"/>
            </w:pPr>
            <w:r/>
            <w:r>
              <w:rPr>
                <w:rFonts w:ascii="Calibri" w:hAnsi="Calibri" w:eastAsia="Calibri" w:cs="Calibri"/>
                <w:color w:val="212529"/>
                <w:sz w:val="17"/>
                <w:szCs w:val="22"/>
              </w:rPr>
              <w:t>Droit d'accès</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AB24D51">
            <w:pPr>
              <w:spacing w:before="40" w:after="40" w:line="252" w:lineRule="auto"/>
            </w:pPr>
            <w:r/>
            <w:r>
              <w:rPr>
                <w:rFonts w:ascii="Calibri" w:hAnsi="Calibri" w:eastAsia="Calibri" w:cs="Calibri"/>
                <w:color w:val="212529"/>
                <w:sz w:val="17"/>
                <w:szCs w:val="22"/>
              </w:rPr>
              <w:t>Les points d'entrée de profil et de paramètres restituent l'intégralité des données du compte, y compris la date de création, l'usage du stockage et la clé d'API.</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6C1AC82">
            <w:pPr>
              <w:spacing w:before="40" w:after="40" w:line="252" w:lineRule="auto"/>
              <w:jc w:val="center"/>
            </w:pPr>
            <w:r/>
            <w:r>
              <w:rPr>
                <w:rFonts w:ascii="Calibri" w:hAnsi="Calibri" w:eastAsia="Calibri" w:cs="Calibri"/>
                <w:b/>
                <w:bCs/>
                <w:color w:val="212529"/>
                <w:sz w:val="17"/>
                <w:szCs w:val="22"/>
              </w:rPr>
              <w:t>Art. 16</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EBAA6D5">
            <w:pPr>
              <w:spacing w:before="40" w:after="40" w:line="252" w:lineRule="auto"/>
            </w:pPr>
            <w:r/>
            <w:r>
              <w:rPr>
                <w:rFonts w:ascii="Calibri" w:hAnsi="Calibri" w:eastAsia="Calibri" w:cs="Calibri"/>
                <w:color w:val="212529"/>
                <w:sz w:val="17"/>
                <w:szCs w:val="22"/>
              </w:rPr>
              <w:t>Droit de rectification</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D34FAAF">
            <w:pPr>
              <w:spacing w:before="40" w:after="40" w:line="252" w:lineRule="auto"/>
            </w:pPr>
            <w:r/>
            <w:r>
              <w:rPr>
                <w:rFonts w:ascii="Calibri" w:hAnsi="Calibri" w:eastAsia="Calibri" w:cs="Calibri"/>
                <w:color w:val="212529"/>
                <w:sz w:val="17"/>
                <w:szCs w:val="22"/>
              </w:rPr>
              <w:t>Modification de l'identité, du pseudonyme, de l'adresse e-mail, de la biographie et de la photo de profil, en libre-service.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8D24ED3">
            <w:pPr>
              <w:spacing w:before="40" w:after="40" w:line="252" w:lineRule="auto"/>
              <w:jc w:val="center"/>
            </w:pPr>
            <w:r/>
            <w:r>
              <w:rPr>
                <w:rFonts w:ascii="Calibri" w:hAnsi="Calibri" w:eastAsia="Calibri" w:cs="Calibri"/>
                <w:b/>
                <w:bCs/>
                <w:color w:val="212529"/>
                <w:sz w:val="17"/>
                <w:szCs w:val="22"/>
              </w:rPr>
              <w:t>Art. 17</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0E38EF7">
            <w:pPr>
              <w:spacing w:before="40" w:after="40" w:line="252" w:lineRule="auto"/>
            </w:pPr>
            <w:r/>
            <w:r>
              <w:rPr>
                <w:rFonts w:ascii="Calibri" w:hAnsi="Calibri" w:eastAsia="Calibri" w:cs="Calibri"/>
                <w:color w:val="212529"/>
                <w:sz w:val="17"/>
                <w:szCs w:val="22"/>
              </w:rPr>
              <w:t>Droit à l'effacement</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B52EA74">
            <w:pPr>
              <w:spacing w:before="40" w:after="40" w:line="252" w:lineRule="auto"/>
            </w:pPr>
            <w:r>
              <w:rPr>
                <w:rFonts w:ascii="Calibri" w:hAnsi="Calibri" w:eastAsia="Calibri" w:cs="Calibri"/>
                <w:color w:val="212529"/>
                <w:sz w:val="17"/>
                <w:szCs w:val="22"/>
              </w:rPr>
              <w:t>Suppression du compte après vérification du mot de passe, effacement des objets du stockage, puis suppression en base propagée en cascade aux médias, albums, placements et abonnements. La sémantique de cascade est portée par la base, pas seulement par le code (Annexe J, ADR-024).</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A9DCFD7">
            <w:pPr>
              <w:spacing w:before="40" w:after="40" w:line="252" w:lineRule="auto"/>
              <w:jc w:val="center"/>
            </w:pPr>
            <w:r/>
            <w:r>
              <w:rPr>
                <w:rFonts w:ascii="Calibri" w:hAnsi="Calibri" w:eastAsia="Calibri" w:cs="Calibri"/>
                <w:b/>
                <w:bCs/>
                <w:color w:val="212529"/>
                <w:sz w:val="17"/>
                <w:szCs w:val="22"/>
              </w:rPr>
              <w:t>Art. 18 / 21</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7E97FEE">
            <w:pPr>
              <w:spacing w:before="40" w:after="40" w:line="252" w:lineRule="auto"/>
            </w:pPr>
            <w:r/>
            <w:r>
              <w:rPr>
                <w:rFonts w:ascii="Calibri" w:hAnsi="Calibri" w:eastAsia="Calibri" w:cs="Calibri"/>
                <w:color w:val="212529"/>
                <w:sz w:val="17"/>
                <w:szCs w:val="22"/>
              </w:rPr>
              <w:t>Droit à la limitation et droit d'opposition</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E7B4B6">
            <w:pPr>
              <w:spacing w:before="40" w:after="40" w:line="252" w:lineRule="auto"/>
            </w:pPr>
            <w:r/>
            <w:r>
              <w:rPr>
                <w:rFonts w:ascii="Calibri" w:hAnsi="Calibri" w:eastAsia="Calibri" w:cs="Calibri"/>
                <w:color w:val="212529"/>
                <w:sz w:val="17"/>
                <w:szCs w:val="22"/>
              </w:rPr>
              <w:t>La dépublication ramène instantanément un contenu au domaine privé, sans perte ni duplication. L'opération est réversible et bornée à son propriétaire.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2254C37">
            <w:pPr>
              <w:spacing w:before="40" w:after="40" w:line="252" w:lineRule="auto"/>
              <w:jc w:val="center"/>
            </w:pPr>
            <w:r/>
            <w:r>
              <w:rPr>
                <w:rFonts w:ascii="Calibri" w:hAnsi="Calibri" w:eastAsia="Calibri" w:cs="Calibri"/>
                <w:b/>
                <w:bCs/>
                <w:color w:val="212529"/>
                <w:sz w:val="17"/>
                <w:szCs w:val="22"/>
              </w:rPr>
              <w:t>Art. 20</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40F28EE">
            <w:pPr>
              <w:spacing w:before="40" w:after="40" w:line="252" w:lineRule="auto"/>
            </w:pPr>
            <w:r/>
            <w:r>
              <w:rPr>
                <w:rFonts w:ascii="Calibri" w:hAnsi="Calibri" w:eastAsia="Calibri" w:cs="Calibri"/>
                <w:color w:val="212529"/>
                <w:sz w:val="17"/>
                <w:szCs w:val="22"/>
              </w:rPr>
              <w:t>Droit à la portabilité</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A3F59FD">
            <w:pPr>
              <w:spacing w:before="40" w:after="40" w:line="252" w:lineRule="auto"/>
            </w:pPr>
            <w:r/>
            <w:r>
              <w:rPr>
                <w:rFonts w:ascii="Calibri" w:hAnsi="Calibri" w:eastAsia="Calibri" w:cs="Calibri"/>
                <w:color w:val="212529"/>
                <w:sz w:val="17"/>
                <w:szCs w:val="22"/>
              </w:rPr>
              <w:t>Restitution des liens de téléchargement d'un lot de médias, et extraction programmatique par clé d'API dans un format ouvert.</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EB75176">
            <w:pPr>
              <w:spacing w:before="40" w:after="40" w:line="252" w:lineRule="auto"/>
              <w:jc w:val="center"/>
            </w:pPr>
            <w:r/>
            <w:r>
              <w:rPr>
                <w:rFonts w:ascii="Calibri" w:hAnsi="Calibri" w:eastAsia="Calibri" w:cs="Calibri"/>
                <w:b/>
                <w:bCs/>
                <w:color w:val="212529"/>
                <w:sz w:val="17"/>
                <w:szCs w:val="22"/>
              </w:rPr>
              <w:t>Art. 25</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7E51C3">
            <w:pPr>
              <w:spacing w:before="40" w:after="40" w:line="252" w:lineRule="auto"/>
            </w:pPr>
            <w:r/>
            <w:r>
              <w:rPr>
                <w:rFonts w:ascii="Calibri" w:hAnsi="Calibri" w:eastAsia="Calibri" w:cs="Calibri"/>
                <w:color w:val="212529"/>
                <w:sz w:val="17"/>
                <w:szCs w:val="22"/>
              </w:rPr>
              <w:t>Protection des données dès la conception et par défaut</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98DCA31">
            <w:pPr>
              <w:spacing w:before="40" w:after="40" w:line="252" w:lineRule="auto"/>
            </w:pPr>
            <w:r>
              <w:rPr>
                <w:rFonts w:ascii="Calibri" w:hAnsi="Calibri" w:eastAsia="Calibri" w:cs="Calibri"/>
                <w:color w:val="212529"/>
                <w:sz w:val="17"/>
                <w:szCs w:val="22"/>
              </w:rPr>
              <w:t>Le privé est l'état par défaut, la publication est une action explicite. L'empreinte du mot de passe et la clé d'API sont exclues des lectures par défaut au niveau même du modèle.</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521195">
            <w:pPr>
              <w:spacing w:before="40" w:after="40" w:line="252" w:lineRule="auto"/>
              <w:jc w:val="center"/>
            </w:pPr>
            <w:r/>
            <w:r>
              <w:rPr>
                <w:rFonts w:ascii="Calibri" w:hAnsi="Calibri" w:eastAsia="Calibri" w:cs="Calibri"/>
                <w:b/>
                <w:bCs/>
                <w:color w:val="212529"/>
                <w:sz w:val="17"/>
                <w:szCs w:val="22"/>
              </w:rPr>
              <w:t>Art. 28</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43AFFA">
            <w:pPr>
              <w:spacing w:before="40" w:after="40" w:line="252" w:lineRule="auto"/>
            </w:pPr>
            <w:r/>
            <w:r>
              <w:rPr>
                <w:rFonts w:ascii="Calibri" w:hAnsi="Calibri" w:eastAsia="Calibri" w:cs="Calibri"/>
                <w:color w:val="212529"/>
                <w:sz w:val="17"/>
                <w:szCs w:val="22"/>
              </w:rPr>
              <w:t>Sous-traitants</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44B6A86">
            <w:pPr>
              <w:spacing w:before="40" w:after="40" w:line="252" w:lineRule="auto"/>
            </w:pPr>
            <w:r/>
            <w:r>
              <w:rPr>
                <w:rFonts w:ascii="Calibri" w:hAnsi="Calibri" w:eastAsia="Calibri" w:cs="Calibri"/>
                <w:color w:val="212529"/>
                <w:sz w:val="17"/>
                <w:szCs w:val="22"/>
              </w:rPr>
              <w:t>Trois sous-traitants techniques identifiés (Hetzner, Cloudflare, Amazon Web Services), chacun sur un périmètre explicite et documenté (Annexe B).</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5606C2C">
            <w:pPr>
              <w:spacing w:before="40" w:after="40" w:line="252" w:lineRule="auto"/>
              <w:jc w:val="center"/>
            </w:pPr>
            <w:r/>
            <w:r>
              <w:rPr>
                <w:rFonts w:ascii="Calibri" w:hAnsi="Calibri" w:eastAsia="Calibri" w:cs="Calibri"/>
                <w:b/>
                <w:bCs/>
                <w:color w:val="212529"/>
                <w:sz w:val="17"/>
                <w:szCs w:val="22"/>
              </w:rPr>
              <w:t>Art. 30</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ED1E895">
            <w:pPr>
              <w:spacing w:before="40" w:after="40" w:line="252" w:lineRule="auto"/>
            </w:pPr>
            <w:r/>
            <w:r>
              <w:rPr>
                <w:rFonts w:ascii="Calibri" w:hAnsi="Calibri" w:eastAsia="Calibri" w:cs="Calibri"/>
                <w:color w:val="212529"/>
                <w:sz w:val="17"/>
                <w:szCs w:val="22"/>
              </w:rPr>
              <w:t>Registre des activités de traitement</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19546CE">
            <w:pPr>
              <w:spacing w:before="40" w:after="40" w:line="252" w:lineRule="auto"/>
            </w:pPr>
            <w:r>
              <w:rPr>
                <w:rFonts w:ascii="Calibri" w:hAnsi="Calibri" w:eastAsia="Calibri" w:cs="Calibri"/>
                <w:color w:val="212529"/>
                <w:sz w:val="17"/>
                <w:szCs w:val="22"/>
              </w:rPr>
              <w:t>Registre simplifié tenu en Annexe F.3, catégories de données, finalités, bases légales, localisation, durées de conservation et mesures de sécurité.</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CB41011">
            <w:pPr>
              <w:spacing w:before="40" w:after="40" w:line="252" w:lineRule="auto"/>
              <w:jc w:val="center"/>
            </w:pPr>
            <w:r/>
            <w:r>
              <w:rPr>
                <w:rFonts w:ascii="Calibri" w:hAnsi="Calibri" w:eastAsia="Calibri" w:cs="Calibri"/>
                <w:b/>
                <w:bCs/>
                <w:color w:val="212529"/>
                <w:sz w:val="17"/>
                <w:szCs w:val="22"/>
              </w:rPr>
              <w:t>Art. 32</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C99A062">
            <w:pPr>
              <w:spacing w:before="40" w:after="40" w:line="252" w:lineRule="auto"/>
            </w:pPr>
            <w:r/>
            <w:r>
              <w:rPr>
                <w:rFonts w:ascii="Calibri" w:hAnsi="Calibri" w:eastAsia="Calibri" w:cs="Calibri"/>
                <w:color w:val="212529"/>
                <w:sz w:val="17"/>
                <w:szCs w:val="22"/>
              </w:rPr>
              <w:t>Sécurité du traitement</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0EC4842">
            <w:pPr>
              <w:spacing w:before="40" w:after="40" w:line="252" w:lineRule="auto"/>
            </w:pPr>
            <w:r/>
            <w:r>
              <w:rPr>
                <w:rFonts w:ascii="Calibri" w:hAnsi="Calibri" w:eastAsia="Calibri" w:cs="Calibri"/>
                <w:color w:val="212529"/>
                <w:sz w:val="17"/>
                <w:szCs w:val="22"/>
              </w:rPr>
              <w:t>Chiffrement au repos (AES-256) et en transit (TLS ≥ 1.2, HSTS), pseudonymisation dans les journaux, capacité de rétablissement démontrée (Annexe U), procédure de test des mesures à formaliser.</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EE0D0C">
            <w:pPr>
              <w:spacing w:before="40" w:after="40" w:line="252" w:lineRule="auto"/>
              <w:jc w:val="center"/>
            </w:pPr>
            <w:r/>
            <w:r>
              <w:rPr>
                <w:rFonts w:ascii="Calibri" w:hAnsi="Calibri" w:eastAsia="Calibri" w:cs="Calibri"/>
                <w:b/>
                <w:bCs/>
                <w:color w:val="212529"/>
                <w:sz w:val="17"/>
                <w:szCs w:val="22"/>
              </w:rPr>
              <w:t>Art. 33 / 34</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E83244C">
            <w:pPr>
              <w:spacing w:before="40" w:after="40" w:line="252" w:lineRule="auto"/>
            </w:pPr>
            <w:r/>
            <w:r>
              <w:rPr>
                <w:rFonts w:ascii="Calibri" w:hAnsi="Calibri" w:eastAsia="Calibri" w:cs="Calibri"/>
                <w:color w:val="212529"/>
                <w:sz w:val="17"/>
                <w:szCs w:val="22"/>
              </w:rPr>
              <w:t>Notification des violations</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73C7FF4">
            <w:pPr>
              <w:spacing w:before="40" w:after="40" w:line="252" w:lineRule="auto"/>
            </w:pPr>
            <w:r>
              <w:rPr>
                <w:rFonts w:ascii="Calibri" w:hAnsi="Calibri" w:eastAsia="Calibri" w:cs="Calibri"/>
                <w:color w:val="212529"/>
                <w:sz w:val="17"/>
                <w:szCs w:val="22"/>
              </w:rPr>
              <w:t xml:space="preserve">Détection outillée,  alerte sur le taux d'erreurs, journalisation dédiée en cas de rejeu de session, révocation globale immédiate. Écart assumé, la procédure de notification à l'autorité et aux personnes concernées relève de l'organisation exploitante et n'est pas outillée ici.</w:t>
            </w:r>
          </w:p>
        </w:tc>
      </w:tr>
      <w:tr>
        <w:tc>
          <w:tcPr>
            <w:tcW w:w="147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71B069E">
            <w:pPr>
              <w:spacing w:before="40" w:after="40" w:line="252" w:lineRule="auto"/>
              <w:jc w:val="center"/>
            </w:pPr>
            <w:r/>
            <w:r>
              <w:rPr>
                <w:rFonts w:ascii="Calibri" w:hAnsi="Calibri" w:eastAsia="Calibri" w:cs="Calibri"/>
                <w:b/>
                <w:bCs/>
                <w:color w:val="212529"/>
                <w:sz w:val="17"/>
                <w:szCs w:val="22"/>
              </w:rPr>
              <w:t>Art. 44 → 49</w:t>
            </w:r>
          </w:p>
        </w:tc>
        <w:tc>
          <w:tcPr>
            <w:tcW w:w="362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388A87F">
            <w:pPr>
              <w:spacing w:before="40" w:after="40" w:line="252" w:lineRule="auto"/>
            </w:pPr>
            <w:r/>
            <w:r>
              <w:rPr>
                <w:rFonts w:ascii="Calibri" w:hAnsi="Calibri" w:eastAsia="Calibri" w:cs="Calibri"/>
                <w:color w:val="212529"/>
                <w:sz w:val="17"/>
                <w:szCs w:val="22"/>
              </w:rPr>
              <w:t>Transferts hors Union européenne</w:t>
            </w:r>
          </w:p>
        </w:tc>
        <w:tc>
          <w:tcPr>
            <w:tcW w:w="952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7332327">
            <w:pPr>
              <w:spacing w:before="40" w:after="40" w:line="252" w:lineRule="auto"/>
            </w:pPr>
            <w:r/>
            <w:r>
              <w:rPr>
                <w:rFonts w:ascii="Calibri" w:hAnsi="Calibri" w:eastAsia="Calibri" w:cs="Calibri"/>
                <w:color w:val="212529"/>
                <w:sz w:val="17"/>
                <w:szCs w:val="22"/>
              </w:rPr>
              <w:t>Aucun transfert. Le calcul est hébergé en Allemagne (Hetzner), le stockage et la diffusion sont confinés à la région française eu-west-3. Cloudflare n'assure que la périphérie réseau, sans conservation de contenu. Ce périmètre découle directement de l'analyse du Cloud Act.</w:t>
            </w:r>
          </w:p>
        </w:tc>
      </w:tr>
    </w:tbl>
    <w:p w14:paraId="3DACB613">
      <w:pPr>
        <w:keepNext/>
        <w:spacing w:before="280" w:after="80"/>
      </w:pPr>
      <w:r>
        <w:rPr>
          <w:rFonts w:ascii="Calibri" w:hAnsi="Calibri" w:eastAsia="Calibri" w:cs="Calibri"/>
          <w:b/>
          <w:bCs/>
          <w:color w:val="1C7ED6"/>
          <w:sz w:val="25"/>
          <w:szCs w:val="22"/>
        </w:rPr>
        <w:t>Écarts assumés et plan de traitement</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3756"/>
        <w:gridCol w:w="3756"/>
        <w:gridCol w:w="3756"/>
        <w:gridCol w:w="3756"/>
      </w:tblGrid>
      <w:tr>
        <w:trPr>
          <w:tblHeader/>
        </w:trPr>
        <w:tc>
          <w:tcPr>
            <w:tcW w:w="4535"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7E1DCC4A">
            <w:pPr>
              <w:spacing w:before="40" w:after="40" w:line="252" w:lineRule="auto"/>
              <w:jc w:val="center"/>
            </w:pPr>
            <w:r/>
            <w:r>
              <w:rPr>
                <w:rFonts w:ascii="Calibri" w:hAnsi="Calibri" w:eastAsia="Calibri" w:cs="Calibri"/>
                <w:b/>
                <w:bCs/>
                <w:color w:val="FFFFFF"/>
                <w:sz w:val="18"/>
                <w:szCs w:val="22"/>
              </w:rPr>
              <w:t>Écart</w:t>
            </w:r>
          </w:p>
        </w:tc>
        <w:tc>
          <w:tcPr>
            <w:tcW w:w="669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2B714A11">
            <w:pPr>
              <w:spacing w:before="40" w:after="40" w:line="252" w:lineRule="auto"/>
              <w:jc w:val="center"/>
            </w:pPr>
            <w:r/>
            <w:r>
              <w:rPr>
                <w:rFonts w:ascii="Calibri" w:hAnsi="Calibri" w:eastAsia="Calibri" w:cs="Calibri"/>
                <w:b/>
                <w:bCs/>
                <w:color w:val="FFFFFF"/>
                <w:sz w:val="18"/>
                <w:szCs w:val="22"/>
              </w:rPr>
              <w:t>Traitement prévu</w:t>
            </w:r>
          </w:p>
        </w:tc>
        <w:tc>
          <w:tcPr>
            <w:tcW w:w="1701"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8240845">
            <w:pPr>
              <w:spacing w:before="40" w:after="40" w:line="252" w:lineRule="auto"/>
              <w:jc w:val="center"/>
            </w:pPr>
            <w:r/>
            <w:r>
              <w:rPr>
                <w:rFonts w:ascii="Calibri" w:hAnsi="Calibri" w:eastAsia="Calibri" w:cs="Calibri"/>
                <w:b/>
                <w:bCs/>
                <w:color w:val="FFFFFF"/>
                <w:sz w:val="18"/>
                <w:szCs w:val="22"/>
              </w:rPr>
              <w:t>Charge</w:t>
            </w:r>
          </w:p>
        </w:tc>
        <w:tc>
          <w:tcPr>
            <w:tcW w:w="1701"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4FB9690">
            <w:pPr>
              <w:spacing w:before="40" w:after="40" w:line="252" w:lineRule="auto"/>
              <w:jc w:val="center"/>
            </w:pPr>
            <w:r/>
            <w:r>
              <w:rPr>
                <w:rFonts w:ascii="Calibri" w:hAnsi="Calibri" w:eastAsia="Calibri" w:cs="Calibri"/>
                <w:b/>
                <w:bCs/>
                <w:color w:val="FFFFFF"/>
                <w:sz w:val="18"/>
                <w:szCs w:val="22"/>
              </w:rPr>
              <w:t>Priorité</w:t>
            </w:r>
          </w:p>
        </w:tc>
      </w:tr>
      <w:tr>
        <w:tc>
          <w:tcPr>
            <w:tcW w:w="45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80841D5">
            <w:pPr>
              <w:spacing w:before="40" w:after="40" w:line="252" w:lineRule="auto"/>
            </w:pPr>
            <w:r>
              <w:rPr>
                <w:rFonts w:ascii="Calibri" w:hAnsi="Calibri" w:eastAsia="Calibri" w:cs="Calibri"/>
                <w:b/>
                <w:bCs/>
                <w:color w:val="212529"/>
                <w:sz w:val="17"/>
                <w:szCs w:val="22"/>
              </w:rPr>
              <w:t xml:space="preserve">A.5.24 → 5.28  canaux de notification d'alerte non raccordés</w:t>
            </w:r>
          </w:p>
        </w:tc>
        <w:tc>
          <w:tcPr>
            <w:tcW w:w="669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3C367BE">
            <w:pPr>
              <w:spacing w:before="40" w:after="40" w:line="252" w:lineRule="auto"/>
            </w:pPr>
            <w:r/>
            <w:r>
              <w:rPr>
                <w:rFonts w:ascii="Calibri" w:hAnsi="Calibri" w:eastAsia="Calibri" w:cs="Calibri"/>
                <w:color w:val="212529"/>
                <w:sz w:val="17"/>
                <w:szCs w:val="22"/>
              </w:rPr>
              <w:t>Raccorder Alertmanager à un canal de notification (courriel ou messagerie) et vérifier le bout-en-bout par une alerte de test.</w:t>
            </w:r>
          </w:p>
        </w:tc>
        <w:tc>
          <w:tcPr>
            <w:tcW w:w="1701"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BB67EFF">
            <w:pPr>
              <w:spacing w:before="40" w:after="40" w:line="252" w:lineRule="auto"/>
              <w:jc w:val="center"/>
            </w:pPr>
            <w:r/>
            <w:r>
              <w:rPr>
                <w:rFonts w:ascii="Calibri" w:hAnsi="Calibri" w:eastAsia="Calibri" w:cs="Calibri"/>
                <w:color w:val="212529"/>
                <w:sz w:val="17"/>
                <w:szCs w:val="22"/>
              </w:rPr>
              <w:t>1 j-h · 500 €</w:t>
            </w:r>
          </w:p>
        </w:tc>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3D730B6">
            <w:pPr>
              <w:spacing w:before="40" w:after="40" w:line="252" w:lineRule="auto"/>
              <w:jc w:val="center"/>
            </w:pPr>
            <w:r/>
            <w:r>
              <w:rPr>
                <w:rFonts w:ascii="Calibri" w:hAnsi="Calibri" w:eastAsia="Calibri" w:cs="Calibri"/>
                <w:b/>
                <w:bCs/>
                <w:color w:val="212529"/>
                <w:sz w:val="17"/>
                <w:szCs w:val="22"/>
              </w:rPr>
              <w:t>Moyenne</w:t>
            </w:r>
          </w:p>
        </w:tc>
      </w:tr>
      <w:tr>
        <w:tc>
          <w:tcPr>
            <w:tcW w:w="45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2FB9CB9">
            <w:pPr>
              <w:spacing w:before="40" w:after="40" w:line="252" w:lineRule="auto"/>
            </w:pPr>
            <w:r>
              <w:rPr>
                <w:rFonts w:ascii="Calibri" w:hAnsi="Calibri" w:eastAsia="Calibri" w:cs="Calibri"/>
                <w:b/>
                <w:bCs/>
                <w:color w:val="212529"/>
                <w:sz w:val="17"/>
                <w:szCs w:val="22"/>
              </w:rPr>
              <w:t xml:space="preserve">A.5.29 / 5.30 et art. 32  exercice de reprise non formalisé</w:t>
            </w:r>
          </w:p>
        </w:tc>
        <w:tc>
          <w:tcPr>
            <w:tcW w:w="669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9BBDCA">
            <w:pPr>
              <w:spacing w:before="40" w:after="40" w:line="252" w:lineRule="auto"/>
            </w:pPr>
            <w:r/>
            <w:r>
              <w:rPr>
                <w:rFonts w:ascii="Calibri" w:hAnsi="Calibri" w:eastAsia="Calibri" w:cs="Calibri"/>
                <w:color w:val="212529"/>
                <w:sz w:val="17"/>
                <w:szCs w:val="22"/>
              </w:rPr>
              <w:t>Programmer un exercice de restauration de bout en bout périodique et suivre un objectif de point de reprise documenté, afin de transformer une capacité démontrée en garantie éprouvée.</w:t>
            </w:r>
          </w:p>
        </w:tc>
        <w:tc>
          <w:tcPr>
            <w:tcW w:w="1701"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3A0AC39">
            <w:pPr>
              <w:spacing w:before="40" w:after="40" w:line="252" w:lineRule="auto"/>
              <w:jc w:val="center"/>
            </w:pPr>
            <w:r/>
            <w:r>
              <w:rPr>
                <w:rFonts w:ascii="Calibri" w:hAnsi="Calibri" w:eastAsia="Calibri" w:cs="Calibri"/>
                <w:color w:val="212529"/>
                <w:sz w:val="17"/>
                <w:szCs w:val="22"/>
              </w:rPr>
              <w:t>3 j-h · 1 500 €</w:t>
            </w:r>
          </w:p>
        </w:tc>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E3EFBA7">
            <w:pPr>
              <w:spacing w:before="40" w:after="40" w:line="252" w:lineRule="auto"/>
              <w:jc w:val="center"/>
            </w:pPr>
            <w:r/>
            <w:r>
              <w:rPr>
                <w:rFonts w:ascii="Calibri" w:hAnsi="Calibri" w:eastAsia="Calibri" w:cs="Calibri"/>
                <w:b/>
                <w:bCs/>
                <w:color w:val="212529"/>
                <w:sz w:val="17"/>
                <w:szCs w:val="22"/>
              </w:rPr>
              <w:t>Moyenne</w:t>
            </w:r>
          </w:p>
        </w:tc>
      </w:tr>
      <w:tr>
        <w:tc>
          <w:tcPr>
            <w:tcW w:w="45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4EE57F3">
            <w:pPr>
              <w:spacing w:before="40" w:after="40" w:line="252" w:lineRule="auto"/>
            </w:pPr>
            <w:r>
              <w:rPr>
                <w:rFonts w:ascii="Calibri" w:hAnsi="Calibri" w:eastAsia="Calibri" w:cs="Calibri"/>
                <w:b/>
                <w:bCs/>
                <w:color w:val="212529"/>
                <w:sz w:val="17"/>
                <w:szCs w:val="22"/>
              </w:rPr>
              <w:t xml:space="preserve">A.8.17  source de temps non pilotée par le code</w:t>
            </w:r>
          </w:p>
        </w:tc>
        <w:tc>
          <w:tcPr>
            <w:tcW w:w="669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BB75591">
            <w:pPr>
              <w:spacing w:before="40" w:after="40" w:line="252" w:lineRule="auto"/>
            </w:pPr>
            <w:r/>
            <w:r>
              <w:rPr>
                <w:rFonts w:ascii="Calibri" w:hAnsi="Calibri" w:eastAsia="Calibri" w:cs="Calibri"/>
                <w:color w:val="212529"/>
                <w:sz w:val="17"/>
                <w:szCs w:val="22"/>
              </w:rPr>
              <w:t>Déclarer explicitement la configuration de synchronisation horaire dans le playbook de provisionnement.</w:t>
            </w:r>
          </w:p>
        </w:tc>
        <w:tc>
          <w:tcPr>
            <w:tcW w:w="1701"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3EE8E35">
            <w:pPr>
              <w:spacing w:before="40" w:after="40" w:line="252" w:lineRule="auto"/>
              <w:jc w:val="center"/>
            </w:pPr>
            <w:r/>
            <w:r>
              <w:rPr>
                <w:rFonts w:ascii="Calibri" w:hAnsi="Calibri" w:eastAsia="Calibri" w:cs="Calibri"/>
                <w:color w:val="212529"/>
                <w:sz w:val="17"/>
                <w:szCs w:val="22"/>
              </w:rPr>
              <w:t>0,5 j-h · 250 €</w:t>
            </w:r>
          </w:p>
        </w:tc>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48357A1F">
            <w:pPr>
              <w:spacing w:before="40" w:after="40" w:line="252" w:lineRule="auto"/>
              <w:jc w:val="center"/>
            </w:pPr>
            <w:r/>
            <w:r>
              <w:rPr>
                <w:rFonts w:ascii="Calibri" w:hAnsi="Calibri" w:eastAsia="Calibri" w:cs="Calibri"/>
                <w:b/>
                <w:bCs/>
                <w:color w:val="212529"/>
                <w:sz w:val="17"/>
                <w:szCs w:val="22"/>
              </w:rPr>
              <w:t>Basse</w:t>
            </w:r>
          </w:p>
        </w:tc>
      </w:tr>
      <w:tr>
        <w:tc>
          <w:tcPr>
            <w:tcW w:w="45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2E518E0">
            <w:pPr>
              <w:spacing w:before="40" w:after="40" w:line="252" w:lineRule="auto"/>
            </w:pPr>
            <w:r>
              <w:rPr>
                <w:rFonts w:ascii="Calibri" w:hAnsi="Calibri" w:eastAsia="Calibri" w:cs="Calibri"/>
                <w:b/>
                <w:bCs/>
                <w:color w:val="212529"/>
                <w:sz w:val="17"/>
                <w:szCs w:val="22"/>
              </w:rPr>
              <w:t xml:space="preserve">A.8.31  absence d'environnement de préproduction</w:t>
            </w:r>
          </w:p>
        </w:tc>
        <w:tc>
          <w:tcPr>
            <w:tcW w:w="669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604D22C">
            <w:pPr>
              <w:spacing w:before="40" w:after="40" w:line="252" w:lineRule="auto"/>
            </w:pPr>
            <w:r/>
            <w:r>
              <w:rPr>
                <w:rFonts w:ascii="Calibri" w:hAnsi="Calibri" w:eastAsia="Calibri" w:cs="Calibri"/>
                <w:color w:val="212529"/>
                <w:sz w:val="17"/>
                <w:szCs w:val="22"/>
              </w:rPr>
              <w:t>Choix assumé au regard de la maîtrise des coûts. L'infrastructure étant décrite en code, un environnement éphémère peut être instancié à la demande pour une recette ponctuelle.</w:t>
            </w:r>
          </w:p>
        </w:tc>
        <w:tc>
          <w:tcPr>
            <w:tcW w:w="1701"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8902A0C">
            <w:pPr>
              <w:spacing w:before="40" w:after="40" w:line="252" w:lineRule="auto"/>
              <w:jc w:val="center"/>
            </w:pPr>
            <w:r/>
            <w:r>
              <w:rPr>
                <w:rFonts w:ascii="Calibri" w:hAnsi="Calibri" w:eastAsia="Calibri" w:cs="Calibri"/>
                <w:color w:val="212529"/>
                <w:sz w:val="17"/>
                <w:szCs w:val="22"/>
              </w:rPr>
              <w:t>à cadrer</w:t>
            </w:r>
          </w:p>
        </w:tc>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E3245A6">
            <w:pPr>
              <w:spacing w:before="40" w:after="40" w:line="252" w:lineRule="auto"/>
              <w:jc w:val="center"/>
            </w:pPr>
            <w:r/>
            <w:r>
              <w:rPr>
                <w:rFonts w:ascii="Calibri" w:hAnsi="Calibri" w:eastAsia="Calibri" w:cs="Calibri"/>
                <w:b/>
                <w:bCs/>
                <w:color w:val="212529"/>
                <w:sz w:val="17"/>
                <w:szCs w:val="22"/>
              </w:rPr>
              <w:t>Basse</w:t>
            </w:r>
          </w:p>
        </w:tc>
      </w:tr>
      <w:tr>
        <w:tc>
          <w:tcPr>
            <w:tcW w:w="45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DF6DAAE">
            <w:pPr>
              <w:spacing w:before="40" w:after="40" w:line="252" w:lineRule="auto"/>
            </w:pPr>
            <w:r>
              <w:rPr>
                <w:rFonts w:ascii="Calibri" w:hAnsi="Calibri" w:eastAsia="Calibri" w:cs="Calibri"/>
                <w:b/>
                <w:bCs/>
                <w:color w:val="212529"/>
                <w:sz w:val="17"/>
                <w:szCs w:val="22"/>
              </w:rPr>
              <w:t xml:space="preserve">Vigilance transverse  secrets répartis sur trois fournisseurs</w:t>
            </w:r>
          </w:p>
        </w:tc>
        <w:tc>
          <w:tcPr>
            <w:tcW w:w="669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23F4232">
            <w:pPr>
              <w:spacing w:before="40" w:after="40" w:line="252" w:lineRule="auto"/>
            </w:pPr>
            <w:r/>
            <w:r>
              <w:rPr>
                <w:rFonts w:ascii="Calibri" w:hAnsi="Calibri" w:eastAsia="Calibri" w:cs="Calibri"/>
                <w:color w:val="212529"/>
                <w:sz w:val="17"/>
                <w:szCs w:val="22"/>
              </w:rPr>
              <w:t>Centraliser la gestion des secrets, en conservant le principe du moindre privilège par périmètre.</w:t>
            </w:r>
          </w:p>
        </w:tc>
        <w:tc>
          <w:tcPr>
            <w:tcW w:w="1701"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870B4C8">
            <w:pPr>
              <w:spacing w:before="40" w:after="40" w:line="252" w:lineRule="auto"/>
              <w:jc w:val="center"/>
            </w:pPr>
            <w:r/>
            <w:r>
              <w:rPr>
                <w:rFonts w:ascii="Calibri" w:hAnsi="Calibri" w:eastAsia="Calibri" w:cs="Calibri"/>
                <w:color w:val="212529"/>
                <w:sz w:val="17"/>
                <w:szCs w:val="22"/>
              </w:rPr>
              <w:t>à cadrer</w:t>
            </w:r>
          </w:p>
        </w:tc>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7173D6AA">
            <w:pPr>
              <w:spacing w:before="40" w:after="40" w:line="252" w:lineRule="auto"/>
              <w:jc w:val="center"/>
            </w:pPr>
            <w:r/>
            <w:r>
              <w:rPr>
                <w:rFonts w:ascii="Calibri" w:hAnsi="Calibri" w:eastAsia="Calibri" w:cs="Calibri"/>
                <w:b/>
                <w:bCs/>
                <w:color w:val="212529"/>
                <w:sz w:val="17"/>
                <w:szCs w:val="22"/>
              </w:rPr>
              <w:t>Basse</w:t>
            </w:r>
          </w:p>
        </w:tc>
      </w:tr>
    </w:tbl>
    <w:p w14:paraId="12A252A4">
      <w:pPr>
        <w:spacing w:before="240"/>
      </w:pPr>
      <w:r>
        <w:rPr>
          <w:rFonts w:ascii="Calibri" w:hAnsi="Calibri" w:eastAsia="Calibri" w:cs="Calibri"/>
          <w:i/>
          <w:iCs/>
          <w:color w:val="868E96"/>
          <w:sz w:val="16"/>
          <w:szCs w:val="22"/>
        </w:rPr>
        <w:t xml:space="preserve">Sources : infra/saas/terraform/main.tf · infra/saas/ansible/{playbook,deploy,backup,restore}.yml · infra/saas/ansible/templates/docker-compose.yml.j2 · apps/saas/backend/src/{main.ts,services,guards,middleware,models} · .github/workflows/*.yml · .trivyignore  référentiels : ISO/IEC 27001:2022 annexe A · Règlement (UE) 2016/679 · ISO/IEC 27005 · EBIOS Risk Manager (ANSSI).</w:t>
      </w:r>
    </w:p>
    <w:sectPr>
      <w:pgSz w:w="16838" w:h="11906" w:orient="landscape"/>
      <w:pgMar w:top="907" w:right="907" w:bottom="907" w:left="90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2026-07-23T09:53:22.161Z</dcterms:modified>
  <cp:category/>
</cp:coreProperties>
</file>