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C65E422">
      <w:pPr>
        <w:spacing w:after="40"/>
      </w:pPr>
      <w:r>
        <w:rPr>
          <w:rFonts w:ascii="Calibri" w:hAnsi="Calibri" w:eastAsia="Calibri" w:cs="Calibri"/>
          <w:b/>
          <w:bCs/>
          <w:color w:val="212529"/>
          <w:sz w:val="38"/>
          <w:szCs w:val="22"/>
        </w:rPr>
        <w:t>Annexe L bis Matrice RACI</w:t>
      </w:r>
    </w:p>
    <w:p w14:paraId="4B22F5FB">
      <w:pPr>
        <w:spacing w:after="200"/>
      </w:pPr>
      <w:r>
        <w:rPr>
          <w:rFonts w:ascii="Calibri" w:hAnsi="Calibri" w:eastAsia="Calibri" w:cs="Calibri"/>
          <w:color w:val="868E96"/>
          <w:sz w:val="22"/>
          <w:szCs w:val="22"/>
        </w:rPr>
        <w:t>dropicture · huit lots de travail (WBS) croisés avec les six acteurs du projet</w:t>
      </w:r>
    </w:p>
    <w:p w14:paraId="0435398D">
      <w:pPr>
        <w:spacing w:after="280"/>
      </w:pPr>
      <w:r>
        <w:rPr>
          <w:rFonts w:ascii="Calibri" w:hAnsi="Calibri" w:eastAsia="Calibri" w:cs="Calibri"/>
          <w:i/>
          <w:iCs/>
          <w:color w:val="868E96"/>
          <w:sz w:val="17"/>
          <w:szCs w:val="22"/>
        </w:rPr>
        <w:t xml:space="preserve">RNCP40573  Expert en informatique et systèmes d'information, option DevOps · Amir Redjem · appelée en §13.1.2 et §13.4.1 du mémoire</w:t>
      </w:r>
    </w:p>
    <w:p w14:paraId="062ABC59">
      <w:pPr>
        <w:spacing w:after="120"/>
        <w:jc w:val="both"/>
      </w:pPr>
      <w:r>
        <w:rPr>
          <w:rFonts w:ascii="Calibri" w:hAnsi="Calibri" w:eastAsia="Calibri" w:cs="Calibri"/>
          <w:color w:val="212529"/>
          <w:sz w:val="20"/>
          <w:szCs w:val="22"/>
        </w:rPr>
        <w:t>La matrice RACI lève toute ambiguïté sur qui réalise, qui décide, qui est consulté et qui est informé. Elle croise les huit lots de la structure de découpage du projet (cf. Annexe L) et les six acteurs de la situation professionnelle reconstituée. Deux règles de construction ont été tenues, un lot ne porte jamais plus d'un décideur redevable, afin d'éviter la dilution de la décision, et la charge de réalisation est répartie de manière équilibrée entre les acteurs techniques.</w:t>
      </w:r>
    </w:p>
    <w:p w14:paraId="1E4DD0A7">
      <w:pPr>
        <w:keepNext/>
        <w:spacing w:before="280" w:after="80"/>
      </w:pPr>
      <w:r>
        <w:rPr>
          <w:rFonts w:ascii="Calibri" w:hAnsi="Calibri" w:eastAsia="Calibri" w:cs="Calibri"/>
          <w:b/>
          <w:bCs/>
          <w:color w:val="1C7ED6"/>
          <w:sz w:val="26"/>
          <w:szCs w:val="22"/>
        </w:rPr>
        <w:t>Légende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5008"/>
        <w:gridCol w:w="5008"/>
        <w:gridCol w:w="5008"/>
      </w:tblGrid>
      <w:tr>
        <w:trPr>
          <w:tblHeader/>
        </w:trPr>
        <w:tc>
          <w:tcPr>
            <w:tcW w:w="907"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6210F563">
            <w:pPr>
              <w:spacing w:before="40" w:after="40" w:line="252" w:lineRule="auto"/>
              <w:jc w:val="center"/>
            </w:pPr>
            <w:r/>
            <w:r>
              <w:rPr>
                <w:rFonts w:ascii="Calibri" w:hAnsi="Calibri" w:eastAsia="Calibri" w:cs="Calibri"/>
                <w:b/>
                <w:bCs/>
                <w:color w:val="FFFFFF"/>
                <w:sz w:val="18"/>
                <w:szCs w:val="22"/>
              </w:rPr>
              <w:t>Lettre</w:t>
            </w:r>
          </w:p>
        </w:tc>
        <w:tc>
          <w:tcPr>
            <w:tcW w:w="2835"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D30B0B4">
            <w:pPr>
              <w:spacing w:before="40" w:after="40" w:line="252" w:lineRule="auto"/>
              <w:jc w:val="center"/>
            </w:pPr>
            <w:r/>
            <w:r>
              <w:rPr>
                <w:rFonts w:ascii="Calibri" w:hAnsi="Calibri" w:eastAsia="Calibri" w:cs="Calibri"/>
                <w:b/>
                <w:bCs/>
                <w:color w:val="FFFFFF"/>
                <w:sz w:val="18"/>
                <w:szCs w:val="22"/>
              </w:rPr>
              <w:t>Rôle</w:t>
            </w:r>
          </w:p>
        </w:tc>
        <w:tc>
          <w:tcPr>
            <w:tcW w:w="1077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D6211B6">
            <w:pPr>
              <w:spacing w:before="40" w:after="40" w:line="252" w:lineRule="auto"/>
              <w:jc w:val="center"/>
            </w:pPr>
            <w:r/>
            <w:r>
              <w:rPr>
                <w:rFonts w:ascii="Calibri" w:hAnsi="Calibri" w:eastAsia="Calibri" w:cs="Calibri"/>
                <w:b/>
                <w:bCs/>
                <w:color w:val="FFFFFF"/>
                <w:sz w:val="18"/>
                <w:szCs w:val="22"/>
              </w:rPr>
              <w:t>Signification retenue</w:t>
            </w:r>
          </w:p>
        </w:tc>
      </w:tr>
      <w:tr>
        <w:tc>
          <w:tcPr>
            <w:tcW w:w="907"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74546397">
            <w:pPr>
              <w:spacing w:before="40" w:after="40" w:line="252" w:lineRule="auto"/>
              <w:jc w:val="center"/>
            </w:pPr>
            <w:r/>
            <w:r>
              <w:rPr>
                <w:rFonts w:ascii="Calibri" w:hAnsi="Calibri" w:eastAsia="Calibri" w:cs="Calibri"/>
                <w:b/>
                <w:bCs/>
                <w:color w:val="212529"/>
                <w:sz w:val="20"/>
                <w:szCs w:val="22"/>
              </w:rPr>
              <w:t>R</w:t>
            </w:r>
          </w:p>
        </w:tc>
        <w:tc>
          <w:tcPr>
            <w:tcW w:w="28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68C9BDF">
            <w:pPr>
              <w:spacing w:before="40" w:after="40" w:line="252" w:lineRule="auto"/>
            </w:pPr>
            <w:r/>
            <w:r>
              <w:rPr>
                <w:rFonts w:ascii="Calibri" w:hAnsi="Calibri" w:eastAsia="Calibri" w:cs="Calibri"/>
                <w:b/>
                <w:bCs/>
                <w:color w:val="212529"/>
                <w:sz w:val="18"/>
                <w:szCs w:val="22"/>
              </w:rPr>
              <w:t>Responsable (Responsible)</w:t>
            </w:r>
          </w:p>
        </w:tc>
        <w:tc>
          <w:tcPr>
            <w:tcW w:w="1077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E4B6BF7">
            <w:pPr>
              <w:spacing w:before="40" w:after="40" w:line="252" w:lineRule="auto"/>
            </w:pPr>
            <w:r/>
            <w:r>
              <w:rPr>
                <w:rFonts w:ascii="Calibri" w:hAnsi="Calibri" w:eastAsia="Calibri" w:cs="Calibri"/>
                <w:color w:val="212529"/>
                <w:sz w:val="18"/>
                <w:szCs w:val="22"/>
              </w:rPr>
              <w:t>Exécute la tâche. Plusieurs acteurs peuvent porter un R sur un même lot.</w:t>
            </w:r>
          </w:p>
        </w:tc>
      </w:tr>
      <w:tr>
        <w:tc>
          <w:tcPr>
            <w:tcW w:w="907"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37FBA93E">
            <w:pPr>
              <w:spacing w:before="40" w:after="40" w:line="252" w:lineRule="auto"/>
              <w:jc w:val="center"/>
            </w:pPr>
            <w:r/>
            <w:r>
              <w:rPr>
                <w:rFonts w:ascii="Calibri" w:hAnsi="Calibri" w:eastAsia="Calibri" w:cs="Calibri"/>
                <w:b/>
                <w:bCs/>
                <w:color w:val="212529"/>
                <w:sz w:val="20"/>
                <w:szCs w:val="22"/>
              </w:rPr>
              <w:t>A</w:t>
            </w:r>
          </w:p>
        </w:tc>
        <w:tc>
          <w:tcPr>
            <w:tcW w:w="28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8B6F321">
            <w:pPr>
              <w:spacing w:before="40" w:after="40" w:line="252" w:lineRule="auto"/>
            </w:pPr>
            <w:r/>
            <w:r>
              <w:rPr>
                <w:rFonts w:ascii="Calibri" w:hAnsi="Calibri" w:eastAsia="Calibri" w:cs="Calibri"/>
                <w:b/>
                <w:bCs/>
                <w:color w:val="212529"/>
                <w:sz w:val="18"/>
                <w:szCs w:val="22"/>
              </w:rPr>
              <w:t>Redevable (Accountable)</w:t>
            </w:r>
          </w:p>
        </w:tc>
        <w:tc>
          <w:tcPr>
            <w:tcW w:w="1077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F91A522">
            <w:pPr>
              <w:spacing w:before="40" w:after="40" w:line="252" w:lineRule="auto"/>
            </w:pPr>
            <w:r/>
            <w:r>
              <w:rPr>
                <w:rFonts w:ascii="Calibri" w:hAnsi="Calibri" w:eastAsia="Calibri" w:cs="Calibri"/>
                <w:color w:val="212529"/>
                <w:sz w:val="18"/>
                <w:szCs w:val="22"/>
              </w:rPr>
              <w:t>Décide et répond du résultat. Un seul A par lot, sans exception.</w:t>
            </w:r>
          </w:p>
        </w:tc>
      </w:tr>
      <w:tr>
        <w:tc>
          <w:tcPr>
            <w:tcW w:w="907"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6F49D0CF">
            <w:pPr>
              <w:spacing w:before="40" w:after="40" w:line="252" w:lineRule="auto"/>
              <w:jc w:val="center"/>
            </w:pPr>
            <w:r/>
            <w:r>
              <w:rPr>
                <w:rFonts w:ascii="Calibri" w:hAnsi="Calibri" w:eastAsia="Calibri" w:cs="Calibri"/>
                <w:b/>
                <w:bCs/>
                <w:color w:val="212529"/>
                <w:sz w:val="20"/>
                <w:szCs w:val="22"/>
              </w:rPr>
              <w:t>C</w:t>
            </w:r>
          </w:p>
        </w:tc>
        <w:tc>
          <w:tcPr>
            <w:tcW w:w="28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93648F0">
            <w:pPr>
              <w:spacing w:before="40" w:after="40" w:line="252" w:lineRule="auto"/>
            </w:pPr>
            <w:r/>
            <w:r>
              <w:rPr>
                <w:rFonts w:ascii="Calibri" w:hAnsi="Calibri" w:eastAsia="Calibri" w:cs="Calibri"/>
                <w:b/>
                <w:bCs/>
                <w:color w:val="212529"/>
                <w:sz w:val="18"/>
                <w:szCs w:val="22"/>
              </w:rPr>
              <w:t>Consulté (Consulted)</w:t>
            </w:r>
          </w:p>
        </w:tc>
        <w:tc>
          <w:tcPr>
            <w:tcW w:w="1077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FA36D39">
            <w:pPr>
              <w:spacing w:before="40" w:after="40" w:line="252" w:lineRule="auto"/>
            </w:pPr>
            <w:r/>
            <w:r>
              <w:rPr>
                <w:rFonts w:ascii="Calibri" w:hAnsi="Calibri" w:eastAsia="Calibri" w:cs="Calibri"/>
                <w:color w:val="212529"/>
                <w:sz w:val="18"/>
                <w:szCs w:val="22"/>
              </w:rPr>
              <w:t>Apporte une expertise avant décision. Dialogue à double sens.</w:t>
            </w:r>
          </w:p>
        </w:tc>
      </w:tr>
      <w:tr>
        <w:tc>
          <w:tcPr>
            <w:tcW w:w="907"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13198A49">
            <w:pPr>
              <w:spacing w:before="40" w:after="40" w:line="252" w:lineRule="auto"/>
              <w:jc w:val="center"/>
            </w:pPr>
            <w:r/>
            <w:r>
              <w:rPr>
                <w:rFonts w:ascii="Calibri" w:hAnsi="Calibri" w:eastAsia="Calibri" w:cs="Calibri"/>
                <w:b/>
                <w:bCs/>
                <w:color w:val="212529"/>
                <w:sz w:val="20"/>
                <w:szCs w:val="22"/>
              </w:rPr>
              <w:t>I</w:t>
            </w:r>
          </w:p>
        </w:tc>
        <w:tc>
          <w:tcPr>
            <w:tcW w:w="28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3B1FADF">
            <w:pPr>
              <w:spacing w:before="40" w:after="40" w:line="252" w:lineRule="auto"/>
            </w:pPr>
            <w:r/>
            <w:r>
              <w:rPr>
                <w:rFonts w:ascii="Calibri" w:hAnsi="Calibri" w:eastAsia="Calibri" w:cs="Calibri"/>
                <w:b/>
                <w:bCs/>
                <w:color w:val="212529"/>
                <w:sz w:val="18"/>
                <w:szCs w:val="22"/>
              </w:rPr>
              <w:t>Informé (Informed)</w:t>
            </w:r>
          </w:p>
        </w:tc>
        <w:tc>
          <w:tcPr>
            <w:tcW w:w="1077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C84F5F7">
            <w:pPr>
              <w:spacing w:before="40" w:after="40" w:line="252" w:lineRule="auto"/>
            </w:pPr>
            <w:r/>
            <w:r>
              <w:rPr>
                <w:rFonts w:ascii="Calibri" w:hAnsi="Calibri" w:eastAsia="Calibri" w:cs="Calibri"/>
                <w:color w:val="212529"/>
                <w:sz w:val="18"/>
                <w:szCs w:val="22"/>
              </w:rPr>
              <w:t>Reçoit l'information une fois la décision prise. Dialogue à sens unique.</w:t>
            </w:r>
          </w:p>
        </w:tc>
      </w:tr>
      <w:tr>
        <w:tc>
          <w:tcPr>
            <w:tcW w:w="907" w:type="dxa"/>
            <w:tcBorders>
              <w:top w:val="single" w:sz="4" w:space="0" w:color="DEE2E6"/>
              <w:left w:val="single" w:sz="4" w:space="0" w:color="DEE2E6"/>
              <w:bottom w:val="single" w:sz="4" w:space="0" w:color="DEE2E6"/>
              <w:right w:val="single" w:sz="4" w:space="0" w:color="DEE2E6"/>
            </w:tcBorders>
            <w:shd w:val="clear" w:fill="F3D9FA"/>
            <w:tcMar>
              <w:top w:w="0" w:type="dxa"/>
              <w:left w:w="108" w:type="dxa"/>
              <w:bottom w:w="0" w:type="dxa"/>
              <w:right w:w="108" w:type="dxa"/>
            </w:tcMar>
          </w:tcPr>
          <w:p w14:paraId="52A99B34">
            <w:pPr>
              <w:spacing w:before="40" w:after="40" w:line="252" w:lineRule="auto"/>
              <w:jc w:val="center"/>
            </w:pPr>
            <w:r/>
            <w:r>
              <w:rPr>
                <w:rFonts w:ascii="Calibri" w:hAnsi="Calibri" w:eastAsia="Calibri" w:cs="Calibri"/>
                <w:b/>
                <w:bCs/>
                <w:color w:val="212529"/>
                <w:sz w:val="20"/>
                <w:szCs w:val="22"/>
              </w:rPr>
              <w:t>A/R</w:t>
            </w:r>
          </w:p>
        </w:tc>
        <w:tc>
          <w:tcPr>
            <w:tcW w:w="28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8E51E66">
            <w:pPr>
              <w:spacing w:before="40" w:after="40" w:line="252" w:lineRule="auto"/>
            </w:pPr>
            <w:r/>
            <w:r>
              <w:rPr>
                <w:rFonts w:ascii="Calibri" w:hAnsi="Calibri" w:eastAsia="Calibri" w:cs="Calibri"/>
                <w:b/>
                <w:bCs/>
                <w:color w:val="212529"/>
                <w:sz w:val="18"/>
                <w:szCs w:val="22"/>
              </w:rPr>
              <w:t>Redevable et responsable</w:t>
            </w:r>
          </w:p>
        </w:tc>
        <w:tc>
          <w:tcPr>
            <w:tcW w:w="1077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D597110">
            <w:pPr>
              <w:spacing w:before="40" w:after="40" w:line="252" w:lineRule="auto"/>
            </w:pPr>
            <w:r>
              <w:rPr>
                <w:rFonts w:ascii="Calibri" w:hAnsi="Calibri" w:eastAsia="Calibri" w:cs="Calibri"/>
                <w:color w:val="212529"/>
                <w:sz w:val="18"/>
                <w:szCs w:val="22"/>
              </w:rPr>
              <w:t>L'acteur décide et exécute, configuration fréquente en équipe resserrée.</w:t>
            </w:r>
          </w:p>
        </w:tc>
      </w:tr>
      <w:tr>
        <w:tc>
          <w:tcPr>
            <w:tcW w:w="907"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14C41241">
            <w:pPr>
              <w:spacing w:before="40" w:after="40" w:line="252" w:lineRule="auto"/>
              <w:jc w:val="center"/>
            </w:pPr>
            <w:r/>
            <w:r>
              <w:rPr>
                <w:rFonts w:ascii="Calibri" w:hAnsi="Calibri" w:eastAsia="Calibri" w:cs="Calibri"/>
                <w:b/>
                <w:bCs/>
                <w:color w:val="212529"/>
                <w:sz w:val="20"/>
                <w:szCs w:val="22"/>
              </w:rPr>
              <w:t>-</w:t>
            </w:r>
          </w:p>
        </w:tc>
        <w:tc>
          <w:tcPr>
            <w:tcW w:w="2835"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9B0F22B">
            <w:pPr>
              <w:spacing w:before="40" w:after="40" w:line="252" w:lineRule="auto"/>
            </w:pPr>
            <w:r/>
            <w:r>
              <w:rPr>
                <w:rFonts w:ascii="Calibri" w:hAnsi="Calibri" w:eastAsia="Calibri" w:cs="Calibri"/>
                <w:b/>
                <w:bCs/>
                <w:color w:val="212529"/>
                <w:sz w:val="18"/>
                <w:szCs w:val="22"/>
              </w:rPr>
              <w:t>Non impliqué</w:t>
            </w:r>
          </w:p>
        </w:tc>
        <w:tc>
          <w:tcPr>
            <w:tcW w:w="1077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DB9CB50">
            <w:pPr>
              <w:spacing w:before="40" w:after="40" w:line="252" w:lineRule="auto"/>
            </w:pPr>
            <w:r/>
            <w:r>
              <w:rPr>
                <w:rFonts w:ascii="Calibri" w:hAnsi="Calibri" w:eastAsia="Calibri" w:cs="Calibri"/>
                <w:color w:val="212529"/>
                <w:sz w:val="18"/>
                <w:szCs w:val="22"/>
              </w:rPr>
              <w:t>L'acteur n'intervient pas sur ce lot.</w:t>
            </w:r>
          </w:p>
        </w:tc>
      </w:tr>
    </w:tbl>
    <w:p w14:paraId="7837505A">
      <w:pPr>
        <w:keepNext/>
        <w:spacing w:before="280" w:after="80"/>
      </w:pPr>
      <w:r>
        <w:rPr>
          <w:rFonts w:ascii="Calibri" w:hAnsi="Calibri" w:eastAsia="Calibri" w:cs="Calibri"/>
          <w:b/>
          <w:bCs/>
          <w:color w:val="1C7ED6"/>
          <w:sz w:val="26"/>
          <w:szCs w:val="22"/>
        </w:rPr>
        <w:t>Matrice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1669"/>
        <w:gridCol w:w="1669"/>
        <w:gridCol w:w="1669"/>
        <w:gridCol w:w="1669"/>
        <w:gridCol w:w="1669"/>
        <w:gridCol w:w="1669"/>
        <w:gridCol w:w="1669"/>
        <w:gridCol w:w="1669"/>
        <w:gridCol w:w="1669"/>
      </w:tblGrid>
      <w:tr>
        <w:trPr>
          <w:tblHeader/>
        </w:trPr>
        <w:tc>
          <w:tcPr>
            <w:tcW w:w="68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56085C1D">
            <w:pPr>
              <w:spacing w:before="40" w:after="40" w:line="252" w:lineRule="auto"/>
              <w:jc w:val="center"/>
            </w:pPr>
            <w:r/>
            <w:r>
              <w:rPr>
                <w:rFonts w:ascii="Calibri" w:hAnsi="Calibri" w:eastAsia="Calibri" w:cs="Calibri"/>
                <w:b/>
                <w:bCs/>
                <w:color w:val="FFFFFF"/>
                <w:sz w:val="17"/>
                <w:szCs w:val="22"/>
              </w:rPr>
              <w:t>Lot</w:t>
            </w:r>
          </w:p>
        </w:tc>
        <w:tc>
          <w:tcPr>
            <w:tcW w:w="294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265B6EA2">
            <w:pPr>
              <w:spacing w:before="40" w:after="40" w:line="252" w:lineRule="auto"/>
              <w:jc w:val="center"/>
            </w:pPr>
            <w:r/>
            <w:r>
              <w:rPr>
                <w:rFonts w:ascii="Calibri" w:hAnsi="Calibri" w:eastAsia="Calibri" w:cs="Calibri"/>
                <w:b/>
                <w:bCs/>
                <w:color w:val="FFFFFF"/>
                <w:sz w:val="17"/>
                <w:szCs w:val="22"/>
              </w:rPr>
              <w:t>Intitulé</w:t>
            </w:r>
          </w:p>
        </w:tc>
        <w:tc>
          <w:tcPr>
            <w:tcW w:w="133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079CEF70">
            <w:pPr>
              <w:spacing w:before="40" w:after="40" w:line="252" w:lineRule="auto"/>
              <w:jc w:val="center"/>
            </w:pPr>
            <w:r/>
            <w:r>
              <w:rPr>
                <w:rFonts w:ascii="Calibri" w:hAnsi="Calibri" w:eastAsia="Calibri" w:cs="Calibri"/>
                <w:b/>
                <w:bCs/>
                <w:color w:val="FFFFFF"/>
                <w:sz w:val="17"/>
                <w:szCs w:val="22"/>
              </w:rPr>
              <w:t>Sponsor</w:t>
            </w:r>
          </w:p>
        </w:tc>
        <w:tc>
          <w:tcPr>
            <w:tcW w:w="133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384295B">
            <w:pPr>
              <w:spacing w:before="40" w:after="40" w:line="252" w:lineRule="auto"/>
              <w:jc w:val="center"/>
            </w:pPr>
            <w:r/>
            <w:r>
              <w:rPr>
                <w:rFonts w:ascii="Calibri" w:hAnsi="Calibri" w:eastAsia="Calibri" w:cs="Calibri"/>
                <w:b/>
                <w:bCs/>
                <w:color w:val="FFFFFF"/>
                <w:sz w:val="17"/>
                <w:szCs w:val="22"/>
              </w:rPr>
              <w:t>Chef de projet /</w:t>
            </w:r>
          </w:p>
          <w:p w14:paraId="02D0E80E">
            <w:pPr>
              <w:spacing w:before="0" w:after="40" w:line="252" w:lineRule="auto"/>
              <w:jc w:val="center"/>
            </w:pPr>
            <w:r>
              <w:rPr>
                <w:rFonts w:ascii="Calibri" w:hAnsi="Calibri" w:eastAsia="Calibri" w:cs="Calibri"/>
                <w:b/>
                <w:bCs/>
                <w:color w:val="FFFFFF"/>
                <w:sz w:val="17"/>
                <w:szCs w:val="22"/>
              </w:rPr>
              <w:t>Ingénieur DevOps</w:t>
            </w:r>
          </w:p>
        </w:tc>
        <w:tc>
          <w:tcPr>
            <w:tcW w:w="133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73B92506">
            <w:pPr>
              <w:spacing w:before="40" w:after="40" w:line="252" w:lineRule="auto"/>
              <w:jc w:val="center"/>
            </w:pPr>
            <w:r/>
            <w:r>
              <w:rPr>
                <w:rFonts w:ascii="Calibri" w:hAnsi="Calibri" w:eastAsia="Calibri" w:cs="Calibri"/>
                <w:b/>
                <w:bCs/>
                <w:color w:val="FFFFFF"/>
                <w:sz w:val="17"/>
                <w:szCs w:val="22"/>
              </w:rPr>
              <w:t>Développeur</w:t>
            </w:r>
          </w:p>
          <w:p w14:paraId="36A5D584">
            <w:pPr>
              <w:spacing w:before="0" w:after="40" w:line="252" w:lineRule="auto"/>
              <w:jc w:val="center"/>
            </w:pPr>
            <w:r>
              <w:rPr>
                <w:rFonts w:ascii="Calibri" w:hAnsi="Calibri" w:eastAsia="Calibri" w:cs="Calibri"/>
                <w:b/>
                <w:bCs/>
                <w:color w:val="FFFFFF"/>
                <w:sz w:val="17"/>
                <w:szCs w:val="22"/>
              </w:rPr>
              <w:t>applicatif</w:t>
            </w:r>
          </w:p>
        </w:tc>
        <w:tc>
          <w:tcPr>
            <w:tcW w:w="133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367579E6">
            <w:pPr>
              <w:spacing w:before="40" w:after="40" w:line="252" w:lineRule="auto"/>
              <w:jc w:val="center"/>
            </w:pPr>
            <w:r/>
            <w:r>
              <w:rPr>
                <w:rFonts w:ascii="Calibri" w:hAnsi="Calibri" w:eastAsia="Calibri" w:cs="Calibri"/>
                <w:b/>
                <w:bCs/>
                <w:color w:val="FFFFFF"/>
                <w:sz w:val="17"/>
                <w:szCs w:val="22"/>
              </w:rPr>
              <w:t>Référent</w:t>
            </w:r>
          </w:p>
          <w:p w14:paraId="66C41BC9">
            <w:pPr>
              <w:spacing w:before="0" w:after="40" w:line="252" w:lineRule="auto"/>
              <w:jc w:val="center"/>
            </w:pPr>
            <w:r>
              <w:rPr>
                <w:rFonts w:ascii="Calibri" w:hAnsi="Calibri" w:eastAsia="Calibri" w:cs="Calibri"/>
                <w:b/>
                <w:bCs/>
                <w:color w:val="FFFFFF"/>
                <w:sz w:val="17"/>
                <w:szCs w:val="22"/>
              </w:rPr>
              <w:t>sécurité</w:t>
            </w:r>
          </w:p>
        </w:tc>
        <w:tc>
          <w:tcPr>
            <w:tcW w:w="133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46EE7EEC">
            <w:pPr>
              <w:spacing w:before="40" w:after="40" w:line="252" w:lineRule="auto"/>
              <w:jc w:val="center"/>
            </w:pPr>
            <w:r/>
            <w:r>
              <w:rPr>
                <w:rFonts w:ascii="Calibri" w:hAnsi="Calibri" w:eastAsia="Calibri" w:cs="Calibri"/>
                <w:b/>
                <w:bCs/>
                <w:color w:val="FFFFFF"/>
                <w:sz w:val="17"/>
                <w:szCs w:val="22"/>
              </w:rPr>
              <w:t>Référent</w:t>
            </w:r>
          </w:p>
          <w:p w14:paraId="0FDBF7A0">
            <w:pPr>
              <w:spacing w:before="0" w:after="40" w:line="252" w:lineRule="auto"/>
              <w:jc w:val="center"/>
            </w:pPr>
            <w:r>
              <w:rPr>
                <w:rFonts w:ascii="Calibri" w:hAnsi="Calibri" w:eastAsia="Calibri" w:cs="Calibri"/>
                <w:b/>
                <w:bCs/>
                <w:color w:val="FFFFFF"/>
                <w:sz w:val="17"/>
                <w:szCs w:val="22"/>
              </w:rPr>
              <w:t>pédagogique</w:t>
            </w:r>
          </w:p>
        </w:tc>
        <w:tc>
          <w:tcPr>
            <w:tcW w:w="133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3F11029">
            <w:pPr>
              <w:spacing w:before="40" w:after="40" w:line="252" w:lineRule="auto"/>
              <w:jc w:val="center"/>
            </w:pPr>
            <w:r/>
            <w:r>
              <w:rPr>
                <w:rFonts w:ascii="Calibri" w:hAnsi="Calibri" w:eastAsia="Calibri" w:cs="Calibri"/>
                <w:b/>
                <w:bCs/>
                <w:color w:val="FFFFFF"/>
                <w:sz w:val="17"/>
                <w:szCs w:val="22"/>
              </w:rPr>
              <w:t>Utilisateurs</w:t>
            </w:r>
          </w:p>
          <w:p w14:paraId="37CE7126">
            <w:pPr>
              <w:spacing w:before="0" w:after="40" w:line="252" w:lineRule="auto"/>
              <w:jc w:val="center"/>
            </w:pPr>
            <w:r>
              <w:rPr>
                <w:rFonts w:ascii="Calibri" w:hAnsi="Calibri" w:eastAsia="Calibri" w:cs="Calibri"/>
                <w:b/>
                <w:bCs/>
                <w:color w:val="FFFFFF"/>
                <w:sz w:val="17"/>
                <w:szCs w:val="22"/>
              </w:rPr>
              <w:t>bêta</w:t>
            </w:r>
          </w:p>
        </w:tc>
        <w:tc>
          <w:tcPr>
            <w:tcW w:w="425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6F382467">
            <w:pPr>
              <w:spacing w:before="40" w:after="40" w:line="252" w:lineRule="auto"/>
              <w:jc w:val="center"/>
            </w:pPr>
            <w:r/>
            <w:r>
              <w:rPr>
                <w:rFonts w:ascii="Calibri" w:hAnsi="Calibri" w:eastAsia="Calibri" w:cs="Calibri"/>
                <w:b/>
                <w:bCs/>
                <w:color w:val="FFFFFF"/>
                <w:sz w:val="17"/>
                <w:szCs w:val="22"/>
              </w:rPr>
              <w:t>Commentaire</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40B5308">
            <w:pPr>
              <w:spacing w:before="40" w:after="40" w:line="252" w:lineRule="auto"/>
              <w:jc w:val="center"/>
            </w:pPr>
            <w:r/>
            <w:r>
              <w:rPr>
                <w:rFonts w:ascii="Calibri" w:hAnsi="Calibri" w:eastAsia="Calibri" w:cs="Calibri"/>
                <w:b/>
                <w:bCs/>
                <w:color w:val="212529"/>
                <w:sz w:val="18"/>
                <w:szCs w:val="22"/>
              </w:rPr>
              <w:t>1</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DDE929D">
            <w:pPr>
              <w:spacing w:before="40" w:after="40" w:line="252" w:lineRule="auto"/>
            </w:pPr>
            <w:r/>
            <w:r>
              <w:rPr>
                <w:rFonts w:ascii="Calibri" w:hAnsi="Calibri" w:eastAsia="Calibri" w:cs="Calibri"/>
                <w:b/>
                <w:bCs/>
                <w:color w:val="212529"/>
                <w:sz w:val="18"/>
                <w:szCs w:val="22"/>
              </w:rPr>
              <w:t>Cadrage &amp; conception</w:t>
            </w:r>
          </w:p>
        </w:tc>
        <w:tc>
          <w:tcPr>
            <w:tcW w:w="1332"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637427F2">
            <w:pPr>
              <w:spacing w:before="40" w:after="40" w:line="252" w:lineRule="auto"/>
              <w:jc w:val="center"/>
            </w:pPr>
            <w:r/>
            <w:r>
              <w:rPr>
                <w:rFonts w:ascii="Calibri" w:hAnsi="Calibri" w:eastAsia="Calibri" w:cs="Calibri"/>
                <w:b/>
                <w:bCs/>
                <w:color w:val="212529"/>
                <w:sz w:val="20"/>
                <w:szCs w:val="22"/>
              </w:rPr>
              <w:t>A</w:t>
            </w:r>
          </w:p>
        </w:tc>
        <w:tc>
          <w:tcPr>
            <w:tcW w:w="1332"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47C1678B">
            <w:pPr>
              <w:spacing w:before="40" w:after="40" w:line="252" w:lineRule="auto"/>
              <w:jc w:val="center"/>
            </w:pPr>
            <w:r/>
            <w:r>
              <w:rPr>
                <w:rFonts w:ascii="Calibri" w:hAnsi="Calibri" w:eastAsia="Calibri" w:cs="Calibri"/>
                <w:b/>
                <w:bCs/>
                <w:color w:val="212529"/>
                <w:sz w:val="20"/>
                <w:szCs w:val="22"/>
              </w:rPr>
              <w:t>R</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55CD8DC">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772E7891">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11EB8220">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9494D82">
            <w:pPr>
              <w:spacing w:before="40" w:after="40" w:line="252" w:lineRule="auto"/>
              <w:jc w:val="center"/>
            </w:pPr>
            <w:r/>
            <w:r>
              <w:rPr>
                <w:rFonts w:ascii="Calibri" w:hAnsi="Calibri" w:eastAsia="Calibri" w:cs="Calibri"/>
                <w:b/>
                <w:bCs/>
                <w:color w:val="212529"/>
                <w:sz w:val="20"/>
                <w:szCs w:val="22"/>
              </w:rPr>
              <w:t>C</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DA702DE">
            <w:pPr>
              <w:spacing w:before="40" w:after="40" w:line="252" w:lineRule="auto"/>
            </w:pPr>
            <w:r>
              <w:rPr>
                <w:rFonts w:ascii="Calibri" w:hAnsi="Calibri" w:eastAsia="Calibri" w:cs="Calibri"/>
                <w:color w:val="212529"/>
                <w:sz w:val="16"/>
                <w:szCs w:val="22"/>
              </w:rPr>
              <w:t>Le sponsor arbitre le périmètre et les objectifs, le chef de projet produit la cartographie, les ADR et les modèles, le référent sécurité et le référent pédagogique sont consultés sur les exigences et le cadre de certification.</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A8A5B2A">
            <w:pPr>
              <w:spacing w:before="40" w:after="40" w:line="252" w:lineRule="auto"/>
              <w:jc w:val="center"/>
            </w:pPr>
            <w:r/>
            <w:r>
              <w:rPr>
                <w:rFonts w:ascii="Calibri" w:hAnsi="Calibri" w:eastAsia="Calibri" w:cs="Calibri"/>
                <w:b/>
                <w:bCs/>
                <w:color w:val="212529"/>
                <w:sz w:val="18"/>
                <w:szCs w:val="22"/>
              </w:rPr>
              <w:t>2</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9754FA8">
            <w:pPr>
              <w:spacing w:before="40" w:after="40" w:line="252" w:lineRule="auto"/>
            </w:pPr>
            <w:r/>
            <w:r>
              <w:rPr>
                <w:rFonts w:ascii="Calibri" w:hAnsi="Calibri" w:eastAsia="Calibri" w:cs="Calibri"/>
                <w:b/>
                <w:bCs/>
                <w:color w:val="212529"/>
                <w:sz w:val="18"/>
                <w:szCs w:val="22"/>
              </w:rPr>
              <w:t>Infrastructure IaC</w:t>
            </w:r>
          </w:p>
        </w:tc>
        <w:tc>
          <w:tcPr>
            <w:tcW w:w="1332"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51B3ABE1">
            <w:pPr>
              <w:spacing w:before="40" w:after="40" w:line="252" w:lineRule="auto"/>
              <w:jc w:val="center"/>
            </w:pPr>
            <w:r/>
            <w:r>
              <w:rPr>
                <w:rFonts w:ascii="Calibri" w:hAnsi="Calibri" w:eastAsia="Calibri" w:cs="Calibri"/>
                <w:b/>
                <w:bCs/>
                <w:color w:val="212529"/>
                <w:sz w:val="20"/>
                <w:szCs w:val="22"/>
              </w:rPr>
              <w:t>A</w:t>
            </w:r>
          </w:p>
        </w:tc>
        <w:tc>
          <w:tcPr>
            <w:tcW w:w="1332"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5D3021D5">
            <w:pPr>
              <w:spacing w:before="40" w:after="40" w:line="252" w:lineRule="auto"/>
              <w:jc w:val="center"/>
            </w:pPr>
            <w:r/>
            <w:r>
              <w:rPr>
                <w:rFonts w:ascii="Calibri" w:hAnsi="Calibri" w:eastAsia="Calibri" w:cs="Calibri"/>
                <w:b/>
                <w:bCs/>
                <w:color w:val="212529"/>
                <w:sz w:val="20"/>
                <w:szCs w:val="22"/>
              </w:rPr>
              <w:t>R</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2C9DE439">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76780344">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5B3E2D22">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38A55A97">
            <w:pPr>
              <w:spacing w:before="40" w:after="40" w:line="252" w:lineRule="auto"/>
              <w:jc w:val="center"/>
            </w:pPr>
            <w:r/>
            <w:r>
              <w:rPr>
                <w:rFonts w:ascii="Calibri" w:hAnsi="Calibri" w:eastAsia="Calibri" w:cs="Calibri"/>
                <w:b/>
                <w:bCs/>
                <w:color w:val="212529"/>
                <w:sz w:val="20"/>
                <w:szCs w:val="22"/>
              </w:rPr>
              <w:t>-</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95617CF">
            <w:pPr>
              <w:spacing w:before="40" w:after="40" w:line="252" w:lineRule="auto"/>
            </w:pPr>
            <w:r>
              <w:rPr>
                <w:rFonts w:ascii="Calibri" w:hAnsi="Calibri" w:eastAsia="Calibri" w:cs="Calibri"/>
                <w:color w:val="212529"/>
                <w:sz w:val="16"/>
                <w:szCs w:val="22"/>
              </w:rPr>
              <w:t>Le sponsor valide l'engagement de dépense et le choix des fournisseurs, l'ingénieur DevOps provisionne et configure, le référent sécurité est consulté sur le durcissement et le cloisonnement.</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208ED45">
            <w:pPr>
              <w:spacing w:before="40" w:after="40" w:line="252" w:lineRule="auto"/>
              <w:jc w:val="center"/>
            </w:pPr>
            <w:r/>
            <w:r>
              <w:rPr>
                <w:rFonts w:ascii="Calibri" w:hAnsi="Calibri" w:eastAsia="Calibri" w:cs="Calibri"/>
                <w:b/>
                <w:bCs/>
                <w:color w:val="212529"/>
                <w:sz w:val="18"/>
                <w:szCs w:val="22"/>
              </w:rPr>
              <w:t>3</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90BC1FE">
            <w:pPr>
              <w:spacing w:before="40" w:after="40" w:line="252" w:lineRule="auto"/>
            </w:pPr>
            <w:r/>
            <w:r>
              <w:rPr>
                <w:rFonts w:ascii="Calibri" w:hAnsi="Calibri" w:eastAsia="Calibri" w:cs="Calibri"/>
                <w:b/>
                <w:bCs/>
                <w:color w:val="212529"/>
                <w:sz w:val="18"/>
                <w:szCs w:val="22"/>
              </w:rPr>
              <w:t>Backend API</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6317E9D">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3B19B40B">
            <w:pPr>
              <w:spacing w:before="40" w:after="40" w:line="252" w:lineRule="auto"/>
              <w:jc w:val="center"/>
            </w:pPr>
            <w:r/>
            <w:r>
              <w:rPr>
                <w:rFonts w:ascii="Calibri" w:hAnsi="Calibri" w:eastAsia="Calibri" w:cs="Calibri"/>
                <w:b/>
                <w:bCs/>
                <w:color w:val="212529"/>
                <w:sz w:val="20"/>
                <w:szCs w:val="22"/>
              </w:rPr>
              <w:t>A</w:t>
            </w:r>
          </w:p>
        </w:tc>
        <w:tc>
          <w:tcPr>
            <w:tcW w:w="1332"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1A511735">
            <w:pPr>
              <w:spacing w:before="40" w:after="40" w:line="252" w:lineRule="auto"/>
              <w:jc w:val="center"/>
            </w:pPr>
            <w:r/>
            <w:r>
              <w:rPr>
                <w:rFonts w:ascii="Calibri" w:hAnsi="Calibri" w:eastAsia="Calibri" w:cs="Calibri"/>
                <w:b/>
                <w:bCs/>
                <w:color w:val="212529"/>
                <w:sz w:val="20"/>
                <w:szCs w:val="22"/>
              </w:rPr>
              <w:t>R</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798AAF3B">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7A908D4">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1C3B10C4">
            <w:pPr>
              <w:spacing w:before="40" w:after="40" w:line="252" w:lineRule="auto"/>
              <w:jc w:val="center"/>
            </w:pPr>
            <w:r/>
            <w:r>
              <w:rPr>
                <w:rFonts w:ascii="Calibri" w:hAnsi="Calibri" w:eastAsia="Calibri" w:cs="Calibri"/>
                <w:b/>
                <w:bCs/>
                <w:color w:val="212529"/>
                <w:sz w:val="20"/>
                <w:szCs w:val="22"/>
              </w:rPr>
              <w:t>I</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550723F">
            <w:pPr>
              <w:spacing w:before="40" w:after="40" w:line="252" w:lineRule="auto"/>
            </w:pPr>
            <w:r>
              <w:rPr>
                <w:rFonts w:ascii="Calibri" w:hAnsi="Calibri" w:eastAsia="Calibri" w:cs="Calibri"/>
                <w:color w:val="212529"/>
                <w:sz w:val="16"/>
                <w:szCs w:val="22"/>
              </w:rPr>
              <w:t>L'ingénieur DevOps est redevable de l'architecture applicative, les développeurs réalisent, le référent sécurité est consulté sur l'authentification, les sessions et la validation des entrées.</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4C92D3C8">
            <w:pPr>
              <w:spacing w:before="40" w:after="40" w:line="252" w:lineRule="auto"/>
              <w:jc w:val="center"/>
            </w:pPr>
            <w:r/>
            <w:r>
              <w:rPr>
                <w:rFonts w:ascii="Calibri" w:hAnsi="Calibri" w:eastAsia="Calibri" w:cs="Calibri"/>
                <w:b/>
                <w:bCs/>
                <w:color w:val="212529"/>
                <w:sz w:val="18"/>
                <w:szCs w:val="22"/>
              </w:rPr>
              <w:t>4</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68EC6641">
            <w:pPr>
              <w:spacing w:before="40" w:after="40" w:line="252" w:lineRule="auto"/>
            </w:pPr>
            <w:r/>
            <w:r>
              <w:rPr>
                <w:rFonts w:ascii="Calibri" w:hAnsi="Calibri" w:eastAsia="Calibri" w:cs="Calibri"/>
                <w:b/>
                <w:bCs/>
                <w:color w:val="212529"/>
                <w:sz w:val="18"/>
                <w:szCs w:val="22"/>
              </w:rPr>
              <w:t>Frontend &amp; site</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31125D5">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23EB0303">
            <w:pPr>
              <w:spacing w:before="40" w:after="40" w:line="252" w:lineRule="auto"/>
              <w:jc w:val="center"/>
            </w:pPr>
            <w:r/>
            <w:r>
              <w:rPr>
                <w:rFonts w:ascii="Calibri" w:hAnsi="Calibri" w:eastAsia="Calibri" w:cs="Calibri"/>
                <w:b/>
                <w:bCs/>
                <w:color w:val="212529"/>
                <w:sz w:val="20"/>
                <w:szCs w:val="22"/>
              </w:rPr>
              <w:t>A</w:t>
            </w:r>
          </w:p>
        </w:tc>
        <w:tc>
          <w:tcPr>
            <w:tcW w:w="1332"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1115EDF">
            <w:pPr>
              <w:spacing w:before="40" w:after="40" w:line="252" w:lineRule="auto"/>
              <w:jc w:val="center"/>
            </w:pPr>
            <w:r/>
            <w:r>
              <w:rPr>
                <w:rFonts w:ascii="Calibri" w:hAnsi="Calibri" w:eastAsia="Calibri" w:cs="Calibri"/>
                <w:b/>
                <w:bCs/>
                <w:color w:val="212529"/>
                <w:sz w:val="20"/>
                <w:szCs w:val="22"/>
              </w:rPr>
              <w:t>R</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295A9477">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26D584FA">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1D46CF8">
            <w:pPr>
              <w:spacing w:before="40" w:after="40" w:line="252" w:lineRule="auto"/>
              <w:jc w:val="center"/>
            </w:pPr>
            <w:r/>
            <w:r>
              <w:rPr>
                <w:rFonts w:ascii="Calibri" w:hAnsi="Calibri" w:eastAsia="Calibri" w:cs="Calibri"/>
                <w:b/>
                <w:bCs/>
                <w:color w:val="212529"/>
                <w:sz w:val="20"/>
                <w:szCs w:val="22"/>
              </w:rPr>
              <w:t>C</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ADC28FF">
            <w:pPr>
              <w:spacing w:before="40" w:after="40" w:line="252" w:lineRule="auto"/>
            </w:pPr>
            <w:r>
              <w:rPr>
                <w:rFonts w:ascii="Calibri" w:hAnsi="Calibri" w:eastAsia="Calibri" w:cs="Calibri"/>
                <w:color w:val="212529"/>
                <w:sz w:val="16"/>
                <w:szCs w:val="22"/>
              </w:rPr>
              <w:t>Les utilisateurs bêta sont consultés sur les parcours et les maquettes avant développement discuter d'un agencement d'écran coûte quelques minutes sur une maquette et quelques jours sur du code.</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2FBBA23">
            <w:pPr>
              <w:spacing w:before="40" w:after="40" w:line="252" w:lineRule="auto"/>
              <w:jc w:val="center"/>
            </w:pPr>
            <w:r/>
            <w:r>
              <w:rPr>
                <w:rFonts w:ascii="Calibri" w:hAnsi="Calibri" w:eastAsia="Calibri" w:cs="Calibri"/>
                <w:b/>
                <w:bCs/>
                <w:color w:val="212529"/>
                <w:sz w:val="18"/>
                <w:szCs w:val="22"/>
              </w:rPr>
              <w:t>5</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BEB59BB">
            <w:pPr>
              <w:spacing w:before="40" w:after="40" w:line="252" w:lineRule="auto"/>
            </w:pPr>
            <w:r/>
            <w:r>
              <w:rPr>
                <w:rFonts w:ascii="Calibri" w:hAnsi="Calibri" w:eastAsia="Calibri" w:cs="Calibri"/>
                <w:b/>
                <w:bCs/>
                <w:color w:val="212529"/>
                <w:sz w:val="18"/>
                <w:szCs w:val="22"/>
              </w:rPr>
              <w:t>Chaîne CI/CD</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0BF701E9">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3D9FA"/>
            <w:tcMar>
              <w:top w:w="0" w:type="dxa"/>
              <w:left w:w="108" w:type="dxa"/>
              <w:bottom w:w="0" w:type="dxa"/>
              <w:right w:w="108" w:type="dxa"/>
            </w:tcMar>
          </w:tcPr>
          <w:p w14:paraId="4BB153D7">
            <w:pPr>
              <w:spacing w:before="40" w:after="40" w:line="252" w:lineRule="auto"/>
              <w:jc w:val="center"/>
            </w:pPr>
            <w:r/>
            <w:r>
              <w:rPr>
                <w:rFonts w:ascii="Calibri" w:hAnsi="Calibri" w:eastAsia="Calibri" w:cs="Calibri"/>
                <w:b/>
                <w:bCs/>
                <w:color w:val="212529"/>
                <w:sz w:val="20"/>
                <w:szCs w:val="22"/>
              </w:rPr>
              <w:t>A/R</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3C476CF6">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40497F5E">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7C7A060F">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7FCBAE89">
            <w:pPr>
              <w:spacing w:before="40" w:after="40" w:line="252" w:lineRule="auto"/>
              <w:jc w:val="center"/>
            </w:pPr>
            <w:r/>
            <w:r>
              <w:rPr>
                <w:rFonts w:ascii="Calibri" w:hAnsi="Calibri" w:eastAsia="Calibri" w:cs="Calibri"/>
                <w:b/>
                <w:bCs/>
                <w:color w:val="212529"/>
                <w:sz w:val="20"/>
                <w:szCs w:val="22"/>
              </w:rPr>
              <w:t>-</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B6B5D4F">
            <w:pPr>
              <w:spacing w:before="40" w:after="40" w:line="252" w:lineRule="auto"/>
            </w:pPr>
            <w:r>
              <w:rPr>
                <w:rFonts w:ascii="Calibri" w:hAnsi="Calibri" w:eastAsia="Calibri" w:cs="Calibri"/>
                <w:color w:val="212529"/>
                <w:sz w:val="16"/>
                <w:szCs w:val="22"/>
              </w:rPr>
              <w:t>L'ingénieur DevOps conçoit et opère la chaîne les développeurs sont consultés sur les portes de qualité, le référent sécurité sur les portes de sécurité et la gestion des secrets.</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579347B">
            <w:pPr>
              <w:spacing w:before="40" w:after="40" w:line="252" w:lineRule="auto"/>
              <w:jc w:val="center"/>
            </w:pPr>
            <w:r/>
            <w:r>
              <w:rPr>
                <w:rFonts w:ascii="Calibri" w:hAnsi="Calibri" w:eastAsia="Calibri" w:cs="Calibri"/>
                <w:b/>
                <w:bCs/>
                <w:color w:val="212529"/>
                <w:sz w:val="18"/>
                <w:szCs w:val="22"/>
              </w:rPr>
              <w:t>6</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6BBD467">
            <w:pPr>
              <w:spacing w:before="40" w:after="40" w:line="252" w:lineRule="auto"/>
            </w:pPr>
            <w:r/>
            <w:r>
              <w:rPr>
                <w:rFonts w:ascii="Calibri" w:hAnsi="Calibri" w:eastAsia="Calibri" w:cs="Calibri"/>
                <w:b/>
                <w:bCs/>
                <w:color w:val="212529"/>
                <w:sz w:val="18"/>
                <w:szCs w:val="22"/>
              </w:rPr>
              <w:t>Observabilité</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7398BD93">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3D9FA"/>
            <w:tcMar>
              <w:top w:w="0" w:type="dxa"/>
              <w:left w:w="108" w:type="dxa"/>
              <w:bottom w:w="0" w:type="dxa"/>
              <w:right w:w="108" w:type="dxa"/>
            </w:tcMar>
          </w:tcPr>
          <w:p w14:paraId="3F7C9685">
            <w:pPr>
              <w:spacing w:before="40" w:after="40" w:line="252" w:lineRule="auto"/>
              <w:jc w:val="center"/>
            </w:pPr>
            <w:r/>
            <w:r>
              <w:rPr>
                <w:rFonts w:ascii="Calibri" w:hAnsi="Calibri" w:eastAsia="Calibri" w:cs="Calibri"/>
                <w:b/>
                <w:bCs/>
                <w:color w:val="212529"/>
                <w:sz w:val="20"/>
                <w:szCs w:val="22"/>
              </w:rPr>
              <w:t>A/R</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6D61B8C2">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15560B96">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2557F9C">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217B8D28">
            <w:pPr>
              <w:spacing w:before="40" w:after="40" w:line="252" w:lineRule="auto"/>
              <w:jc w:val="center"/>
            </w:pPr>
            <w:r/>
            <w:r>
              <w:rPr>
                <w:rFonts w:ascii="Calibri" w:hAnsi="Calibri" w:eastAsia="Calibri" w:cs="Calibri"/>
                <w:b/>
                <w:bCs/>
                <w:color w:val="212529"/>
                <w:sz w:val="20"/>
                <w:szCs w:val="22"/>
              </w:rPr>
              <w:t>-</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3BD904A">
            <w:pPr>
              <w:spacing w:before="40" w:after="40" w:line="252" w:lineRule="auto"/>
            </w:pPr>
            <w:r/>
            <w:r>
              <w:rPr>
                <w:rFonts w:ascii="Calibri" w:hAnsi="Calibri" w:eastAsia="Calibri" w:cs="Calibri"/>
                <w:color w:val="212529"/>
                <w:sz w:val="16"/>
                <w:szCs w:val="22"/>
              </w:rPr>
              <w:t>Le sponsor est consulté sur les indicateurs de pilotage et les seuils d'alerte, puisqu'ils conditionnent la lecture de l'avancement et la maîtrise des coûts.</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9911D50">
            <w:pPr>
              <w:spacing w:before="40" w:after="40" w:line="252" w:lineRule="auto"/>
              <w:jc w:val="center"/>
            </w:pPr>
            <w:r/>
            <w:r>
              <w:rPr>
                <w:rFonts w:ascii="Calibri" w:hAnsi="Calibri" w:eastAsia="Calibri" w:cs="Calibri"/>
                <w:b/>
                <w:bCs/>
                <w:color w:val="212529"/>
                <w:sz w:val="18"/>
                <w:szCs w:val="22"/>
              </w:rPr>
              <w:t>7</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327FD7B">
            <w:pPr>
              <w:spacing w:before="40" w:after="40" w:line="252" w:lineRule="auto"/>
            </w:pPr>
            <w:r/>
            <w:r>
              <w:rPr>
                <w:rFonts w:ascii="Calibri" w:hAnsi="Calibri" w:eastAsia="Calibri" w:cs="Calibri"/>
                <w:b/>
                <w:bCs/>
                <w:color w:val="212529"/>
                <w:sz w:val="18"/>
                <w:szCs w:val="22"/>
              </w:rPr>
              <w:t>Sécurité &amp; conformité</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1F4C4643">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0A6EB7C5">
            <w:pPr>
              <w:spacing w:before="40" w:after="40" w:line="252" w:lineRule="auto"/>
              <w:jc w:val="center"/>
            </w:pPr>
            <w:r/>
            <w:r>
              <w:rPr>
                <w:rFonts w:ascii="Calibri" w:hAnsi="Calibri" w:eastAsia="Calibri" w:cs="Calibri"/>
                <w:b/>
                <w:bCs/>
                <w:color w:val="212529"/>
                <w:sz w:val="20"/>
                <w:szCs w:val="22"/>
              </w:rPr>
              <w:t>R</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6A7AAC02">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21058685">
            <w:pPr>
              <w:spacing w:before="40" w:after="40" w:line="252" w:lineRule="auto"/>
              <w:jc w:val="center"/>
            </w:pPr>
            <w:r/>
            <w:r>
              <w:rPr>
                <w:rFonts w:ascii="Calibri" w:hAnsi="Calibri" w:eastAsia="Calibri" w:cs="Calibri"/>
                <w:b/>
                <w:bCs/>
                <w:color w:val="212529"/>
                <w:sz w:val="20"/>
                <w:szCs w:val="22"/>
              </w:rPr>
              <w:t>A</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08ECC262">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01E152B3">
            <w:pPr>
              <w:spacing w:before="40" w:after="40" w:line="252" w:lineRule="auto"/>
              <w:jc w:val="center"/>
            </w:pPr>
            <w:r/>
            <w:r>
              <w:rPr>
                <w:rFonts w:ascii="Calibri" w:hAnsi="Calibri" w:eastAsia="Calibri" w:cs="Calibri"/>
                <w:b/>
                <w:bCs/>
                <w:color w:val="212529"/>
                <w:sz w:val="20"/>
                <w:szCs w:val="22"/>
              </w:rPr>
              <w:t>-</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2885354">
            <w:pPr>
              <w:spacing w:before="40" w:after="40" w:line="252" w:lineRule="auto"/>
            </w:pPr>
            <w:r>
              <w:rPr>
                <w:rFonts w:ascii="Calibri" w:hAnsi="Calibri" w:eastAsia="Calibri" w:cs="Calibri"/>
                <w:color w:val="212529"/>
                <w:sz w:val="16"/>
                <w:szCs w:val="22"/>
              </w:rPr>
              <w:t>Le référent sécurité est redevable de la conformité, l'ingénieur DevOps réalise le durcissement et outille la chaîne DevSecOps, le référent pédagogique est consulté sur les attendus du référentiel.</w:t>
            </w:r>
          </w:p>
        </w:tc>
      </w:tr>
      <w:tr>
        <w:tc>
          <w:tcPr>
            <w:tcW w:w="68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547DDF8">
            <w:pPr>
              <w:spacing w:before="40" w:after="40" w:line="252" w:lineRule="auto"/>
              <w:jc w:val="center"/>
            </w:pPr>
            <w:r/>
            <w:r>
              <w:rPr>
                <w:rFonts w:ascii="Calibri" w:hAnsi="Calibri" w:eastAsia="Calibri" w:cs="Calibri"/>
                <w:b/>
                <w:bCs/>
                <w:color w:val="212529"/>
                <w:sz w:val="18"/>
                <w:szCs w:val="22"/>
              </w:rPr>
              <w:t>8</w:t>
            </w:r>
          </w:p>
        </w:tc>
        <w:tc>
          <w:tcPr>
            <w:tcW w:w="2948"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C6F5791">
            <w:pPr>
              <w:spacing w:before="40" w:after="40" w:line="252" w:lineRule="auto"/>
            </w:pPr>
            <w:r/>
            <w:r>
              <w:rPr>
                <w:rFonts w:ascii="Calibri" w:hAnsi="Calibri" w:eastAsia="Calibri" w:cs="Calibri"/>
                <w:b/>
                <w:bCs/>
                <w:color w:val="212529"/>
                <w:sz w:val="18"/>
                <w:szCs w:val="22"/>
              </w:rPr>
              <w:t>Documentation &amp; soutenance</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11BB23D4">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D0EBFF"/>
            <w:tcMar>
              <w:top w:w="0" w:type="dxa"/>
              <w:left w:w="108" w:type="dxa"/>
              <w:bottom w:w="0" w:type="dxa"/>
              <w:right w:w="108" w:type="dxa"/>
            </w:tcMar>
          </w:tcPr>
          <w:p w14:paraId="6B6F57CF">
            <w:pPr>
              <w:spacing w:before="40" w:after="40" w:line="252" w:lineRule="auto"/>
              <w:jc w:val="center"/>
            </w:pPr>
            <w:r/>
            <w:r>
              <w:rPr>
                <w:rFonts w:ascii="Calibri" w:hAnsi="Calibri" w:eastAsia="Calibri" w:cs="Calibri"/>
                <w:b/>
                <w:bCs/>
                <w:color w:val="212529"/>
                <w:sz w:val="20"/>
                <w:szCs w:val="22"/>
              </w:rPr>
              <w:t>R</w:t>
            </w:r>
          </w:p>
        </w:tc>
        <w:tc>
          <w:tcPr>
            <w:tcW w:w="1332" w:type="dxa"/>
            <w:tcBorders>
              <w:top w:val="single" w:sz="4" w:space="0" w:color="DEE2E6"/>
              <w:left w:val="single" w:sz="4" w:space="0" w:color="DEE2E6"/>
              <w:bottom w:val="single" w:sz="4" w:space="0" w:color="DEE2E6"/>
              <w:right w:val="single" w:sz="4" w:space="0" w:color="DEE2E6"/>
            </w:tcBorders>
            <w:shd w:val="clear" w:fill="E9FAC8"/>
            <w:tcMar>
              <w:top w:w="0" w:type="dxa"/>
              <w:left w:w="108" w:type="dxa"/>
              <w:bottom w:w="0" w:type="dxa"/>
              <w:right w:w="108" w:type="dxa"/>
            </w:tcMar>
          </w:tcPr>
          <w:p w14:paraId="4C9A45E7">
            <w:pPr>
              <w:spacing w:before="40" w:after="40" w:line="252" w:lineRule="auto"/>
              <w:jc w:val="center"/>
            </w:pPr>
            <w:r/>
            <w:r>
              <w:rPr>
                <w:rFonts w:ascii="Calibri" w:hAnsi="Calibri" w:eastAsia="Calibri" w:cs="Calibri"/>
                <w:b/>
                <w:bCs/>
                <w:color w:val="212529"/>
                <w:sz w:val="20"/>
                <w:szCs w:val="22"/>
              </w:rPr>
              <w:t>I</w:t>
            </w:r>
          </w:p>
        </w:tc>
        <w:tc>
          <w:tcPr>
            <w:tcW w:w="1332" w:type="dxa"/>
            <w:tcBorders>
              <w:top w:val="single" w:sz="4" w:space="0" w:color="DEE2E6"/>
              <w:left w:val="single" w:sz="4" w:space="0" w:color="DEE2E6"/>
              <w:bottom w:val="single" w:sz="4" w:space="0" w:color="DEE2E6"/>
              <w:right w:val="single" w:sz="4" w:space="0" w:color="DEE2E6"/>
            </w:tcBorders>
            <w:shd w:val="clear" w:fill="FFF3BF"/>
            <w:tcMar>
              <w:top w:w="0" w:type="dxa"/>
              <w:left w:w="108" w:type="dxa"/>
              <w:bottom w:w="0" w:type="dxa"/>
              <w:right w:w="108" w:type="dxa"/>
            </w:tcMar>
          </w:tcPr>
          <w:p w14:paraId="55723E56">
            <w:pPr>
              <w:spacing w:before="40" w:after="40" w:line="252" w:lineRule="auto"/>
              <w:jc w:val="center"/>
            </w:pPr>
            <w:r/>
            <w:r>
              <w:rPr>
                <w:rFonts w:ascii="Calibri" w:hAnsi="Calibri" w:eastAsia="Calibri" w:cs="Calibri"/>
                <w:b/>
                <w:bCs/>
                <w:color w:val="212529"/>
                <w:sz w:val="20"/>
                <w:szCs w:val="22"/>
              </w:rPr>
              <w:t>C</w:t>
            </w:r>
          </w:p>
        </w:tc>
        <w:tc>
          <w:tcPr>
            <w:tcW w:w="1332" w:type="dxa"/>
            <w:tcBorders>
              <w:top w:val="single" w:sz="4" w:space="0" w:color="DEE2E6"/>
              <w:left w:val="single" w:sz="4" w:space="0" w:color="DEE2E6"/>
              <w:bottom w:val="single" w:sz="4" w:space="0" w:color="DEE2E6"/>
              <w:right w:val="single" w:sz="4" w:space="0" w:color="DEE2E6"/>
            </w:tcBorders>
            <w:shd w:val="clear" w:fill="FFE3E3"/>
            <w:tcMar>
              <w:top w:w="0" w:type="dxa"/>
              <w:left w:w="108" w:type="dxa"/>
              <w:bottom w:w="0" w:type="dxa"/>
              <w:right w:w="108" w:type="dxa"/>
            </w:tcMar>
          </w:tcPr>
          <w:p w14:paraId="0E91230B">
            <w:pPr>
              <w:spacing w:before="40" w:after="40" w:line="252" w:lineRule="auto"/>
              <w:jc w:val="center"/>
            </w:pPr>
            <w:r/>
            <w:r>
              <w:rPr>
                <w:rFonts w:ascii="Calibri" w:hAnsi="Calibri" w:eastAsia="Calibri" w:cs="Calibri"/>
                <w:b/>
                <w:bCs/>
                <w:color w:val="212529"/>
                <w:sz w:val="20"/>
                <w:szCs w:val="22"/>
              </w:rPr>
              <w:t>A</w:t>
            </w:r>
          </w:p>
        </w:tc>
        <w:tc>
          <w:tcPr>
            <w:tcW w:w="1332" w:type="dxa"/>
            <w:tcBorders>
              <w:top w:val="single" w:sz="4" w:space="0" w:color="DEE2E6"/>
              <w:left w:val="single" w:sz="4" w:space="0" w:color="DEE2E6"/>
              <w:bottom w:val="single" w:sz="4" w:space="0" w:color="DEE2E6"/>
              <w:right w:val="single" w:sz="4" w:space="0" w:color="DEE2E6"/>
            </w:tcBorders>
            <w:shd w:val="clear" w:fill="F1F3F5"/>
            <w:tcMar>
              <w:top w:w="0" w:type="dxa"/>
              <w:left w:w="108" w:type="dxa"/>
              <w:bottom w:w="0" w:type="dxa"/>
              <w:right w:w="108" w:type="dxa"/>
            </w:tcMar>
          </w:tcPr>
          <w:p w14:paraId="2B95AC58">
            <w:pPr>
              <w:spacing w:before="40" w:after="40" w:line="252" w:lineRule="auto"/>
              <w:jc w:val="center"/>
            </w:pPr>
            <w:r/>
            <w:r>
              <w:rPr>
                <w:rFonts w:ascii="Calibri" w:hAnsi="Calibri" w:eastAsia="Calibri" w:cs="Calibri"/>
                <w:b/>
                <w:bCs/>
                <w:color w:val="212529"/>
                <w:sz w:val="20"/>
                <w:szCs w:val="22"/>
              </w:rPr>
              <w:t>-</w:t>
            </w:r>
          </w:p>
        </w:tc>
        <w:tc>
          <w:tcPr>
            <w:tcW w:w="425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3277C33">
            <w:pPr>
              <w:spacing w:before="40" w:after="40" w:line="252" w:lineRule="auto"/>
            </w:pPr>
            <w:r>
              <w:rPr>
                <w:rFonts w:ascii="Calibri" w:hAnsi="Calibri" w:eastAsia="Calibri" w:cs="Calibri"/>
                <w:color w:val="212529"/>
                <w:sz w:val="16"/>
                <w:szCs w:val="22"/>
              </w:rPr>
              <w:t>Le référent pédagogique est redevable de la conformité au référentiel de certification, le chef de projet rédige le dossier technique, le mémoire et le support de soutenance.</w:t>
            </w:r>
          </w:p>
        </w:tc>
      </w:tr>
    </w:tbl>
    <w:p w14:paraId="7557CBE2">
      <w:pPr>
        <w:keepNext/>
        <w:spacing w:before="280" w:after="80"/>
      </w:pPr>
      <w:r>
        <w:rPr>
          <w:rFonts w:ascii="Calibri" w:hAnsi="Calibri" w:eastAsia="Calibri" w:cs="Calibri"/>
          <w:b/>
          <w:bCs/>
          <w:color w:val="1C7ED6"/>
          <w:sz w:val="26"/>
          <w:szCs w:val="22"/>
        </w:rPr>
        <w:t>Contrôles de cohérence</w:t>
      </w:r>
    </w:p>
    <w:tbl>
      <w:tblPr>
        <w:tblW w:w="0" w:type="auto"/>
        <w:jc w:val="center"/>
        <w:tblBorders>
          <w:top w:val="single" w:sz="4" w:space="0" w:color="DEE2E6"/>
          <w:left w:val="single" w:sz="4" w:space="0" w:color="DEE2E6"/>
          <w:bottom w:val="single" w:sz="4" w:space="0" w:color="DEE2E6"/>
          <w:right w:val="single" w:sz="4" w:space="0" w:color="DEE2E6"/>
          <w:insideH w:val="single" w:sz="4" w:space="0" w:color="DEE2E6"/>
          <w:insideV w:val="single" w:sz="4" w:space="0" w:color="DEE2E6"/>
        </w:tblBorders>
        <w:tblLayout w:type="fixed"/>
        <w:tblCellMar>
          <w:top w:w="0" w:type="dxa"/>
          <w:left w:w="108" w:type="dxa"/>
          <w:bottom w:w="0" w:type="dxa"/>
          <w:right w:w="108" w:type="dxa"/>
        </w:tblCellMar>
        <w:tblLook w:firstRow="1" w:firstColumn="1" w:noVBand="1"/>
      </w:tblPr>
      <w:tblGrid>
        <w:gridCol w:w="5008"/>
        <w:gridCol w:w="5008"/>
        <w:gridCol w:w="5008"/>
      </w:tblGrid>
      <w:tr>
        <w:trPr>
          <w:tblHeader/>
        </w:trPr>
        <w:tc>
          <w:tcPr>
            <w:tcW w:w="5102"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31E66DDF">
            <w:pPr>
              <w:spacing w:before="40" w:after="40" w:line="252" w:lineRule="auto"/>
              <w:jc w:val="center"/>
            </w:pPr>
            <w:r/>
            <w:r>
              <w:rPr>
                <w:rFonts w:ascii="Calibri" w:hAnsi="Calibri" w:eastAsia="Calibri" w:cs="Calibri"/>
                <w:b/>
                <w:bCs/>
                <w:color w:val="FFFFFF"/>
                <w:sz w:val="18"/>
                <w:szCs w:val="22"/>
              </w:rPr>
              <w:t>Règle</w:t>
            </w:r>
          </w:p>
        </w:tc>
        <w:tc>
          <w:tcPr>
            <w:tcW w:w="1928"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1C8160BF">
            <w:pPr>
              <w:spacing w:before="40" w:after="40" w:line="252" w:lineRule="auto"/>
              <w:jc w:val="center"/>
            </w:pPr>
            <w:r/>
            <w:r>
              <w:rPr>
                <w:rFonts w:ascii="Calibri" w:hAnsi="Calibri" w:eastAsia="Calibri" w:cs="Calibri"/>
                <w:b/>
                <w:bCs/>
                <w:color w:val="FFFFFF"/>
                <w:sz w:val="18"/>
                <w:szCs w:val="22"/>
              </w:rPr>
              <w:t>Vérifié</w:t>
            </w:r>
          </w:p>
        </w:tc>
        <w:tc>
          <w:tcPr>
            <w:tcW w:w="7370" w:type="dxa"/>
            <w:tcBorders>
              <w:top w:val="single" w:sz="4" w:space="0" w:color="DEE2E6"/>
              <w:left w:val="single" w:sz="4" w:space="0" w:color="DEE2E6"/>
              <w:bottom w:val="single" w:sz="4" w:space="0" w:color="DEE2E6"/>
              <w:right w:val="single" w:sz="4" w:space="0" w:color="DEE2E6"/>
            </w:tcBorders>
            <w:shd w:val="clear" w:fill="495057"/>
            <w:tcMar>
              <w:top w:w="0" w:type="dxa"/>
              <w:left w:w="108" w:type="dxa"/>
              <w:bottom w:w="0" w:type="dxa"/>
              <w:right w:w="108" w:type="dxa"/>
            </w:tcMar>
          </w:tcPr>
          <w:p w14:paraId="6AE2ACEC">
            <w:pPr>
              <w:spacing w:before="40" w:after="40" w:line="252" w:lineRule="auto"/>
              <w:jc w:val="center"/>
            </w:pPr>
            <w:r/>
            <w:r>
              <w:rPr>
                <w:rFonts w:ascii="Calibri" w:hAnsi="Calibri" w:eastAsia="Calibri" w:cs="Calibri"/>
                <w:b/>
                <w:bCs/>
                <w:color w:val="FFFFFF"/>
                <w:sz w:val="18"/>
                <w:szCs w:val="22"/>
              </w:rPr>
              <w:t>Détail</w:t>
            </w:r>
          </w:p>
        </w:tc>
      </w:tr>
      <w:tr>
        <w:tc>
          <w:tcPr>
            <w:tcW w:w="510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5360EBE9">
            <w:pPr>
              <w:spacing w:before="40" w:after="40" w:line="252" w:lineRule="auto"/>
            </w:pPr>
            <w:r/>
            <w:r>
              <w:rPr>
                <w:rFonts w:ascii="Calibri" w:hAnsi="Calibri" w:eastAsia="Calibri" w:cs="Calibri"/>
                <w:b/>
                <w:bCs/>
                <w:color w:val="212529"/>
                <w:sz w:val="18"/>
                <w:szCs w:val="22"/>
              </w:rPr>
              <w:t>Un et un seul décideur redevable (A) par lot</w:t>
            </w:r>
          </w:p>
        </w:tc>
        <w:tc>
          <w:tcPr>
            <w:tcW w:w="1928"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63EAAF5">
            <w:pPr>
              <w:spacing w:before="40" w:after="40" w:line="252" w:lineRule="auto"/>
              <w:jc w:val="center"/>
            </w:pPr>
            <w:r/>
            <w:r>
              <w:rPr>
                <w:rFonts w:ascii="Calibri" w:hAnsi="Calibri" w:eastAsia="Calibri" w:cs="Calibri"/>
                <w:b/>
                <w:bCs/>
                <w:color w:val="212529"/>
                <w:sz w:val="18"/>
                <w:szCs w:val="22"/>
              </w:rPr>
              <w:t>Oui</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59DE2E">
            <w:pPr>
              <w:spacing w:before="40" w:after="40" w:line="252" w:lineRule="auto"/>
            </w:pPr>
            <w:r/>
            <w:r>
              <w:rPr>
                <w:rFonts w:ascii="Calibri" w:hAnsi="Calibri" w:eastAsia="Calibri" w:cs="Calibri"/>
                <w:color w:val="212529"/>
                <w:sz w:val="17"/>
                <w:szCs w:val="22"/>
              </w:rPr>
              <w:t>Huit lots, huit A distincts en position : sponsor sur les lots 1 et 2, ingénieur DevOps sur les lots 3, 4, 5 et 6, référent sécurité sur le lot 7, référent pédagogique sur le lot 8.</w:t>
            </w:r>
          </w:p>
        </w:tc>
      </w:tr>
      <w:tr>
        <w:tc>
          <w:tcPr>
            <w:tcW w:w="510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2383F01">
            <w:pPr>
              <w:spacing w:before="40" w:after="40" w:line="252" w:lineRule="auto"/>
            </w:pPr>
            <w:r/>
            <w:r>
              <w:rPr>
                <w:rFonts w:ascii="Calibri" w:hAnsi="Calibri" w:eastAsia="Calibri" w:cs="Calibri"/>
                <w:b/>
                <w:bCs/>
                <w:color w:val="212529"/>
                <w:sz w:val="18"/>
                <w:szCs w:val="22"/>
              </w:rPr>
              <w:t>Au moins un responsable (R) par lot</w:t>
            </w:r>
          </w:p>
        </w:tc>
        <w:tc>
          <w:tcPr>
            <w:tcW w:w="1928"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081996B">
            <w:pPr>
              <w:spacing w:before="40" w:after="40" w:line="252" w:lineRule="auto"/>
              <w:jc w:val="center"/>
            </w:pPr>
            <w:r/>
            <w:r>
              <w:rPr>
                <w:rFonts w:ascii="Calibri" w:hAnsi="Calibri" w:eastAsia="Calibri" w:cs="Calibri"/>
                <w:b/>
                <w:bCs/>
                <w:color w:val="212529"/>
                <w:sz w:val="18"/>
                <w:szCs w:val="22"/>
              </w:rPr>
              <w:t>Oui</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112EF62">
            <w:pPr>
              <w:spacing w:before="40" w:after="40" w:line="252" w:lineRule="auto"/>
            </w:pPr>
            <w:r/>
            <w:r>
              <w:rPr>
                <w:rFonts w:ascii="Calibri" w:hAnsi="Calibri" w:eastAsia="Calibri" w:cs="Calibri"/>
                <w:color w:val="212529"/>
                <w:sz w:val="17"/>
                <w:szCs w:val="22"/>
              </w:rPr>
              <w:t>Le chef de projet ou l'ingénieur DevOps porte la réalisation sur six lots, les développeurs applicatifs sur les lots 3 et 4.</w:t>
            </w:r>
          </w:p>
        </w:tc>
      </w:tr>
      <w:tr>
        <w:tc>
          <w:tcPr>
            <w:tcW w:w="510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2306A35A">
            <w:pPr>
              <w:spacing w:before="40" w:after="40" w:line="252" w:lineRule="auto"/>
            </w:pPr>
            <w:r/>
            <w:r>
              <w:rPr>
                <w:rFonts w:ascii="Calibri" w:hAnsi="Calibri" w:eastAsia="Calibri" w:cs="Calibri"/>
                <w:b/>
                <w:bCs/>
                <w:color w:val="212529"/>
                <w:sz w:val="18"/>
                <w:szCs w:val="22"/>
              </w:rPr>
              <w:t>Répartition des décisions entre plusieurs acteurs</w:t>
            </w:r>
          </w:p>
        </w:tc>
        <w:tc>
          <w:tcPr>
            <w:tcW w:w="1928"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1E2001B7">
            <w:pPr>
              <w:spacing w:before="40" w:after="40" w:line="252" w:lineRule="auto"/>
              <w:jc w:val="center"/>
            </w:pPr>
            <w:r/>
            <w:r>
              <w:rPr>
                <w:rFonts w:ascii="Calibri" w:hAnsi="Calibri" w:eastAsia="Calibri" w:cs="Calibri"/>
                <w:b/>
                <w:bCs/>
                <w:color w:val="212529"/>
                <w:sz w:val="18"/>
                <w:szCs w:val="22"/>
              </w:rPr>
              <w:t>Oui</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35215273">
            <w:pPr>
              <w:spacing w:before="40" w:after="40" w:line="252" w:lineRule="auto"/>
            </w:pPr>
            <w:r>
              <w:rPr>
                <w:rFonts w:ascii="Calibri" w:hAnsi="Calibri" w:eastAsia="Calibri" w:cs="Calibri"/>
                <w:color w:val="212529"/>
                <w:sz w:val="17"/>
                <w:szCs w:val="22"/>
              </w:rPr>
              <w:t>Quatre acteurs distincts portent au moins un A, ce qui évite la concentration de la décision sur une seule personne, risque majeur dans une équipe de cette taille.</w:t>
            </w:r>
          </w:p>
        </w:tc>
      </w:tr>
      <w:tr>
        <w:tc>
          <w:tcPr>
            <w:tcW w:w="510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30D9BD7">
            <w:pPr>
              <w:spacing w:before="40" w:after="40" w:line="252" w:lineRule="auto"/>
            </w:pPr>
            <w:r/>
            <w:r>
              <w:rPr>
                <w:rFonts w:ascii="Calibri" w:hAnsi="Calibri" w:eastAsia="Calibri" w:cs="Calibri"/>
                <w:b/>
                <w:bCs/>
                <w:color w:val="212529"/>
                <w:sz w:val="18"/>
                <w:szCs w:val="22"/>
              </w:rPr>
              <w:t>Cohérence avec le chemin critique (cf. Annexe M)</w:t>
            </w:r>
          </w:p>
        </w:tc>
        <w:tc>
          <w:tcPr>
            <w:tcW w:w="1928"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64344EEA">
            <w:pPr>
              <w:spacing w:before="40" w:after="40" w:line="252" w:lineRule="auto"/>
              <w:jc w:val="center"/>
            </w:pPr>
            <w:r/>
            <w:r>
              <w:rPr>
                <w:rFonts w:ascii="Calibri" w:hAnsi="Calibri" w:eastAsia="Calibri" w:cs="Calibri"/>
                <w:b/>
                <w:bCs/>
                <w:color w:val="212529"/>
                <w:sz w:val="18"/>
                <w:szCs w:val="22"/>
              </w:rPr>
              <w:t>Oui</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07E42552">
            <w:pPr>
              <w:spacing w:before="40" w:after="40" w:line="252" w:lineRule="auto"/>
            </w:pPr>
            <w:r/>
            <w:r>
              <w:rPr>
                <w:rFonts w:ascii="Calibri" w:hAnsi="Calibri" w:eastAsia="Calibri" w:cs="Calibri"/>
                <w:color w:val="212529"/>
                <w:sz w:val="17"/>
                <w:szCs w:val="22"/>
              </w:rPr>
              <w:t>Les lots du chemin critique (1, 3, 5, 6, 8) portent tous un responsable identifié et un décideur unique, condition d'un arbitrage rapide en cas de tension sur les délais.</w:t>
            </w:r>
          </w:p>
        </w:tc>
      </w:tr>
      <w:tr>
        <w:tc>
          <w:tcPr>
            <w:tcW w:w="5102"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12AF1625">
            <w:pPr>
              <w:spacing w:before="40" w:after="40" w:line="252" w:lineRule="auto"/>
            </w:pPr>
            <w:r/>
            <w:r>
              <w:rPr>
                <w:rFonts w:ascii="Calibri" w:hAnsi="Calibri" w:eastAsia="Calibri" w:cs="Calibri"/>
                <w:b/>
                <w:bCs/>
                <w:color w:val="212529"/>
                <w:sz w:val="18"/>
                <w:szCs w:val="22"/>
              </w:rPr>
              <w:t>Accessibilité de la participation</w:t>
            </w:r>
          </w:p>
        </w:tc>
        <w:tc>
          <w:tcPr>
            <w:tcW w:w="1928" w:type="dxa"/>
            <w:tcBorders>
              <w:top w:val="single" w:sz="4" w:space="0" w:color="DEE2E6"/>
              <w:left w:val="single" w:sz="4" w:space="0" w:color="DEE2E6"/>
              <w:bottom w:val="single" w:sz="4" w:space="0" w:color="DEE2E6"/>
              <w:right w:val="single" w:sz="4" w:space="0" w:color="DEE2E6"/>
            </w:tcBorders>
            <w:shd w:val="clear" w:fill="D3F9D8"/>
            <w:tcMar>
              <w:top w:w="0" w:type="dxa"/>
              <w:left w:w="108" w:type="dxa"/>
              <w:bottom w:w="0" w:type="dxa"/>
              <w:right w:w="108" w:type="dxa"/>
            </w:tcMar>
          </w:tcPr>
          <w:p w14:paraId="71E8BBB1">
            <w:pPr>
              <w:spacing w:before="40" w:after="40" w:line="252" w:lineRule="auto"/>
              <w:jc w:val="center"/>
            </w:pPr>
            <w:r/>
            <w:r>
              <w:rPr>
                <w:rFonts w:ascii="Calibri" w:hAnsi="Calibri" w:eastAsia="Calibri" w:cs="Calibri"/>
                <w:b/>
                <w:bCs/>
                <w:color w:val="212529"/>
                <w:sz w:val="18"/>
                <w:szCs w:val="22"/>
              </w:rPr>
              <w:t>Oui</w:t>
            </w:r>
          </w:p>
        </w:tc>
        <w:tc>
          <w:tcPr>
            <w:tcW w:w="7370" w:type="dxa"/>
            <w:tcBorders>
              <w:top w:val="single" w:sz="4" w:space="0" w:color="DEE2E6"/>
              <w:left w:val="single" w:sz="4" w:space="0" w:color="DEE2E6"/>
              <w:bottom w:val="single" w:sz="4" w:space="0" w:color="DEE2E6"/>
              <w:right w:val="single" w:sz="4" w:space="0" w:color="DEE2E6"/>
            </w:tcBorders>
            <w:tcMar>
              <w:top w:w="0" w:type="dxa"/>
              <w:left w:w="108" w:type="dxa"/>
              <w:bottom w:w="0" w:type="dxa"/>
              <w:right w:w="108" w:type="dxa"/>
            </w:tcMar>
          </w:tcPr>
          <w:p w14:paraId="7DC6DFBA">
            <w:pPr>
              <w:spacing w:before="40" w:after="40" w:line="252" w:lineRule="auto"/>
            </w:pPr>
            <w:r/>
            <w:r>
              <w:rPr>
                <w:rFonts w:ascii="Calibri" w:hAnsi="Calibri" w:eastAsia="Calibri" w:cs="Calibri"/>
                <w:color w:val="212529"/>
                <w:sz w:val="17"/>
                <w:szCs w:val="22"/>
              </w:rPr>
              <w:t>Les consultations produisent des comptes rendus écrits et les supports respectent les référentiels WCAG 2.2 et RGAA 4, afin que la contribution de chaque partie prenante soit recueillie sans discrimination (cf. Annexe O bis).</w:t>
            </w:r>
          </w:p>
        </w:tc>
      </w:tr>
    </w:tbl>
    <w:p w14:paraId="47836380">
      <w:pPr>
        <w:spacing w:before="240"/>
      </w:pPr>
      <w:r>
        <w:rPr>
          <w:rFonts w:ascii="Calibri" w:hAnsi="Calibri" w:eastAsia="Calibri" w:cs="Calibri"/>
          <w:i/>
          <w:iCs/>
          <w:color w:val="868E96"/>
          <w:sz w:val="16"/>
          <w:szCs w:val="22"/>
        </w:rPr>
        <w:t>Sources : mémoire §13.1.2 (allocation des ressources), §13.3 (management de l'équipe) et §13.4.1 (plan de communication) · Annexe L (WBS) · Annexe M (PERT).</w:t>
      </w:r>
    </w:p>
    <w:sectPr>
      <w:pgSz w:w="16838" w:h="11906" w:orient="landscape"/>
      <w:pgMar w:top="907" w:right="907" w:bottom="907" w:left="90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2026-07-23T10:25:24.598Z</dcterms:modified>
  <cp:category/>
</cp:coreProperties>
</file>