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on the sites where radar gives up. Stated honestly: we are slower per metre and coarser in resolution than radar in good conditions, so we are the second pass on hard ground, not a replacement for the first. Claiming more would put crews at risk, which is where responsible innovation stops being a seminar topic and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rather than an instrument sale: a trolley or vehicle-mounted quantum gravity gradiometer, run by our own crews as a targeted second pass on the sites the manager already fears. The deliverable is a depth-resolved density map with stated uncertainty on position and depth,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Priced by the day against the true cost of one strike, 29 times its repair bill (Utility Strike Avoidance Group, 2023), it is arithmetic a buyer can run themselves. We report outcomes on surveyed sites against the published national baseline, so the claim can be checked rather than believed, and data is returned NUAR-ready, which turns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The sensor responds to density contrast, so wet clay and plastic pipes stop being the problem they are for radar and electromagnetic location, and voids, culverts and abandoned shafts become visible for the first time. Each survey removes several trial holes and the traffic management around them. Because the output carries explicit uncertainty (Stray et al., 2022), the manager prices residual risk instead of discovering it with a digger.</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at the tier-1 contractor digging on their behalf, who signs off pre-excavation risk on live streetworks. They are the buyer; the user is the crew on site; and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Know what is under the ground before breaking it, to a standard that can be defended afterwards. Specify and commission PAS 128 surveys, hold the programme to its dates, keep the crew safe, and return accurate records into the National Underground Asset Register. Today that is done with statutory record drawings, electromagnetic location, radar and trial holes.</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An answer rather than a caveat. Fewer stoppages, fewer emergency reinstatements, fewer conversations with the HSE. A strike-rate improvement that can be shown to an insurer and a board. Data that stays useful after the job, through NUAR.</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Records are often wrong: there are around 4 million km of buried pipes and cables, and a hole is dug every seven seconds (Geospatial Commission, 2024). Radar loses signal in wet, clay-rich ground and at depth, and electromagnetic location cannot see plastic, so surveys come back qualified as B3 or B4 (British Standards Institution, 2022) — which transfers risk back to the manager instead of removing it. Trial holes sample points only, and each costs time, traffic management and money. The worst outcome is not the invoice; it is the injury.</w:t>
      </w:r>
      <w:r w:rsidRPr="00C112B0">
        <w:br/>
      </w:r>
    </w:p>
    <w:p w14:paraId="38BF8892" w14:textId="4F25CB74" w:rsidR="00B4545B" w:rsidRDefault="00B4545B"/>
    <w:sectPr w:rsidR="00B4545B"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2881" w14:textId="77777777" w:rsidR="003C1CEE" w:rsidRPr="00C112B0" w:rsidRDefault="003C1CEE" w:rsidP="00B4545B">
      <w:pPr>
        <w:spacing w:after="0" w:line="240" w:lineRule="auto"/>
      </w:pPr>
      <w:r w:rsidRPr="00C112B0">
        <w:separator/>
      </w:r>
    </w:p>
  </w:endnote>
  <w:endnote w:type="continuationSeparator" w:id="0">
    <w:p w14:paraId="3D89889E" w14:textId="77777777" w:rsidR="003C1CEE" w:rsidRPr="00C112B0" w:rsidRDefault="003C1CEE" w:rsidP="00B4545B">
      <w:pPr>
        <w:spacing w:after="0" w:line="240" w:lineRule="auto"/>
      </w:pPr>
      <w:r w:rsidRPr="00C112B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EF580" w14:textId="1AE02A9E" w:rsidR="00B4545B" w:rsidRPr="00C112B0" w:rsidRDefault="00B4545B" w:rsidP="00B4545B">
    <w:pPr>
      <w:pStyle w:val="Footer"/>
      <w:jc w:val="center"/>
    </w:pPr>
    <w:r w:rsidRPr="00C112B0">
      <w:drawing>
        <wp:inline distT="0" distB="0" distL="0" distR="0" wp14:anchorId="24CFBED3" wp14:editId="50D86CCF">
          <wp:extent cx="677636" cy="597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logoBLUE.eps"/>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359A07EF" w14:textId="77777777" w:rsidR="00B4545B" w:rsidRPr="00C112B0" w:rsidRDefault="00B454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26F1D" w14:textId="77777777" w:rsidR="003C1CEE" w:rsidRPr="00C112B0" w:rsidRDefault="003C1CEE" w:rsidP="00B4545B">
      <w:pPr>
        <w:spacing w:after="0" w:line="240" w:lineRule="auto"/>
      </w:pPr>
      <w:r w:rsidRPr="00C112B0">
        <w:separator/>
      </w:r>
    </w:p>
  </w:footnote>
  <w:footnote w:type="continuationSeparator" w:id="0">
    <w:p w14:paraId="2B55CCFE" w14:textId="77777777" w:rsidR="003C1CEE" w:rsidRPr="00C112B0" w:rsidRDefault="003C1CEE" w:rsidP="00B4545B">
      <w:pPr>
        <w:spacing w:after="0" w:line="240" w:lineRule="auto"/>
      </w:pPr>
      <w:r w:rsidRPr="00C112B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D3002" w14:textId="45CCDA2A" w:rsidR="00B4545B" w:rsidRPr="00C112B0" w:rsidRDefault="00B4545B" w:rsidP="00B4545B">
    <w:pPr>
      <w:pStyle w:val="SSXRunningHead"/>
      <w:jc w:val="right"/>
      <w:rPr>
        <w:color w:val="1F497D" w:themeColor="text2"/>
      </w:rPr>
    </w:pPr>
    <w:r w:rsidRPr="00C112B0">
      <w:rPr>
        <w:color w:val="1F497D" w:themeColor="text2"/>
      </w:rPr>
      <w:t>Quantum Technology</w:t>
    </w:r>
  </w:p>
  <w:p w14:paraId="307CAD46" w14:textId="2504D785" w:rsidR="00B4545B" w:rsidRPr="00C112B0" w:rsidRDefault="00B4545B">
    <w:pPr>
      <w:pStyle w:val="Header"/>
    </w:pPr>
  </w:p>
  <w:p w14:paraId="585B9800" w14:textId="77777777" w:rsidR="00B4545B" w:rsidRPr="00C112B0" w:rsidRDefault="00B454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6653965">
    <w:abstractNumId w:val="8"/>
  </w:num>
  <w:num w:numId="2" w16cid:durableId="736250731">
    <w:abstractNumId w:val="6"/>
  </w:num>
  <w:num w:numId="3" w16cid:durableId="893931798">
    <w:abstractNumId w:val="5"/>
  </w:num>
  <w:num w:numId="4" w16cid:durableId="1318026363">
    <w:abstractNumId w:val="4"/>
  </w:num>
  <w:num w:numId="5" w16cid:durableId="1076900679">
    <w:abstractNumId w:val="7"/>
  </w:num>
  <w:num w:numId="6" w16cid:durableId="1663242736">
    <w:abstractNumId w:val="3"/>
  </w:num>
  <w:num w:numId="7" w16cid:durableId="108355858">
    <w:abstractNumId w:val="2"/>
  </w:num>
  <w:num w:numId="8" w16cid:durableId="1792285467">
    <w:abstractNumId w:val="1"/>
  </w:num>
  <w:num w:numId="9" w16cid:durableId="643391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CEE"/>
    <w:rsid w:val="004345F4"/>
    <w:rsid w:val="00AA1D8D"/>
    <w:rsid w:val="00B4545B"/>
    <w:rsid w:val="00B47730"/>
    <w:rsid w:val="00C112B0"/>
    <w:rsid w:val="00CB0664"/>
    <w:rsid w:val="00EC5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8F228"/>
  <w14:defaultImageDpi w14:val="300"/>
  <w15:docId w15:val="{D5508726-EDC1-43D8-9967-5305EDA0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SSXSubHeading"/>
    <w:next w:val="Normal"/>
    <w:link w:val="Heading1Char"/>
    <w:uiPriority w:val="9"/>
    <w:qFormat/>
    <w:rsid w:val="00B4545B"/>
    <w:pPr>
      <w:outlineLvl w:val="0"/>
    </w:pPr>
  </w:style>
  <w:style w:type="paragraph" w:styleId="Heading2">
    <w:name w:val="heading 2"/>
    <w:basedOn w:val="Normal"/>
    <w:next w:val="Normal"/>
    <w:link w:val="Heading2Char"/>
    <w:uiPriority w:val="9"/>
    <w:unhideWhenUsed/>
    <w:qFormat/>
    <w:rsid w:val="00B4545B"/>
    <w:pPr>
      <w:keepNext/>
      <w:keepLines/>
      <w:spacing w:before="200" w:after="0"/>
      <w:outlineLvl w:val="1"/>
    </w:pPr>
    <w:rPr>
      <w:rFonts w:ascii="Franklin Gothic Medium" w:eastAsiaTheme="majorEastAsia" w:hAnsi="Franklin Gothic Medium" w:cstheme="majorBidi"/>
      <w:bCs/>
      <w:color w:val="01797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4545B"/>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B4545B"/>
    <w:rPr>
      <w:rFonts w:ascii="Franklin Gothic Medium" w:eastAsiaTheme="majorEastAsia" w:hAnsi="Franklin Gothic Medium" w:cstheme="majorBidi"/>
      <w:bCs/>
      <w:color w:val="01797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SSXHeading2"/>
    <w:next w:val="Normal"/>
    <w:link w:val="TitleChar"/>
    <w:uiPriority w:val="10"/>
    <w:qFormat/>
    <w:rsid w:val="00B4545B"/>
  </w:style>
  <w:style w:type="character" w:customStyle="1" w:styleId="TitleChar">
    <w:name w:val="Title Char"/>
    <w:basedOn w:val="DefaultParagraphFont"/>
    <w:link w:val="Title"/>
    <w:uiPriority w:val="10"/>
    <w:rsid w:val="00B4545B"/>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RunningHead">
    <w:name w:val="SSX_RunningHead"/>
    <w:basedOn w:val="Header"/>
    <w:qFormat/>
    <w:rsid w:val="00B4545B"/>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Cs w:val="24"/>
      <w:lang w:eastAsia="en-GB"/>
    </w:rPr>
  </w:style>
  <w:style w:type="paragraph" w:customStyle="1" w:styleId="SSXHeading2">
    <w:name w:val="SSX_Heading2"/>
    <w:basedOn w:val="Normal"/>
    <w:rsid w:val="00B4545B"/>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B4545B"/>
  </w:style>
  <w:style w:type="paragraph" w:customStyle="1" w:styleId="SSXSubHeading">
    <w:name w:val="SSX_SubHeading"/>
    <w:basedOn w:val="Heading3"/>
    <w:autoRedefine/>
    <w:rsid w:val="00B4545B"/>
    <w:pPr>
      <w:keepNext w:val="0"/>
      <w:keepLines w:val="0"/>
      <w:spacing w:before="0" w:line="240" w:lineRule="auto"/>
    </w:pPr>
    <w:rPr>
      <w:rFonts w:ascii="Franklin Gothic Medium" w:eastAsia="Times New Roman" w:hAnsi="Franklin Gothic Medium" w:cs="Times New Roman"/>
      <w:b w:val="0"/>
      <w:bCs w:val="0"/>
      <w:color w:val="017977"/>
      <w:sz w:val="3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181</Words>
  <Characters>1030</Characters>
  <Application>Microsoft Office Word</Application>
  <DocSecurity>0</DocSecurity>
  <Lines>42</Lines>
  <Paragraphs>39</Paragraphs>
  <ScaleCrop>false</ScaleCrop>
  <HeadingPairs>
    <vt:vector size="2" baseType="variant">
      <vt:variant>
        <vt:lpstr>Title</vt:lpstr>
      </vt:variant>
      <vt:variant>
        <vt:i4>1</vt:i4>
      </vt:variant>
    </vt:vector>
  </HeadingPairs>
  <TitlesOfParts>
    <vt:vector size="1" baseType="lpstr">
      <vt:lpstr>Accessible Value Proposition Canvas</vt:lpstr>
    </vt:vector>
  </TitlesOfParts>
  <Manager/>
  <Company/>
  <LinksUpToDate>false</LinksUpToDate>
  <CharactersWithSpaces>1172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Value Proposition Canvas</dc:title>
  <dc:subject/>
  <dc:creator>python-docx</dc:creator>
  <cp:keywords/>
  <dc:description>generated by python-docx</dc:description>
  <cp:lastModifiedBy>Laura Gibbons</cp:lastModifiedBy>
  <cp:revision>3</cp:revision>
  <dcterms:created xsi:type="dcterms:W3CDTF">2013-12-23T23:15:00Z</dcterms:created>
  <dcterms:modified xsi:type="dcterms:W3CDTF">2026-06-29T11:40:00Z</dcterms:modified>
  <cp:category/>
</cp:coreProperties>
</file>