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3b20689bdb9521e57de4b52f651acb5cf07a592"/>
    <w:p>
      <w:pPr>
        <w:pStyle w:val="Heading1"/>
      </w:pPr>
      <w:r>
        <w:t xml:space="preserve">Capturing the Quantum Dividend: Three Actions to Develop the UK Quantum Industry</w:t>
      </w:r>
    </w:p>
    <w:p>
      <w:pPr>
        <w:pStyle w:val="FirstParagraph"/>
      </w:pPr>
      <w:r>
        <w:t xml:space="preserve">The United Kingdom has a reasonable claim to being the first mover in quantum technology policy. Its National Quantum Technologies Programme, launched in 2013 with £270 million, was the first of its kind anywhere in the world (Quantum Technologies Strategic Advisory Board, 2015). A decade later the country sits among the top three producers of high-quality quantum science and is second only to the United States in its number of quantum companies (HM Government, 2023). And yet none of this guarantees an industry. Quantum technologies still carry the hallmarks of an emerging technology: radical novelty, fast growth, and deep uncertainty about which applications will matter (Rotolo, Hicks and Martin, 2015). The history of innovation is littered with pioneers who created enormous value and captured very little of it (Teece, 1986). This essay argues that the UK’s central challenge is not inventing quantum technology but capturing the value of what it has already invented, and it proposes three actions: building shared complementary assets, growing and keeping quantum-skilled people, and creating early demand. Each action assigns distinct roles to policymakers and to entrepreneurs.</w:t>
      </w:r>
    </w:p>
    <w:p>
      <w:pPr>
        <w:pStyle w:val="BodyText"/>
      </w:pPr>
      <w:r>
        <w:t xml:space="preserve">It is tempting to picture commercialisation as a pipeline in which discoveries flow from the laboratory to the market. Innovation scholarship gives little support to that picture. Kline and Rosenberg (1986) showed that successful innovation is disorderly and feedback-driven, with science acting as a resource that firms draw upon when existing knowledge fails, rather than as the starting point of the process. Much of what matters never appears in journals at all. Technological knowledge is largely tacit, accumulated through trial and error, and carried by people rather than papers (Pavitt, 1991). This has a hard commercial consequence. Quantum patents can often be invented around, and key know-how walks about on two legs, so appropriability in the sector is weak. Teece (1986) demonstrated that under weak appropriability the profits from an innovation flow to whoever controls the complementary assets: manufacturing capability, distribution channels, and service networks. EMI learned this the hard way. It invented the CT scanner, earned a Nobel Prize, and lost the market within six years to competitors who already owned those assets. The risk for the UK is a national version of the same story: becoming the world’s quantum laboratory while others build the quantum industry.</w:t>
      </w:r>
    </w:p>
    <w:p>
      <w:pPr>
        <w:pStyle w:val="BodyText"/>
      </w:pPr>
      <w:r>
        <w:t xml:space="preserve">The first action is to build, and share, the complementary assets that quantum firms cannot build alone. Quantum hardware depends on cleanroom fabrication, cryogenics, precision packaging and test facilities that are punishingly capital-intensive for a start-up, and young quantum firms must often queue for foundry capacity behind established semiconductor customers. For policymakers, the priority is to sustain and extend shared infrastructure so that no single firm needs to own the whole stack: the National Quantum Computing Centre, the research hubs, and the facilities funded through the £2.5 billion ten-year strategy all serve this purpose (HM Government, 2023). The five quantum missions announced in late 2023 sharpen it further by tying infrastructure to concrete goals, from a quantum computer capable of a trillion operations by 2035 to quantum sensing deployed in the NHS (Department for Science, Innovation and Technology, 2023). For entrepreneurs, Teece’s framework offers a usable decision rule. When appropriability is weak and the necessary assets are specialised, licensing the technology away is the road to becoming a hollow company; the better path is to build or to partner while keeping control of the co-specialised pieces. Partnering deserves particular care, because the incentives are asymmetric: the start-up needs the partner’s fabrication or distribution muscle far more than the partner needs any single start-up, and an alliance entered casually can teach a larger firm everything it needs to compete. Where capital allows, taking an ownership stake in critical suppliers, or at minimum securing long-term capacity agreements, keeps the relationship from becoming a one-way transfer. IBM’s shift from selling machines to selling computing as a service shows what durable value capture looks like in practice: the hardware may eventually be imitated, but the surrounding platform, user community and switching costs are far harder to copy. One caution is needed. Infrastructure spending is supply-push by default, and a facility built speculatively is just an expensive building. Kline and Rosenberg’s (1986) feedback loops only operate when testbeds connect builders with real users, which is why the missions matter more than the concrete.</w:t>
      </w:r>
    </w:p>
    <w:p>
      <w:pPr>
        <w:pStyle w:val="BodyText"/>
      </w:pPr>
      <w:r>
        <w:t xml:space="preserve">The second action concerns people. Pavitt (1991) argued that the most important economic return on publicly funded science is not publications but trained researchers, precisely because technological knowledge is tacit and moves with the individuals who hold it. If he is right, the National Quantum Strategy’s commitment to fund 1,000 additional postgraduate researchers may prove its most consequential line (HM Government, 2023). Scarcity is real: McKinsey (2022) estimated that only one qualified candidate exists for every three quantum vacancies worldwide. Rivals have noticed. South Korea’s strategy sets a target of 2,500 core quantum professionals by 2035, backed by three trillion won of joint public and private investment (Ministry of Science and ICT, 2023), while Singapore attaches a dedicated scholarship scheme for a hundred PhD students to its national strategy (National Quantum Office, 2024). The strategy’s supporting instruments point in the right direction: a dedicated skills taskforce, apprenticeship routes into quantum businesses, and a quantum stream within the Global Talent Network to attract researchers from abroad (HM Government, 2023). What will decide their success is scale and persistence, since a doctoral pipeline takes the better part of a decade to flow. Entrepreneurs cannot simply wait for this pipeline to deliver. Partnering with doctoral training centres, hosting industrial placements and hiring for adjacent engineering skills, from cryogenic engineering to control software, are the practical means by which a small firm internalises tacit knowledge before its competitors do. The harder problem is retention. Skills embodied in people are portable, and a researcher trained in Bristol can be productive in Zurich or California within a month. Training without competitive salaries, credible careers and workable visa routes is a subsidy to other countries’ quantum industries. Breadth matters too: a functioning industry needs quantum-literate engineers, programmers and technicians in far greater numbers than it needs theorists.</w:t>
      </w:r>
    </w:p>
    <w:p>
      <w:pPr>
        <w:pStyle w:val="BodyText"/>
      </w:pPr>
      <w:r>
        <w:t xml:space="preserve">The third action is to create demand, which is where both policy and entrepreneurship most often fall short. The SAPPHO study found that attention to user needs was the single strongest discriminator between successful and failed innovations (Rothwell et al., 1974), yet at most a third of relevant UK businesses have taken any step to prepare for quantum computing (HM Government, 2023). Diffusion theory explains part of the gap: adoption depends on whether potential users can trial a technology and observe its results (Rogers, 2003), which argues for accessible demonstrators rather than glossy roadmaps. Government can act as the intelligent first customer, and the strategy already commits £15 million to procuring quantum technologies for public use (HM Government, 2023). Procurement matters beyond the money: a government contract gives a young firm its first reference customer, forces its product to survive contact with real requirements, and signals credibility to private investors. The migration to post-quantum cryptography, mandatory in practice now that the first standards have been published (National Institute of Standards and Technology, 2024), offers exactly this kind of concrete, dated demand: every bank, insurer and ministry must eventually re-secure its systems. UK firms should be positioned to supply that migration rather than watch overseas vendors do so. For entrepreneurs the discipline is to sell solutions to a customer’s problem, not qubits. Demand also has a social dimension. Collingridge’s dilemma warns that society’s chance to shape a technology is greatest before it is entrenched, which is why responsible innovation frameworks ask developers to anticipate, reflect, engage and act early (Stilgoe, Owen and Macnaghten, 2013). In quantum this is an opportunity rather than a constraint: the UK’s public dialogue found that participants became more supportive as they learned more, particularly about health and security applications (EPSRC and Kantar Public, 2018). Early engagement builds the market.</w:t>
      </w:r>
    </w:p>
    <w:p>
      <w:pPr>
        <w:pStyle w:val="BodyText"/>
      </w:pPr>
      <w:r>
        <w:t xml:space="preserve">These three actions are not a menu but a system. Shared complementary assets give UK firms the means to capture value; skilled people embody the knowledge that assets alone cannot supply; early demand converts both into revenue, learning and legitimacy. Weaken any one and the others underperform, which is the practical meaning of Teece’s (1986) warning that invention without complementary assets enriches someone else. The UK enters the quantum decade with genuine first-mover advantages in science and a credible strategy on paper. Whether those advantages become an industry depends on choices being made now, by ministers deciding what to fund and buy, and by founders deciding what to build and keep. EMI’s scanner should hang in the memory of both.</w:t>
      </w:r>
    </w:p>
    <w:bookmarkStart w:id="9" w:name="references"/>
    <w:p>
      <w:pPr>
        <w:pStyle w:val="Heading2"/>
      </w:pPr>
      <w:r>
        <w:t xml:space="preserve">References</w:t>
      </w:r>
    </w:p>
    <w:p>
      <w:pPr>
        <w:pStyle w:val="FirstParagraph"/>
      </w:pPr>
      <w:r>
        <w:t xml:space="preserve">Department for Science, Innovation and Technology (2023)</w:t>
      </w:r>
      <w:r>
        <w:t xml:space="preserve"> </w:t>
      </w:r>
      <w:r>
        <w:rPr>
          <w:i/>
          <w:iCs/>
        </w:rPr>
        <w:t xml:space="preserve">National quantum strategy missions</w:t>
      </w:r>
      <w:r>
        <w:t xml:space="preserve">. London: DSIT. Available at: https://www.gov.uk/government/publications/national-quantum-strategy (Accessed: 31 July 2026).</w:t>
      </w:r>
    </w:p>
    <w:p>
      <w:pPr>
        <w:pStyle w:val="BodyText"/>
      </w:pPr>
      <w:r>
        <w:t xml:space="preserve">EPSRC and Kantar Public (2018)</w:t>
      </w:r>
      <w:r>
        <w:t xml:space="preserve"> </w:t>
      </w:r>
      <w:r>
        <w:rPr>
          <w:i/>
          <w:iCs/>
        </w:rPr>
        <w:t xml:space="preserve">Quantum technologies public dialogue: full report</w:t>
      </w:r>
      <w:r>
        <w:t xml:space="preserve">. Swindon: Engineering and Physical Sciences Research Council.</w:t>
      </w:r>
    </w:p>
    <w:p>
      <w:pPr>
        <w:pStyle w:val="BodyText"/>
      </w:pPr>
      <w:r>
        <w:t xml:space="preserve">HM Government (2023)</w:t>
      </w:r>
      <w:r>
        <w:t xml:space="preserve"> </w:t>
      </w:r>
      <w:r>
        <w:rPr>
          <w:i/>
          <w:iCs/>
        </w:rPr>
        <w:t xml:space="preserve">National quantum strategy</w:t>
      </w:r>
      <w:r>
        <w:t xml:space="preserve">. London: Department for Science, Innovation and Technology.</w:t>
      </w:r>
    </w:p>
    <w:p>
      <w:pPr>
        <w:pStyle w:val="BodyText"/>
      </w:pPr>
      <w:r>
        <w:t xml:space="preserve">Kline, S.J. and Rosenberg, N. (1986)</w:t>
      </w:r>
      <w:r>
        <w:t xml:space="preserve"> </w:t>
      </w:r>
      <w:r>
        <w:t xml:space="preserve">‘An overview of innovation’</w:t>
      </w:r>
      <w:r>
        <w:t xml:space="preserve">, in Landau, R. and Rosenberg, N. (eds.)</w:t>
      </w:r>
      <w:r>
        <w:t xml:space="preserve"> </w:t>
      </w:r>
      <w:r>
        <w:rPr>
          <w:i/>
          <w:iCs/>
        </w:rPr>
        <w:t xml:space="preserve">The positive sum strategy: harnessing technology for economic growth</w:t>
      </w:r>
      <w:r>
        <w:t xml:space="preserve">. Washington, DC: National Academy Press, pp. 275–305.</w:t>
      </w:r>
    </w:p>
    <w:p>
      <w:pPr>
        <w:pStyle w:val="BodyText"/>
      </w:pPr>
      <w:r>
        <w:t xml:space="preserve">McKinsey &amp; Company (2022)</w:t>
      </w:r>
      <w:r>
        <w:t xml:space="preserve"> </w:t>
      </w:r>
      <w:r>
        <w:rPr>
          <w:i/>
          <w:iCs/>
        </w:rPr>
        <w:t xml:space="preserve">Quantum technology monitor</w:t>
      </w:r>
      <w:r>
        <w:t xml:space="preserve">. New York: McKinsey &amp; Company. Available at: https://www.mckinsey.com/capabilities/mckinsey-digital/our-insights (Accessed: 31 July 2026).</w:t>
      </w:r>
    </w:p>
    <w:p>
      <w:pPr>
        <w:pStyle w:val="BodyText"/>
      </w:pPr>
      <w:r>
        <w:t xml:space="preserve">Ministry of Science and ICT (2023)</w:t>
      </w:r>
      <w:r>
        <w:t xml:space="preserve"> </w:t>
      </w:r>
      <w:r>
        <w:rPr>
          <w:i/>
          <w:iCs/>
        </w:rPr>
        <w:t xml:space="preserve">South Korea’s quantum science and technology strategy</w:t>
      </w:r>
      <w:r>
        <w:t xml:space="preserve">. Sejong: MSIT. Available at: https://www.korea.net/Government/Briefing-Room/Press-Releases/view?articleId=6930&amp;type=O (Accessed: 31 July 2026).</w:t>
      </w:r>
    </w:p>
    <w:p>
      <w:pPr>
        <w:pStyle w:val="BodyText"/>
      </w:pPr>
      <w:r>
        <w:t xml:space="preserve">National Institute of Standards and Technology (2024)</w:t>
      </w:r>
      <w:r>
        <w:t xml:space="preserve"> </w:t>
      </w:r>
      <w:r>
        <w:rPr>
          <w:i/>
          <w:iCs/>
        </w:rPr>
        <w:t xml:space="preserve">Post-quantum cryptography FIPS approved</w:t>
      </w:r>
      <w:r>
        <w:t xml:space="preserve">. Gaithersburg, MD: NIST. Available at: https://csrc.nist.gov/news/2024/postquantum-cryptography-fips-approved (Accessed: 31 July 2026).</w:t>
      </w:r>
    </w:p>
    <w:p>
      <w:pPr>
        <w:pStyle w:val="BodyText"/>
      </w:pPr>
      <w:r>
        <w:t xml:space="preserve">National Quantum Office (2024)</w:t>
      </w:r>
      <w:r>
        <w:t xml:space="preserve"> </w:t>
      </w:r>
      <w:r>
        <w:rPr>
          <w:i/>
          <w:iCs/>
        </w:rPr>
        <w:t xml:space="preserve">Singapore’s national quantum strategy</w:t>
      </w:r>
      <w:r>
        <w:t xml:space="preserve">. Singapore: NQO. Available at: https://nqo.sg (Accessed: 31 July 2026).</w:t>
      </w:r>
    </w:p>
    <w:p>
      <w:pPr>
        <w:pStyle w:val="BodyText"/>
      </w:pPr>
      <w:r>
        <w:t xml:space="preserve">Pavitt, K. (1991)</w:t>
      </w:r>
      <w:r>
        <w:t xml:space="preserve"> </w:t>
      </w:r>
      <w:r>
        <w:t xml:space="preserve">‘What makes basic research economically useful?’</w:t>
      </w:r>
      <w:r>
        <w:t xml:space="preserve">,</w:t>
      </w:r>
      <w:r>
        <w:t xml:space="preserve"> </w:t>
      </w:r>
      <w:r>
        <w:rPr>
          <w:i/>
          <w:iCs/>
        </w:rPr>
        <w:t xml:space="preserve">Research Policy</w:t>
      </w:r>
      <w:r>
        <w:t xml:space="preserve">, 20(2), pp. 109–119.</w:t>
      </w:r>
    </w:p>
    <w:p>
      <w:pPr>
        <w:pStyle w:val="BodyText"/>
      </w:pPr>
      <w:r>
        <w:t xml:space="preserve">Quantum Technologies Strategic Advisory Board (2015)</w:t>
      </w:r>
      <w:r>
        <w:t xml:space="preserve"> </w:t>
      </w:r>
      <w:r>
        <w:rPr>
          <w:i/>
          <w:iCs/>
        </w:rPr>
        <w:t xml:space="preserve">National strategy for quantum technologies: a new era for the UK</w:t>
      </w:r>
      <w:r>
        <w:t xml:space="preserve">. Swindon: EPSRC.</w:t>
      </w:r>
    </w:p>
    <w:p>
      <w:pPr>
        <w:pStyle w:val="BodyText"/>
      </w:pPr>
      <w:r>
        <w:t xml:space="preserve">Rogers, E.M. (2003)</w:t>
      </w:r>
      <w:r>
        <w:t xml:space="preserve"> </w:t>
      </w:r>
      <w:r>
        <w:rPr>
          <w:i/>
          <w:iCs/>
        </w:rPr>
        <w:t xml:space="preserve">Diffusion of innovations</w:t>
      </w:r>
      <w:r>
        <w:t xml:space="preserve">. 5th edn. New York: Free Press.</w:t>
      </w:r>
    </w:p>
    <w:p>
      <w:pPr>
        <w:pStyle w:val="BodyText"/>
      </w:pPr>
      <w:r>
        <w:t xml:space="preserve">Rothwell, R., Freeman, C., Horlsey, A., Jervis, V.T.P., Robertson, A.B. and Townsend, J. (1974)</w:t>
      </w:r>
      <w:r>
        <w:t xml:space="preserve"> </w:t>
      </w:r>
      <w:r>
        <w:t xml:space="preserve">‘SAPPHO updated: project SAPPHO phase II’</w:t>
      </w:r>
      <w:r>
        <w:t xml:space="preserve">,</w:t>
      </w:r>
      <w:r>
        <w:t xml:space="preserve"> </w:t>
      </w:r>
      <w:r>
        <w:rPr>
          <w:i/>
          <w:iCs/>
        </w:rPr>
        <w:t xml:space="preserve">Research Policy</w:t>
      </w:r>
      <w:r>
        <w:t xml:space="preserve">, 3(3), pp. 258–291.</w:t>
      </w:r>
    </w:p>
    <w:p>
      <w:pPr>
        <w:pStyle w:val="BodyText"/>
      </w:pPr>
      <w:r>
        <w:t xml:space="preserve">Rotolo, D., Hicks, D. and Martin, B.R. (2015)</w:t>
      </w:r>
      <w:r>
        <w:t xml:space="preserve"> </w:t>
      </w:r>
      <w:r>
        <w:t xml:space="preserve">‘What is an emerging technology?’</w:t>
      </w:r>
      <w:r>
        <w:t xml:space="preserve">,</w:t>
      </w:r>
      <w:r>
        <w:t xml:space="preserve"> </w:t>
      </w:r>
      <w:r>
        <w:rPr>
          <w:i/>
          <w:iCs/>
        </w:rPr>
        <w:t xml:space="preserve">Research Policy</w:t>
      </w:r>
      <w:r>
        <w:t xml:space="preserve">, 44(10), pp. 1827–1843.</w:t>
      </w:r>
    </w:p>
    <w:p>
      <w:pPr>
        <w:pStyle w:val="BodyText"/>
      </w:pPr>
      <w:r>
        <w:t xml:space="preserve">Stilgoe, J., Owen, R. and Macnaghten, P. (2013)</w:t>
      </w:r>
      <w:r>
        <w:t xml:space="preserve"> </w:t>
      </w:r>
      <w:r>
        <w:t xml:space="preserve">‘Developing a framework for responsible innovation’</w:t>
      </w:r>
      <w:r>
        <w:t xml:space="preserve">,</w:t>
      </w:r>
      <w:r>
        <w:t xml:space="preserve"> </w:t>
      </w:r>
      <w:r>
        <w:rPr>
          <w:i/>
          <w:iCs/>
        </w:rPr>
        <w:t xml:space="preserve">Research Policy</w:t>
      </w:r>
      <w:r>
        <w:t xml:space="preserve">, 42(9), pp. 1568–1580.</w:t>
      </w:r>
    </w:p>
    <w:p>
      <w:pPr>
        <w:pStyle w:val="BodyText"/>
      </w:pPr>
      <w:r>
        <w:t xml:space="preserve">Teece, D.J. (1986)</w:t>
      </w:r>
      <w:r>
        <w:t xml:space="preserve"> </w:t>
      </w:r>
      <w:r>
        <w:t xml:space="preserve">‘Profiting from technological innovation: implications for integration, collaboration, licensing and public policy’</w:t>
      </w:r>
      <w:r>
        <w:t xml:space="preserve">,</w:t>
      </w:r>
      <w:r>
        <w:t xml:space="preserve"> </w:t>
      </w:r>
      <w:r>
        <w:rPr>
          <w:i/>
          <w:iCs/>
        </w:rPr>
        <w:t xml:space="preserve">Research Policy</w:t>
      </w:r>
      <w:r>
        <w:t xml:space="preserve">, 15(6), pp. 285–305.</w:t>
      </w:r>
    </w:p>
    <w:bookmarkEnd w:id="9"/>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2026-07-30T17:20:52Z</dcterms:created>
  <dcterms:modified xsi:type="dcterms:W3CDTF">2026-07-30T17:20:52Z</dcterms:modified>
</cp:coreProperties>
</file>

<file path=docProps/custom.xml><?xml version="1.0" encoding="utf-8"?>
<Properties xmlns="http://schemas.openxmlformats.org/officeDocument/2006/custom-properties" xmlns:vt="http://schemas.openxmlformats.org/officeDocument/2006/docPropsVTypes"/>
</file>