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8b7d1654965d77a36005e82de2b007ff97000d"/>
    <w:p>
      <w:pPr>
        <w:pStyle w:val="Heading1"/>
      </w:pPr>
      <w:r>
        <w:t xml:space="preserve">Cover Letter — Submission to</w:t>
      </w:r>
      <w:r>
        <w:t xml:space="preserve"> </w:t>
      </w:r>
      <w:r>
        <w:rPr>
          <w:i/>
          <w:iCs/>
        </w:rPr>
        <w:t xml:space="preserve">Genomics, Proteomics &amp; Bioinformatics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[TBD: insertion date at submission, e.g., 2026-07-01]</w:t>
      </w:r>
    </w:p>
    <w:p>
      <w:pPr>
        <w:pStyle w:val="BodyText"/>
      </w:pPr>
      <w:r>
        <w:rPr>
          <w:b/>
          <w:bCs/>
        </w:rPr>
        <w:t xml:space="preserve">To</w:t>
      </w:r>
      <w:r>
        <w:t xml:space="preserve">:</w:t>
      </w:r>
      <w:r>
        <w:t xml:space="preserve"> </w:t>
      </w:r>
      <w:r>
        <w:t xml:space="preserve">Dr. Jun Yu and Dr. Songnian Hu</w:t>
      </w:r>
      <w:r>
        <w:t xml:space="preserve"> </w:t>
      </w:r>
      <w:r>
        <w:t xml:space="preserve">Editors-in-Chief,</w:t>
      </w:r>
      <w:r>
        <w:t xml:space="preserve"> </w:t>
      </w:r>
      <w:r>
        <w:rPr>
          <w:i/>
          <w:iCs/>
        </w:rPr>
        <w:t xml:space="preserve">Genomics, Proteomics &amp; Bioinformatics</w:t>
      </w:r>
      <w:r>
        <w:t xml:space="preserve"> </w:t>
      </w:r>
      <w:r>
        <w:t xml:space="preserve">Beijing Institute of Genomics, Chinese Academy of Sciences</w:t>
      </w:r>
      <w:r>
        <w:t xml:space="preserve"> </w:t>
      </w:r>
      <w:r>
        <w:t xml:space="preserve">[</w:t>
      </w:r>
      <w:r>
        <w:rPr>
          <w:b/>
          <w:bCs/>
        </w:rPr>
        <w:t xml:space="preserve">TODO: confirm current EICs at submission time; GPB website is authoritative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 entitled</w:t>
      </w:r>
      <w:r>
        <w:t xml:space="preserve"> </w:t>
      </w:r>
      <w:r>
        <w:t xml:space="preserve">“</w:t>
      </w:r>
      <w:r>
        <w:rPr>
          <w:b/>
          <w:bCs/>
        </w:rPr>
        <w:t xml:space="preserve">A hierarchical</w:t>
      </w:r>
      <w:r>
        <w:rPr>
          <w:b/>
          <w:bCs/>
        </w:rPr>
        <w:t xml:space="preserve"> </w:t>
      </w:r>
      <w:r>
        <w:rPr>
          <w:b/>
          <w:bCs/>
        </w:rPr>
        <w:t xml:space="preserve">weight-of-evidence MCDA framework for descriptive-to-causal</w:t>
      </w:r>
      <w:r>
        <w:rPr>
          <w:b/>
          <w:bCs/>
        </w:rPr>
        <w:t xml:space="preserve"> </w:t>
      </w:r>
      <w:r>
        <w:rPr>
          <w:b/>
          <w:bCs/>
        </w:rPr>
        <w:t xml:space="preserve">microbiome-environment association inference, with reference implementation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EnvMeta</w:t>
      </w:r>
      <w:r>
        <w:t xml:space="preserve">”</w:t>
      </w:r>
      <w:r>
        <w:t xml:space="preserve">, for consideration as a</w:t>
      </w:r>
      <w:r>
        <w:t xml:space="preserve"> </w:t>
      </w:r>
      <w:r>
        <w:rPr>
          <w:b/>
          <w:bCs/>
        </w:rPr>
        <w:t xml:space="preserve">Methods / Application Note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Genomics, Proteomics &amp; Bioinformatics</w:t>
      </w:r>
      <w:r>
        <w:t xml:space="preserve">.</w:t>
      </w:r>
    </w:p>
    <w:bookmarkStart w:id="9" w:name="what-is-novel"/>
    <w:p>
      <w:pPr>
        <w:pStyle w:val="Heading2"/>
      </w:pPr>
      <w:r>
        <w:t xml:space="preserve">What is novel</w:t>
      </w:r>
    </w:p>
    <w:p>
      <w:pPr>
        <w:pStyle w:val="FirstParagraph"/>
      </w:pPr>
      <w:r>
        <w:t xml:space="preserve">Inferring causal associations between microbial pathways and environmental</w:t>
      </w:r>
      <w:r>
        <w:t xml:space="preserve"> </w:t>
      </w:r>
      <w:r>
        <w:t xml:space="preserve">factors from metagenome-assembled-genome (MAG) data is a recurring challenge</w:t>
      </w:r>
      <w:r>
        <w:t xml:space="preserve"> </w:t>
      </w:r>
      <w:r>
        <w:t xml:space="preserve">across microbiome science, yet the field has lacked an integrated algorithmic</w:t>
      </w:r>
      <w:r>
        <w:t xml:space="preserve"> </w:t>
      </w:r>
      <w:r>
        <w:t xml:space="preserve">framework that exposes its intermediate evidential quantities for</w:t>
      </w:r>
      <w:r>
        <w:t xml:space="preserve"> </w:t>
      </w:r>
      <w:r>
        <w:t xml:space="preserve">reproducibility audit. Compositional data analysis [1], permutation-based</w:t>
      </w:r>
      <w:r>
        <w:t xml:space="preserve"> </w:t>
      </w:r>
      <w:r>
        <w:t xml:space="preserve">null calibration [2], multi-criteria decision analysis [3], and Bradford-Hill</w:t>
      </w:r>
      <w:r>
        <w:t xml:space="preserve"> </w:t>
      </w:r>
      <w:r>
        <w:t xml:space="preserve">weight-of-evidence reasoning [4-7] all exist as well-validated</w:t>
      </w:r>
      <w:r>
        <w:t xml:space="preserve"> </w:t>
      </w:r>
      <w:r>
        <w:rPr>
          <w:b/>
          <w:bCs/>
        </w:rPr>
        <w:t xml:space="preserve">methodological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</w:t>
      </w:r>
      <w:r>
        <w:t xml:space="preserve">, but no widely-adopted operationalization combines them into a</w:t>
      </w:r>
      <w:r>
        <w:t xml:space="preserve"> </w:t>
      </w:r>
      <w:r>
        <w:t xml:space="preserve">single auditable pipeline for the MAG-level KEGG-orthology setting central to</w:t>
      </w:r>
      <w:r>
        <w:t xml:space="preserve"> </w:t>
      </w:r>
      <w:r>
        <w:t xml:space="preserve">environmental metagenomics.</w:t>
      </w:r>
    </w:p>
    <w:p>
      <w:pPr>
        <w:pStyle w:val="BodyText"/>
      </w:pPr>
      <w:r>
        <w:t xml:space="preserve">We address this gap with a</w:t>
      </w:r>
      <w:r>
        <w:t xml:space="preserve"> </w:t>
      </w:r>
      <w:r>
        <w:rPr>
          <w:b/>
          <w:bCs/>
        </w:rPr>
        <w:t xml:space="preserve">hierarchical weight-of-evidence MCDA framework</w:t>
      </w:r>
      <w:r>
        <w:t xml:space="preserve"> </w:t>
      </w:r>
      <w:r>
        <w:t xml:space="preserve">that decomposes microbiome-environment association inference into three</w:t>
      </w:r>
      <w:r>
        <w:t xml:space="preserve"> </w:t>
      </w:r>
      <w:r>
        <w:t xml:space="preserve">algorithmic stages — S1 compositional debiasing with three-threshold</w:t>
      </w:r>
      <w:r>
        <w:t xml:space="preserve"> </w:t>
      </w:r>
      <w:r>
        <w:t xml:space="preserve">sensitivity scanning, S2 999-permutation Fisher null calibration, and S3</w:t>
      </w:r>
      <w:r>
        <w:t xml:space="preserve"> </w:t>
      </w:r>
      <w:r>
        <w:t xml:space="preserve">weighted-sum scoring with Bradford-Hill required-veto and Saltelli ±20%</w:t>
      </w:r>
      <w:r>
        <w:t xml:space="preserve"> </w:t>
      </w:r>
      <w:r>
        <w:t xml:space="preserve">weight perturbation — producing</w:t>
      </w:r>
      <w:r>
        <w:t xml:space="preserve"> </w:t>
      </w:r>
      <w:r>
        <w:rPr>
          <w:b/>
          <w:bCs/>
        </w:rPr>
        <w:t xml:space="preserve">five auditable diagnostic quantities</w:t>
      </w:r>
      <w:r>
        <w:t xml:space="preserve"> </w:t>
      </w:r>
      <w:r>
        <w:t xml:space="preserve">per</w:t>
      </w:r>
      <w:r>
        <w:t xml:space="preserve"> </w:t>
      </w:r>
      <w:r>
        <w:t xml:space="preserve">claim (score, weight-robust score, null_p, evidence count, confidence label).</w:t>
      </w:r>
      <w:r>
        <w:t xml:space="preserve"> </w:t>
      </w:r>
      <w:r>
        <w:t xml:space="preserve">The framework is operationalized through a six-claim YAML hypothesis schema</w:t>
      </w:r>
      <w:r>
        <w:t xml:space="preserve"> </w:t>
      </w:r>
      <w:r>
        <w:t xml:space="preserve">covering pathway activity, cross-pathway coupling, environmental correlation,</w:t>
      </w:r>
      <w:r>
        <w:t xml:space="preserve"> </w:t>
      </w:r>
      <w:r>
        <w:t xml:space="preserve">keystone identification, group contrast, and Popperian pathway-inactive</w:t>
      </w:r>
      <w:r>
        <w:t xml:space="preserve"> </w:t>
      </w:r>
      <w:r>
        <w:t xml:space="preserve">falsification. We provide an open-source reference implementation</w:t>
      </w:r>
      <w:r>
        <w:t xml:space="preserve"> </w:t>
      </w:r>
      <w:r>
        <w:rPr>
          <w:b/>
          <w:bCs/>
        </w:rPr>
        <w:t xml:space="preserve">EnvMeta</w:t>
      </w:r>
      <w:r>
        <w:t xml:space="preserve"> </w:t>
      </w:r>
      <w:r>
        <w:t xml:space="preserve">that wraps the framework with fourteen publication-quality visualizations and</w:t>
      </w:r>
      <w:r>
        <w:t xml:space="preserve"> </w:t>
      </w:r>
      <w:r>
        <w:t xml:space="preserve">a KEGG-driven biogeochemical-cycle knowledge base (4 elements × 18 pathways</w:t>
      </w:r>
      <w:r>
        <w:t xml:space="preserve"> </w:t>
      </w:r>
      <w:r>
        <w:t xml:space="preserve">× 57 KOs).</w:t>
      </w:r>
    </w:p>
    <w:bookmarkEnd w:id="9"/>
    <w:bookmarkStart w:id="10" w:name="fit-for-gpb"/>
    <w:p>
      <w:pPr>
        <w:pStyle w:val="Heading2"/>
      </w:pPr>
      <w:r>
        <w:t xml:space="preserve">Fit for GPB</w:t>
      </w:r>
    </w:p>
    <w:p>
      <w:pPr>
        <w:pStyle w:val="FirstParagraph"/>
      </w:pPr>
      <w:r>
        <w:t xml:space="preserve">Three reasons make</w:t>
      </w:r>
      <w:r>
        <w:t xml:space="preserve"> </w:t>
      </w:r>
      <w:r>
        <w:rPr>
          <w:i/>
          <w:iCs/>
        </w:rPr>
        <w:t xml:space="preserve">GPB</w:t>
      </w:r>
      <w:r>
        <w:t xml:space="preserve"> </w:t>
      </w:r>
      <w:r>
        <w:t xml:space="preserve">the right venue for this work.</w:t>
      </w:r>
    </w:p>
    <w:p>
      <w:pPr>
        <w:pStyle w:val="BodyText"/>
      </w:pPr>
      <w:r>
        <w:t xml:space="preserve">First, the contribution is</w:t>
      </w:r>
      <w:r>
        <w:t xml:space="preserve"> </w:t>
      </w:r>
      <w:r>
        <w:rPr>
          <w:b/>
          <w:bCs/>
        </w:rPr>
        <w:t xml:space="preserve">fundamentally algorithmic</w:t>
      </w:r>
      <w:r>
        <w:t xml:space="preserve"> </w:t>
      </w:r>
      <w:r>
        <w:t xml:space="preserve">(Methods §4.0</w:t>
      </w:r>
      <w:r>
        <w:t xml:space="preserve"> </w:t>
      </w:r>
      <w:r>
        <w:t xml:space="preserve">formalizes Algorithms 1-4 + Equation 1 + Table N2 complexity analysis),</w:t>
      </w:r>
      <w:r>
        <w:t xml:space="preserve"> </w:t>
      </w:r>
      <w:r>
        <w:t xml:space="preserve">matching</w:t>
      </w:r>
      <w:r>
        <w:t xml:space="preserve"> </w:t>
      </w:r>
      <w:r>
        <w:rPr>
          <w:i/>
          <w:iCs/>
        </w:rPr>
        <w:t xml:space="preserve">GPB</w:t>
      </w:r>
      <w:r>
        <w:t xml:space="preserve">’s long-standing emphasis on novel methodological frameworks</w:t>
      </w:r>
      <w:r>
        <w:t xml:space="preserve"> </w:t>
      </w:r>
      <w:r>
        <w:t xml:space="preserve">with reference implementations.</w:t>
      </w:r>
    </w:p>
    <w:p>
      <w:pPr>
        <w:pStyle w:val="BodyText"/>
      </w:pPr>
      <w:r>
        <w:t xml:space="preserve">Second, the validation is broad and rigorous: a</w:t>
      </w:r>
      <w:r>
        <w:t xml:space="preserve"> </w:t>
      </w:r>
      <w:r>
        <w:rPr>
          <w:b/>
          <w:bCs/>
        </w:rPr>
        <w:t xml:space="preserve">four-arm calibration</w:t>
      </w:r>
      <w:r>
        <w:t xml:space="preserve"> </w:t>
      </w:r>
      <w:r>
        <w:t xml:space="preserve">across published metagenomic datasets (Wei 2024 paddy soil; Liu 2023 cold</w:t>
      </w:r>
      <w:r>
        <w:t xml:space="preserve"> </w:t>
      </w:r>
      <w:r>
        <w:t xml:space="preserve">seep; Grettenberger 2021 acid mine drainage; Ayala 2020 Iberian Pyrite Belt</w:t>
      </w:r>
      <w:r>
        <w:t xml:space="preserve"> </w:t>
      </w:r>
      <w:r>
        <w:t xml:space="preserve">pit lake) — all returning STRONG labels under fixed default thresholds — plus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three-arm stress test</w:t>
      </w:r>
      <w:r>
        <w:t xml:space="preserve"> </w:t>
      </w:r>
      <w:r>
        <w:t xml:space="preserve">discriminating cross-topic mismatch (n = 0 active</w:t>
      </w:r>
      <w:r>
        <w:t xml:space="preserve"> </w:t>
      </w:r>
      <w:r>
        <w:t xml:space="preserve">MAGs in 2/2 non-arsenic datasets), and a</w:t>
      </w:r>
      <w:r>
        <w:t xml:space="preserve"> </w:t>
      </w:r>
      <w:r>
        <w:rPr>
          <w:b/>
          <w:bCs/>
        </w:rPr>
        <w:t xml:space="preserve">target-pathway perturbation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yielding a monotonic annotation-breadth gradient in cross-element</w:t>
      </w:r>
      <w:r>
        <w:t xml:space="preserve"> </w:t>
      </w:r>
      <w:r>
        <w:t xml:space="preserve">STRONG retention (Arm A 100% → Grettenberger 30% → Ayala 15% → Liu 0%).</w:t>
      </w:r>
    </w:p>
    <w:p>
      <w:pPr>
        <w:pStyle w:val="BodyText"/>
      </w:pPr>
      <w:r>
        <w:t xml:space="preserve">Third, the</w:t>
      </w:r>
      <w:r>
        <w:t xml:space="preserve"> </w:t>
      </w:r>
      <w:r>
        <w:rPr>
          <w:b/>
          <w:bCs/>
        </w:rPr>
        <w:t xml:space="preserve">pre-registration discipline</w:t>
      </w:r>
      <w:r>
        <w:t xml:space="preserve"> </w:t>
      </w:r>
      <w:r>
        <w:t xml:space="preserve">uses OpenTimestamps cryptographic</w:t>
      </w:r>
      <w:r>
        <w:t xml:space="preserve"> </w:t>
      </w:r>
      <w:r>
        <w:t xml:space="preserve">anchoring (12 anchor proofs across 4 commit hashes × 3 calendar witnesses) to</w:t>
      </w:r>
      <w:r>
        <w:t xml:space="preserve"> </w:t>
      </w:r>
      <w:r>
        <w:t xml:space="preserve">witness claim-entity selection before scoring — a methodology import from</w:t>
      </w:r>
      <w:r>
        <w:t xml:space="preserve"> </w:t>
      </w:r>
      <w:r>
        <w:t xml:space="preserve">clinical trials and environmental risk assessment that we believe will be of</w:t>
      </w:r>
      <w:r>
        <w:t xml:space="preserve"> </w:t>
      </w:r>
      <w:r>
        <w:t xml:space="preserve">interest to</w:t>
      </w:r>
      <w:r>
        <w:t xml:space="preserve"> </w:t>
      </w:r>
      <w:r>
        <w:rPr>
          <w:i/>
          <w:iCs/>
        </w:rPr>
        <w:t xml:space="preserve">GPB</w:t>
      </w:r>
      <w:r>
        <w:t xml:space="preserve">’s readership and that we have not seen elsewhere in</w:t>
      </w:r>
      <w:r>
        <w:t xml:space="preserve"> </w:t>
      </w:r>
      <w:r>
        <w:t xml:space="preserve">microbiome bioinformatics.</w:t>
      </w:r>
    </w:p>
    <w:bookmarkEnd w:id="10"/>
    <w:bookmarkStart w:id="11" w:name="reproducibility-commitments"/>
    <w:p>
      <w:pPr>
        <w:pStyle w:val="Heading2"/>
      </w:pPr>
      <w:r>
        <w:t xml:space="preserve">Reproducibility commitments</w:t>
      </w:r>
    </w:p>
    <w:p>
      <w:pPr>
        <w:pStyle w:val="FirstParagraph"/>
      </w:pPr>
      <w:r>
        <w:t xml:space="preserve">All code, data, and configuration to reproduce every figure and result are</w:t>
      </w:r>
      <w:r>
        <w:t xml:space="preserve"> </w:t>
      </w:r>
      <w:r>
        <w:t xml:space="preserve">openly available. EnvMeta is at https://github.com/redlizzxy/EnvMeta under</w:t>
      </w:r>
      <w:r>
        <w:t xml:space="preserve"> </w:t>
      </w:r>
      <w:r>
        <w:t xml:space="preserve">MIT License; an online Streamlit demo is at</w:t>
      </w:r>
      <w:r>
        <w:t xml:space="preserve"> </w:t>
      </w:r>
      <w:r>
        <w:t xml:space="preserve">https://envmeta-3xjhcu7lv2gkj4pjtk8gsb.streamlit.app/. A Zenodo DOI for the</w:t>
      </w:r>
      <w:r>
        <w:t xml:space="preserve"> </w:t>
      </w:r>
      <w:r>
        <w:t xml:space="preserve">manuscript-version release will be activated at acceptance. Four published</w:t>
      </w:r>
      <w:r>
        <w:t xml:space="preserve"> </w:t>
      </w:r>
      <w:r>
        <w:t xml:space="preserve">calibration datasets [26-29], the in-house arsenic-slag bioremediation case</w:t>
      </w:r>
      <w:r>
        <w:t xml:space="preserve"> </w:t>
      </w:r>
      <w:r>
        <w:t xml:space="preserve">study (168 MAGs), and all hypothesis YAMLs are bundled in the supplementary</w:t>
      </w:r>
      <w:r>
        <w:t xml:space="preserve"> </w:t>
      </w:r>
      <w:r>
        <w:t xml:space="preserve">Fork Bundle archive. A 58-cell performance benchmark establishes runtime</w:t>
      </w:r>
      <w:r>
        <w:t xml:space="preserve"> </w:t>
      </w:r>
      <w:r>
        <w:t xml:space="preserve">≤ 120 s and peak memory ≤ 10 MB for typical PhD-scale metagenomes on a</w:t>
      </w:r>
      <w:r>
        <w:t xml:space="preserve"> </w:t>
      </w:r>
      <w:r>
        <w:t xml:space="preserve">standard laptop.</w:t>
      </w:r>
    </w:p>
    <w:bookmarkEnd w:id="11"/>
    <w:bookmarkStart w:id="12" w:name="preprint-disclosure"/>
    <w:p>
      <w:pPr>
        <w:pStyle w:val="Heading2"/>
      </w:pPr>
      <w:r>
        <w:t xml:space="preserve">Preprint disclosure</w:t>
      </w:r>
    </w:p>
    <w:p>
      <w:pPr>
        <w:pStyle w:val="FirstParagraph"/>
      </w:pPr>
      <w:r>
        <w:t xml:space="preserve">A bioRxiv preprint version of this manuscript is available at</w:t>
      </w:r>
      <w:r>
        <w:t xml:space="preserve"> </w:t>
      </w:r>
      <w:r>
        <w:t xml:space="preserve">[</w:t>
      </w:r>
      <w:r>
        <w:rPr>
          <w:b/>
          <w:bCs/>
        </w:rPr>
        <w:t xml:space="preserve">TBD: bioRxiv DOI placeholder, e.g., https://doi.org/10.1101/2026.05.XX.YYYYYY</w:t>
      </w:r>
      <w:r>
        <w:t xml:space="preserve">];</w:t>
      </w:r>
      <w:r>
        <w:t xml:space="preserve"> </w:t>
      </w:r>
      <w:r>
        <w:t xml:space="preserve">the preprint is identical in content to the submitted manuscript modulo</w:t>
      </w:r>
      <w:r>
        <w:t xml:space="preserve"> </w:t>
      </w:r>
      <w:r>
        <w:t xml:space="preserve">formatting differences. Per</w:t>
      </w:r>
      <w:r>
        <w:t xml:space="preserve"> </w:t>
      </w:r>
      <w:r>
        <w:rPr>
          <w:i/>
          <w:iCs/>
        </w:rPr>
        <w:t xml:space="preserve">GPB</w:t>
      </w:r>
      <w:r>
        <w:t xml:space="preserve">’s policy, we understand that prior</w:t>
      </w:r>
      <w:r>
        <w:t xml:space="preserve"> </w:t>
      </w:r>
      <w:r>
        <w:t xml:space="preserve">deposition on bioRxiv does not preclude consideration.</w:t>
      </w:r>
    </w:p>
    <w:bookmarkEnd w:id="12"/>
    <w:bookmarkStart w:id="13" w:name="originality-and-conflicts-of-interest"/>
    <w:p>
      <w:pPr>
        <w:pStyle w:val="Heading2"/>
      </w:pPr>
      <w:r>
        <w:t xml:space="preserve">Originality and conflicts of interest</w:t>
      </w:r>
    </w:p>
    <w:p>
      <w:pPr>
        <w:pStyle w:val="FirstParagraph"/>
      </w:pPr>
      <w:r>
        <w:t xml:space="preserve">This work is original, has not been published elsewhere (except as preprint</w:t>
      </w:r>
      <w:r>
        <w:t xml:space="preserve"> </w:t>
      </w:r>
      <w:r>
        <w:t xml:space="preserve">above), and is not under consideration at any other journal. The authors</w:t>
      </w:r>
      <w:r>
        <w:t xml:space="preserve"> </w:t>
      </w:r>
      <w:r>
        <w:t xml:space="preserve">declare</w:t>
      </w:r>
      <w:r>
        <w:t xml:space="preserve"> </w:t>
      </w:r>
      <w:r>
        <w:rPr>
          <w:b/>
          <w:bCs/>
        </w:rPr>
        <w:t xml:space="preserve">no conflicts of interest</w:t>
      </w:r>
      <w:r>
        <w:t xml:space="preserve"> </w:t>
      </w:r>
      <w:r>
        <w:t xml:space="preserve">with respect to this submission. No</w:t>
      </w:r>
      <w:r>
        <w:t xml:space="preserve"> </w:t>
      </w:r>
      <w:r>
        <w:t xml:space="preserve">financial interests influence the work presented.</w:t>
      </w:r>
    </w:p>
    <w:bookmarkEnd w:id="13"/>
    <w:bookmarkStart w:id="14" w:name="suggested-reviewers"/>
    <w:p>
      <w:pPr>
        <w:pStyle w:val="Heading2"/>
      </w:pPr>
      <w:r>
        <w:t xml:space="preserve">Suggested reviewers</w:t>
      </w:r>
    </w:p>
    <w:p>
      <w:pPr>
        <w:pStyle w:val="FirstParagraph"/>
      </w:pPr>
      <w:r>
        <w:t xml:space="preserve">We respectfully suggest the following experts whose work has informed our</w:t>
      </w:r>
      <w:r>
        <w:t xml:space="preserve"> </w:t>
      </w:r>
      <w:r>
        <w:t xml:space="preserve">framework design and who we believe could provide informed peer review:</w:t>
      </w:r>
    </w:p>
    <w:p>
      <w:pPr>
        <w:pStyle w:val="Compact"/>
        <w:numPr>
          <w:ilvl w:val="0"/>
          <w:numId w:val="1001"/>
        </w:numPr>
      </w:pPr>
      <w:r>
        <w:t xml:space="preserve">[</w:t>
      </w:r>
      <w:r>
        <w:rPr>
          <w:b/>
          <w:bCs/>
        </w:rPr>
        <w:t xml:space="preserve">TBD: suggest 3-5 experts in microbiome bioinformatics / MCDA /</w:t>
      </w:r>
      <w:r>
        <w:rPr>
          <w:b/>
          <w:bCs/>
        </w:rPr>
        <w:t xml:space="preserve"> </w:t>
      </w:r>
      <w:r>
        <w:rPr>
          <w:b/>
          <w:bCs/>
        </w:rPr>
        <w:t xml:space="preserve">permutation-test methodology; include one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iMeta</w:t>
      </w:r>
      <w:r>
        <w:rPr>
          <w:b/>
          <w:bCs/>
        </w:rPr>
        <w:t xml:space="preserve"> </w:t>
      </w:r>
      <w:r>
        <w:rPr>
          <w:b/>
          <w:bCs/>
        </w:rPr>
        <w:t xml:space="preserve">/ BIG-CAS ecosystem</w:t>
      </w:r>
      <w:r>
        <w:rPr>
          <w:b/>
          <w:bCs/>
        </w:rPr>
        <w:t xml:space="preserve"> </w:t>
      </w:r>
      <w:r>
        <w:rPr>
          <w:b/>
          <w:bCs/>
        </w:rPr>
        <w:t xml:space="preserve">such as Liu Yong-Xin (iMeta Editor; ImageGP 2 senior author); consider</w:t>
      </w:r>
      <w:r>
        <w:rPr>
          <w:b/>
          <w:bCs/>
        </w:rPr>
        <w:t xml:space="preserve"> </w:t>
      </w:r>
      <w:r>
        <w:rPr>
          <w:b/>
          <w:bCs/>
        </w:rPr>
        <w:t xml:space="preserve">Eren AM (Anvi’o), Bolyen E (QIIME2), Chong J (MicrobiomeAnalyst), or</w:t>
      </w:r>
      <w:r>
        <w:rPr>
          <w:b/>
          <w:bCs/>
        </w:rPr>
        <w:t xml:space="preserve"> </w:t>
      </w:r>
      <w:r>
        <w:rPr>
          <w:b/>
          <w:bCs/>
        </w:rPr>
        <w:t xml:space="preserve">relevant scope.</w:t>
      </w:r>
      <w:r>
        <w:t xml:space="preserve">]</w:t>
      </w:r>
    </w:p>
    <w:p>
      <w:pPr>
        <w:pStyle w:val="FirstParagraph"/>
      </w:pPr>
      <w:r>
        <w:t xml:space="preserve">We also welcome the editors to suggest other reviewers we may not have</w:t>
      </w:r>
      <w:r>
        <w:t xml:space="preserve"> </w:t>
      </w:r>
      <w:r>
        <w:t xml:space="preserve">considered.</w:t>
      </w:r>
    </w:p>
    <w:bookmarkEnd w:id="14"/>
    <w:bookmarkStart w:id="15" w:name="X1ad86884055d0e27559fdd4c99d628d08c63aae"/>
    <w:p>
      <w:pPr>
        <w:pStyle w:val="Heading2"/>
      </w:pPr>
      <w:r>
        <w:t xml:space="preserve">Author contributions and corresponding author</w: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TBD: author contributions list (CRediT taxonomy) + indicate corresponding</w:t>
      </w:r>
      <w:r>
        <w:rPr>
          <w:b/>
          <w:bCs/>
        </w:rPr>
        <w:t xml:space="preserve"> </w:t>
      </w:r>
      <w:r>
        <w:rPr>
          <w:b/>
          <w:bCs/>
        </w:rPr>
        <w:t xml:space="preserve">author; email and ORCID.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considering our submission. We look forward to your editorial</w:t>
      </w:r>
      <w:r>
        <w:t xml:space="preserve"> </w:t>
      </w:r>
      <w:r>
        <w:t xml:space="preserve">decision and to peer review.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Corresponding Author Name</w:t>
      </w:r>
      <w:r>
        <w:t xml:space="preserve">]</w:t>
      </w:r>
      <w:r>
        <w:t xml:space="preserve"> </w:t>
      </w:r>
      <w:r>
        <w:t xml:space="preserve">[</w:t>
      </w:r>
      <w:r>
        <w:rPr>
          <w:b/>
          <w:bCs/>
        </w:rPr>
        <w:t xml:space="preserve">Affiliation</w:t>
      </w:r>
      <w:r>
        <w:t xml:space="preserve">]</w:t>
      </w:r>
      <w:r>
        <w:t xml:space="preserve"> </w:t>
      </w:r>
      <w:r>
        <w:t xml:space="preserve">[</w:t>
      </w:r>
      <w:r>
        <w:rPr>
          <w:b/>
          <w:bCs/>
        </w:rPr>
        <w:t xml:space="preserve">Email</w:t>
      </w:r>
      <w:r>
        <w:t xml:space="preserve">] | [</w:t>
      </w:r>
      <w:r>
        <w:rPr>
          <w:b/>
          <w:bCs/>
        </w:rPr>
        <w:t xml:space="preserve">ORCID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Word count</w:t>
      </w:r>
      <w:r>
        <w:t xml:space="preserve">: ~700 words (target ~600-700 for cover letter; trim during</w:t>
      </w:r>
      <w:r>
        <w:t xml:space="preserve"> </w:t>
      </w:r>
      <w:r>
        <w:t xml:space="preserve">copyedit pass if needed)</w:t>
      </w:r>
    </w:p>
    <w:p>
      <w:pPr>
        <w:pStyle w:val="BodyText"/>
      </w:pPr>
      <w:r>
        <w:rPr>
          <w:b/>
          <w:bCs/>
        </w:rPr>
        <w:t xml:space="preserve">Reference numbers</w:t>
      </w:r>
      <w:r>
        <w:t xml:space="preserve"> </w:t>
      </w:r>
      <w:r>
        <w:t xml:space="preserve">above reference the manuscript’s §7 bibliography.</w:t>
      </w:r>
    </w:p>
    <w:p>
      <w:pPr>
        <w:pStyle w:val="BodyText"/>
      </w:pPr>
      <w:r>
        <w:rPr>
          <w:b/>
          <w:bCs/>
        </w:rPr>
        <w:t xml:space="preserve">v0.10 draft note</w:t>
      </w:r>
      <w:r>
        <w:t xml:space="preserve">: Cover letter targets</w:t>
      </w:r>
      <w:r>
        <w:t xml:space="preserve"> </w:t>
      </w:r>
      <w:r>
        <w:rPr>
          <w:i/>
          <w:iCs/>
        </w:rPr>
        <w:t xml:space="preserve">GPB</w:t>
      </w:r>
      <w:r>
        <w:t xml:space="preserve"> </w:t>
      </w:r>
      <w:r>
        <w:t xml:space="preserve">submission after bioRxiv DOI</w:t>
      </w:r>
      <w:r>
        <w:t xml:space="preserve"> </w:t>
      </w:r>
      <w:r>
        <w:t xml:space="preserve">is live. Fill in dated/named placeholders + cited reviewer list before</w:t>
      </w:r>
      <w:r>
        <w:t xml:space="preserve"> </w:t>
      </w:r>
      <w:r>
        <w:t xml:space="preserve">submission. bioRxiv preprint accepts cover letter as optional metadata only;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GPB</w:t>
      </w:r>
      <w:r>
        <w:t xml:space="preserve"> </w:t>
      </w:r>
      <w:r>
        <w:t xml:space="preserve">submission system will require this letter at portal step 4 / 5.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2026-05-15T03:15:30Z</dcterms:created>
  <dcterms:modified xsi:type="dcterms:W3CDTF">2026-05-15T03:15:30Z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