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112.png" ContentType="image/png"/>
  <Override PartName="/word/media/rId106.png" ContentType="image/png"/>
  <Override PartName="/word/media/rId109.png" ContentType="image/png"/>
  <Override PartName="/word/media/rId85.png" ContentType="image/png"/>
  <Override PartName="/word/media/rId97.png" ContentType="image/png"/>
  <Override PartName="/word/media/rId100.png" ContentType="image/png"/>
  <Override PartName="/word/media/rId88.png" ContentType="image/png"/>
  <Override PartName="/word/media/rId91.png" ContentType="image/png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0" w:name="Xedc92f62f2ecdd273312be69dc06e393173fef7"/>
    <w:p>
      <w:pPr>
        <w:pStyle w:val="Heading1"/>
      </w:pPr>
      <w:r>
        <w:t xml:space="preserve">A hierarchical weight-of-evidence MCDA framework for descriptive-to-causal microbiome-environment association inference, with reference implementation EnvMeta</w:t>
      </w:r>
    </w:p>
    <w:p>
      <w:pPr>
        <w:pStyle w:val="FirstParagraph"/>
      </w:pPr>
      <w:r>
        <w:rPr>
          <w:b/>
          <w:bCs/>
        </w:rPr>
        <w:t xml:space="preserve">Authors</w:t>
      </w:r>
      <w:r>
        <w:t xml:space="preserve">: redlizzxy¹, [Supervisor TBD]¹</w:t>
      </w:r>
    </w:p>
    <w:p>
      <w:pPr>
        <w:pStyle w:val="BodyText"/>
      </w:pPr>
      <w:r>
        <w:rPr>
          <w:b/>
          <w:bCs/>
        </w:rPr>
        <w:t xml:space="preserve">Affiliations</w:t>
      </w:r>
      <w:r>
        <w:t xml:space="preserve">:</w:t>
      </w:r>
      <w:r>
        <w:t xml:space="preserve"> </w:t>
      </w:r>
      <w:r>
        <w:t xml:space="preserve">¹ State Key Laboratory of Geological Processes and Mineral Resources,</w:t>
      </w:r>
      <w:r>
        <w:t xml:space="preserve"> </w:t>
      </w:r>
      <w:r>
        <w:t xml:space="preserve">School of Earth Sciences and Resources, China University of Geosciences</w:t>
      </w:r>
      <w:r>
        <w:t xml:space="preserve"> </w:t>
      </w:r>
      <w:r>
        <w:t xml:space="preserve">(Beijing), Beijing 100083, China.</w:t>
      </w:r>
    </w:p>
    <w:p>
      <w:pPr>
        <w:pStyle w:val="BodyText"/>
      </w:pPr>
      <w:r>
        <w:rPr>
          <w:b/>
          <w:bCs/>
        </w:rPr>
        <w:t xml:space="preserve">Corresponding author</w:t>
      </w:r>
      <w:r>
        <w:t xml:space="preserve">: redlizzxy (AeDmacdonalddempseytR@muslim.com)</w:t>
      </w:r>
      <w:r>
        <w:t xml:space="preserve"> </w:t>
      </w:r>
      <w:r>
        <w:t xml:space="preserve">[TBD: replace with supervisor’s email per CUGB convention]</w:t>
      </w:r>
    </w:p>
    <w:p>
      <w:pPr>
        <w:pStyle w:val="BodyText"/>
      </w:pPr>
      <w:r>
        <w:rPr>
          <w:b/>
          <w:bCs/>
        </w:rPr>
        <w:t xml:space="preserve">Manuscript draft v0.10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Target</w:t>
      </w:r>
      <w:r>
        <w:t xml:space="preserve">:</w:t>
      </w:r>
      <w:r>
        <w:t xml:space="preserve"> </w:t>
      </w:r>
      <w:r>
        <w:rPr>
          <w:i/>
          <w:iCs/>
        </w:rPr>
        <w:t xml:space="preserve">Genomics, Proteomics &amp; Bioinformatics</w:t>
      </w:r>
      <w:r>
        <w:t xml:space="preserve"> </w:t>
      </w:r>
      <w:r>
        <w:t xml:space="preserve">(GPB) Methods |</w:t>
      </w:r>
      <w:r>
        <w:t xml:space="preserve"> </w:t>
      </w:r>
      <w:r>
        <w:rPr>
          <w:b/>
          <w:bCs/>
        </w:rPr>
        <w:t xml:space="preserve">Date</w:t>
      </w:r>
      <w:r>
        <w:t xml:space="preserve">: 2026-05-14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First draft compiled from</w:t>
      </w:r>
      <w:r>
        <w:t xml:space="preserve"> </w:t>
      </w:r>
      <w:r>
        <w:rPr>
          <w:rStyle w:val="VerbatimChar"/>
        </w:rPr>
        <w:t xml:space="preserve">outline_gpb.md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bioRxiv preprint</w:t>
      </w:r>
      <w:r>
        <w:rPr>
          <w:b/>
          <w:bCs/>
        </w:rPr>
        <w:t xml:space="preserve"> </w:t>
      </w:r>
      <w:r>
        <w:rPr>
          <w:b/>
          <w:bCs/>
        </w:rPr>
        <w:t xml:space="preserve">submission</w:t>
      </w:r>
      <w:r>
        <w:t xml:space="preserve">. GPB-targeted reframing complete; algorithmic Methods §4 / §4.0</w:t>
      </w:r>
      <w:r>
        <w:t xml:space="preserve"> </w:t>
      </w:r>
      <w:r>
        <w:t xml:space="preserve">algorithm pseudocode complete. Benchmark §3.9 Table T2 partial (Krona only;</w:t>
      </w:r>
      <w:r>
        <w:t xml:space="preserve"> </w:t>
      </w:r>
      <w:r>
        <w:t xml:space="preserve">Anvi’o input-format mismatch documented; MicrobiomeAnalyst pending manual</w:t>
      </w:r>
      <w:r>
        <w:t xml:space="preserve"> </w:t>
      </w:r>
      <w:r>
        <w:t xml:space="preserve">Web execution). 6 figures: F8 (performance) already final; F1/F3/F5/F6/F7/F10</w:t>
      </w:r>
      <w:r>
        <w:t xml:space="preserve"> </w:t>
      </w:r>
      <w:r>
        <w:t xml:space="preserve">placeholders pending visual finalization. bioRxiv accepts caveated TBD with</w:t>
      </w:r>
      <w:r>
        <w:t xml:space="preserve"> </w:t>
      </w:r>
      <w:r>
        <w:t xml:space="preserve">clear methodology — manuscript is ready for preprint submission once figure</w:t>
      </w:r>
      <w:r>
        <w:t xml:space="preserve"> </w:t>
      </w:r>
      <w:r>
        <w:t xml:space="preserve">PNGs are placed.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Translating MAG-level KEGG-orthology data into mechanism-evaluable associations</w:t>
      </w:r>
      <w:r>
        <w:t xml:space="preserve"> </w:t>
      </w:r>
      <w:r>
        <w:t xml:space="preserve">between microbial pathways and environmental factors requires formal</w:t>
      </w:r>
      <w:r>
        <w:t xml:space="preserve"> </w:t>
      </w:r>
      <w:r>
        <w:t xml:space="preserve">weight-of-evidence assessment rather than narrative tabulation. Despite advances</w:t>
      </w:r>
      <w:r>
        <w:t xml:space="preserve"> </w:t>
      </w:r>
      <w:r>
        <w:t xml:space="preserve">in microbiome visualization tools, no widely-adopted algorithmic framework</w:t>
      </w:r>
      <w:r>
        <w:t xml:space="preserve"> </w:t>
      </w:r>
      <w:r>
        <w:t xml:space="preserve">integrates compositional debiasing, permutation-based null calibration,</w:t>
      </w:r>
      <w:r>
        <w:t xml:space="preserve"> </w:t>
      </w:r>
      <w:r>
        <w:t xml:space="preserve">multi-criteria decision analysis (MCDA), and Bradford-Hill weight-of-evidence</w:t>
      </w:r>
      <w:r>
        <w:t xml:space="preserve"> </w:t>
      </w:r>
      <w:r>
        <w:t xml:space="preserve">reasoning in a way that exposes its intermediate quantities for reproducibility</w:t>
      </w:r>
      <w:r>
        <w:t xml:space="preserve"> </w:t>
      </w:r>
      <w:r>
        <w:t xml:space="preserve">audit. We present a</w:t>
      </w:r>
      <w:r>
        <w:t xml:space="preserve"> </w:t>
      </w:r>
      <w:r>
        <w:rPr>
          <w:b/>
          <w:bCs/>
        </w:rPr>
        <w:t xml:space="preserve">hierarchical weight-of-evidence MCDA framework</w:t>
      </w:r>
      <w:r>
        <w:t xml:space="preserve"> </w:t>
      </w:r>
      <w:r>
        <w:t xml:space="preserve">operationalizing this need through three algorithmic stages —</w:t>
      </w:r>
      <w:r>
        <w:t xml:space="preserve"> </w:t>
      </w:r>
      <w:r>
        <w:rPr>
          <w:b/>
          <w:bCs/>
        </w:rPr>
        <w:t xml:space="preserve">S1</w:t>
      </w:r>
      <w:r>
        <w:t xml:space="preserve"> </w:t>
      </w:r>
      <w:r>
        <w:t xml:space="preserve">compositional debiasing with three-threshold top-1 contributor sensitivity</w:t>
      </w:r>
      <w:r>
        <w:t xml:space="preserve"> </w:t>
      </w:r>
      <w:r>
        <w:t xml:space="preserve">scanning,</w:t>
      </w:r>
      <w:r>
        <w:t xml:space="preserve"> </w:t>
      </w:r>
      <w:r>
        <w:rPr>
          <w:b/>
          <w:bCs/>
        </w:rPr>
        <w:t xml:space="preserve">S2</w:t>
      </w:r>
      <w:r>
        <w:t xml:space="preserve"> </w:t>
      </w:r>
      <w:r>
        <w:t xml:space="preserve">Fisher 999-permutation null calibration with five-tier</w:t>
      </w:r>
      <w:r>
        <w:t xml:space="preserve"> </w:t>
      </w:r>
      <w:r>
        <w:t xml:space="preserve">confidence labels,</w:t>
      </w:r>
      <w:r>
        <w:t xml:space="preserve"> </w:t>
      </w:r>
      <w:r>
        <w:rPr>
          <w:b/>
          <w:bCs/>
        </w:rPr>
        <w:t xml:space="preserve">S3</w:t>
      </w:r>
      <w:r>
        <w:t xml:space="preserve"> </w:t>
      </w:r>
      <w:r>
        <w:t xml:space="preserve">weighted-sum scoring with Saltelli ±20% one-at-a-time</w:t>
      </w:r>
      <w:r>
        <w:t xml:space="preserve"> </w:t>
      </w:r>
      <w:r>
        <w:t xml:space="preserve">weight robustness and Bradford-Hill required-veto reasoning — exposing five</w:t>
      </w:r>
      <w:r>
        <w:t xml:space="preserve"> </w:t>
      </w:r>
      <w:r>
        <w:t xml:space="preserve">auditable diagnostic quantities per claim (score, weight-robust score, null_p,</w:t>
      </w:r>
      <w:r>
        <w:t xml:space="preserve"> </w:t>
      </w:r>
      <w:r>
        <w:t xml:space="preserve">evidence count, confidence label). The framework operationalizes against a</w:t>
      </w:r>
      <w:r>
        <w:t xml:space="preserve"> </w:t>
      </w:r>
      <w:r>
        <w:rPr>
          <w:b/>
          <w:bCs/>
        </w:rPr>
        <w:t xml:space="preserve">six-claim YAML hypothesis schema</w:t>
      </w:r>
      <w:r>
        <w:t xml:space="preserve"> </w:t>
      </w:r>
      <w:r>
        <w:t xml:space="preserve">covering pathway activity, cross-pathway</w:t>
      </w:r>
      <w:r>
        <w:t xml:space="preserve"> </w:t>
      </w:r>
      <w:r>
        <w:t xml:space="preserve">coupling, environmental correlation, keystone-MAG identification, group</w:t>
      </w:r>
      <w:r>
        <w:t xml:space="preserve"> </w:t>
      </w:r>
      <w:r>
        <w:t xml:space="preserve">contrast, and Popperian pathway-inactive falsification. We provide an</w:t>
      </w:r>
      <w:r>
        <w:t xml:space="preserve"> </w:t>
      </w:r>
      <w:r>
        <w:t xml:space="preserve">open-source reference implementation</w:t>
      </w:r>
      <w:r>
        <w:t xml:space="preserve"> </w:t>
      </w:r>
      <w:r>
        <w:rPr>
          <w:b/>
          <w:bCs/>
        </w:rPr>
        <w:t xml:space="preserve">EnvMeta</w:t>
      </w:r>
      <w:r>
        <w:t xml:space="preserve"> </w:t>
      </w:r>
      <w:r>
        <w:t xml:space="preserve">— a Streamlit-based platform</w:t>
      </w:r>
      <w:r>
        <w:t xml:space="preserve"> </w:t>
      </w:r>
      <w:r>
        <w:t xml:space="preserve">that wraps the framework with fourteen publication-quality visualizations,</w:t>
      </w:r>
      <w:r>
        <w:t xml:space="preserve"> </w:t>
      </w:r>
      <w:r>
        <w:t xml:space="preserve">automated biogeochemical cycle inference for As/N/S/Fe (4 elements × 18</w:t>
      </w:r>
      <w:r>
        <w:t xml:space="preserve"> </w:t>
      </w:r>
      <w:r>
        <w:t xml:space="preserve">pathways × 57 KOs), Fork Bundle reproducibility packaging, and standalone</w:t>
      </w:r>
      <w:r>
        <w:t xml:space="preserve"> </w:t>
      </w:r>
      <w:r>
        <w:t xml:space="preserve">offline interactive HTML supplementary material (~400 KB) embedding the</w:t>
      </w:r>
      <w:r>
        <w:t xml:space="preserve"> </w:t>
      </w:r>
      <w:r>
        <w:t xml:space="preserve">analysis as the SI itself. The scoring engine is calibrated across four</w:t>
      </w:r>
      <w:r>
        <w:t xml:space="preserve"> </w:t>
      </w:r>
      <w:r>
        <w:t xml:space="preserve">published metagenomic datasets (Wei 2024 paddy soil; Liu 2023 cold seep;</w:t>
      </w:r>
      <w:r>
        <w:t xml:space="preserve"> </w:t>
      </w:r>
      <w:r>
        <w:t xml:space="preserve">Grettenberger 2021 acid mine drainage; Ayala 2020 Iberian Pyrite Belt pit</w:t>
      </w:r>
      <w:r>
        <w:t xml:space="preserve"> </w:t>
      </w:r>
      <w:r>
        <w:t xml:space="preserve">lake), all returning STRONG labels under fixed default thresholds, and</w:t>
      </w:r>
      <w:r>
        <w:t xml:space="preserve"> </w:t>
      </w:r>
      <w:r>
        <w:t xml:space="preserve">discriminated against domain-mismatched stress claims through cross-element</w:t>
      </w:r>
      <w:r>
        <w:t xml:space="preserve"> </w:t>
      </w:r>
      <w:r>
        <w:t xml:space="preserve">pathway-target perturbation (0/20 STRONG retention in the most narrowly-focused</w:t>
      </w:r>
      <w:r>
        <w:t xml:space="preserve"> </w:t>
      </w:r>
      <w:r>
        <w:t xml:space="preserve">dataset) and 5-threshold sensitivity sweeps. A 58-cell performance benchmark</w:t>
      </w:r>
      <w:r>
        <w:t xml:space="preserve"> </w:t>
      </w:r>
      <w:r>
        <w:t xml:space="preserve">establishes runtime ≤ 120 s and peak memory ≤ 10 MB for typical PhD-scale</w:t>
      </w:r>
      <w:r>
        <w:t xml:space="preserve"> </w:t>
      </w:r>
      <w:r>
        <w:t xml:space="preserve">metagenomes (200-1000 MAGs × 30-100 samples × 4-6 env factors) on a standard</w:t>
      </w:r>
      <w:r>
        <w:t xml:space="preserve"> </w:t>
      </w:r>
      <w:r>
        <w:t xml:space="preserve">laptop. EnvMeta is freely available at https://github.com/redlizzxy/EnvMeta</w:t>
      </w:r>
      <w:r>
        <w:t xml:space="preserve"> </w:t>
      </w:r>
      <w:r>
        <w:t xml:space="preserve">with online demo at https://envmeta-3xjhcu7lv2gkj4pjtk8gsb.streamlit.app/.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: microbiome bioinformatics; metagenome-assembled genome (MAG);</w:t>
      </w:r>
      <w:r>
        <w:t xml:space="preserve"> </w:t>
      </w:r>
      <w:r>
        <w:t xml:space="preserve">weight-of-evidence; multi-criteria decision analysis (MCDA); permutation test;</w:t>
      </w:r>
      <w:r>
        <w:t xml:space="preserve"> </w:t>
      </w:r>
      <w:r>
        <w:t xml:space="preserve">biogeochemical cycle inference; KEGG orthology; reproducible research</w:t>
      </w:r>
    </w:p>
    <w:p>
      <w:r>
        <w:pict>
          <v:rect style="width:0;height:1.5pt" o:hralign="center" o:hrstd="t" o:hr="t"/>
        </w:pict>
      </w:r>
    </w:p>
    <w:bookmarkEnd w:id="9"/>
    <w:bookmarkStart w:id="10" w:name="highlights"/>
    <w:p>
      <w:pPr>
        <w:pStyle w:val="Heading2"/>
      </w:pPr>
      <w:r>
        <w:t xml:space="preserve">Highlights</w:t>
      </w:r>
    </w:p>
    <w:p>
      <w:pPr>
        <w:numPr>
          <w:ilvl w:val="0"/>
          <w:numId w:val="1001"/>
        </w:numPr>
      </w:pPr>
      <w:r>
        <w:t xml:space="preserve">A hierarchical weight-of-evidence MCDA framework integrating S1 compositional</w:t>
      </w:r>
      <w:r>
        <w:t xml:space="preserve"> </w:t>
      </w:r>
      <w:r>
        <w:t xml:space="preserve">debiasing, S2 999-permutation null calibration, S3 weighted-sum scoring with</w:t>
      </w:r>
      <w:r>
        <w:t xml:space="preserve"> </w:t>
      </w:r>
      <w:r>
        <w:t xml:space="preserve">Saltelli ±20% one-at-a-time weight robustness, and Bradford-Hill required-veto</w:t>
      </w:r>
      <w:r>
        <w:t xml:space="preserve"> </w:t>
      </w:r>
      <w:r>
        <w:t xml:space="preserve">reasoning, exposing five auditable diagnostic quantities per claim.</w:t>
      </w:r>
    </w:p>
    <w:p>
      <w:pPr>
        <w:numPr>
          <w:ilvl w:val="0"/>
          <w:numId w:val="1001"/>
        </w:numPr>
      </w:pPr>
      <w:r>
        <w:t xml:space="preserve">A six-claim YAML hypothesis schema operationalizing the framework against</w:t>
      </w:r>
      <w:r>
        <w:t xml:space="preserve"> </w:t>
      </w:r>
      <w:r>
        <w:t xml:space="preserve">MAG-level KEGG-orthology data, calibrated across four published metagenomic</w:t>
      </w:r>
      <w:r>
        <w:t xml:space="preserve"> </w:t>
      </w:r>
      <w:r>
        <w:t xml:space="preserve">datasets (all STRONG under fixed defaults) and discriminated against</w:t>
      </w:r>
      <w:r>
        <w:t xml:space="preserve"> </w:t>
      </w:r>
      <w:r>
        <w:t xml:space="preserve">domain-mismatched stress claims via cross-element pathway-target perturbation.</w:t>
      </w:r>
    </w:p>
    <w:p>
      <w:pPr>
        <w:numPr>
          <w:ilvl w:val="0"/>
          <w:numId w:val="1001"/>
        </w:numPr>
      </w:pPr>
      <w:r>
        <w:t xml:space="preserve">Open-source reference implementation EnvMeta — a Streamlit platform with</w:t>
      </w:r>
      <w:r>
        <w:t xml:space="preserve"> </w:t>
      </w:r>
      <w:r>
        <w:t xml:space="preserve">fourteen publication-quality visualizations, KEGG-driven biogeochemical-cycle</w:t>
      </w:r>
      <w:r>
        <w:t xml:space="preserve"> </w:t>
      </w:r>
      <w:r>
        <w:t xml:space="preserve">inference (4 elements × 18 pathways × 57 KOs), Fork Bundle reproducibility</w:t>
      </w:r>
      <w:r>
        <w:t xml:space="preserve"> </w:t>
      </w:r>
      <w:r>
        <w:t xml:space="preserve">packaging, and standalone offline interactive HTML supplementary material</w:t>
      </w:r>
      <w:r>
        <w:t xml:space="preserve"> </w:t>
      </w:r>
      <w:r>
        <w:t xml:space="preserve">(~400 KB) embedding the analysis itself.</w:t>
      </w:r>
    </w:p>
    <w:p>
      <w:r>
        <w:pict>
          <v:rect style="width:0;height:1.5pt" o:hralign="center" o:hrstd="t" o:hr="t"/>
        </w:pict>
      </w:r>
    </w:p>
    <w:bookmarkEnd w:id="10"/>
    <w:bookmarkStart w:id="15" w:name="introduction"/>
    <w:p>
      <w:pPr>
        <w:pStyle w:val="Heading2"/>
      </w:pPr>
      <w:r>
        <w:t xml:space="preserve">1. Introduction</w:t>
      </w:r>
    </w:p>
    <w:bookmarkStart w:id="11" w:name="X75e49b3c37e44fc8d0b429c5b4aa7438aa640f1"/>
    <w:p>
      <w:pPr>
        <w:pStyle w:val="Heading3"/>
      </w:pPr>
      <w:r>
        <w:t xml:space="preserve">1.1 Methodological gap in microbiome causality inference</w:t>
      </w:r>
    </w:p>
    <w:p>
      <w:pPr>
        <w:pStyle w:val="FirstParagraph"/>
      </w:pPr>
      <w:r>
        <w:t xml:space="preserve">Inferring causal associations between microbial pathways and environmental</w:t>
      </w:r>
      <w:r>
        <w:t xml:space="preserve"> </w:t>
      </w:r>
      <w:r>
        <w:t xml:space="preserve">factors from observational metagenomic data is a core methodological challenge</w:t>
      </w:r>
      <w:r>
        <w:t xml:space="preserve"> </w:t>
      </w:r>
      <w:r>
        <w:t xml:space="preserve">in microbiome science. Modern metagenome-assembled genome (MAG) studies</w:t>
      </w:r>
      <w:r>
        <w:t xml:space="preserve"> </w:t>
      </w:r>
      <w:r>
        <w:t xml:space="preserve">routinely catalogue thousands of genomes per sample annotated with</w:t>
      </w:r>
      <w:r>
        <w:t xml:space="preserve"> </w:t>
      </w:r>
      <w:r>
        <w:t xml:space="preserve">KEGG-orthology (KO) functional capacity, yet translating these data tables</w:t>
      </w:r>
      <w:r>
        <w:t xml:space="preserve"> </w:t>
      </w:r>
      <w:r>
        <w:t xml:space="preserve">into mechanism-evaluable associations remains predominantly a narrative</w:t>
      </w:r>
      <w:r>
        <w:t xml:space="preserve"> </w:t>
      </w:r>
      <w:r>
        <w:t xml:space="preserve">reasoning task: researchers tabulate KO presence × abundance × environmental</w:t>
      </w:r>
      <w:r>
        <w:t xml:space="preserve"> </w:t>
      </w:r>
      <w:r>
        <w:t xml:space="preserve">covariates, examine patterns by inspection, and assemble discussion-section</w:t>
      </w:r>
      <w:r>
        <w:t xml:space="preserve"> </w:t>
      </w:r>
      <w:r>
        <w:t xml:space="preserve">arguments. This workflow leaves three sources of evidential uncertainty</w:t>
      </w:r>
      <w:r>
        <w:t xml:space="preserve"> </w:t>
      </w:r>
      <w:r>
        <w:t xml:space="preserve">implicit and unaudited: (i) compositional bias from sequencing-depth</w:t>
      </w:r>
      <w:r>
        <w:t xml:space="preserve"> </w:t>
      </w:r>
      <w:r>
        <w:t xml:space="preserve">normalization choices that distort relative-abundance interpretation; (ii)</w:t>
      </w:r>
      <w:r>
        <w:t xml:space="preserve"> </w:t>
      </w:r>
      <w:r>
        <w:t xml:space="preserve">chance correlations under multiple-comparison conditions, especially in</w:t>
      </w:r>
      <w:r>
        <w:t xml:space="preserve"> </w:t>
      </w:r>
      <w:r>
        <w:t xml:space="preserve">small-N MAG cohorts where pathway-completeness scores can pass by-eye</w:t>
      </w:r>
      <w:r>
        <w:t xml:space="preserve"> </w:t>
      </w:r>
      <w:r>
        <w:t xml:space="preserve">thresholds without controlling for null-distribution mass; and (iii) the</w:t>
      </w:r>
      <w:r>
        <w:t xml:space="preserve"> </w:t>
      </w:r>
      <w:r>
        <w:t xml:space="preserve">analyst’s discretionary weighting of when to upgrade a</w:t>
      </w:r>
      <w:r>
        <w:t xml:space="preserve"> </w:t>
      </w:r>
      <w:r>
        <w:t xml:space="preserve">“consistent with”</w:t>
      </w:r>
      <w:r>
        <w:t xml:space="preserve"> </w:t>
      </w:r>
      <w:r>
        <w:t xml:space="preserve">pattern to a</w:t>
      </w:r>
      <w:r>
        <w:t xml:space="preserve"> </w:t>
      </w:r>
      <w:r>
        <w:t xml:space="preserve">“supports the hypothesis”</w:t>
      </w:r>
      <w:r>
        <w:t xml:space="preserve"> </w:t>
      </w:r>
      <w:r>
        <w:t xml:space="preserve">claim. Formal weight-of-evidence</w:t>
      </w:r>
      <w:r>
        <w:t xml:space="preserve"> </w:t>
      </w:r>
      <w:r>
        <w:t xml:space="preserve">frameworks address each of these in environmental risk assessment [1-3],</w:t>
      </w:r>
      <w:r>
        <w:t xml:space="preserve"> </w:t>
      </w:r>
      <w:r>
        <w:t xml:space="preserve">but no widely-adopted operationalization exists for the microbial-pathway ×</w:t>
      </w:r>
      <w:r>
        <w:t xml:space="preserve"> </w:t>
      </w:r>
      <w:r>
        <w:t xml:space="preserve">environmental-factor inference setting central to environmental metagenomics.</w:t>
      </w:r>
    </w:p>
    <w:bookmarkEnd w:id="11"/>
    <w:bookmarkStart w:id="12" w:name="Xe63e05c5a603a1744b2602d6ec90682f7feb345"/>
    <w:p>
      <w:pPr>
        <w:pStyle w:val="Heading3"/>
      </w:pPr>
      <w:r>
        <w:t xml:space="preserve">1.2 Existing methodological components and tools landscape</w:t>
      </w:r>
    </w:p>
    <w:p>
      <w:pPr>
        <w:pStyle w:val="FirstParagraph"/>
      </w:pPr>
      <w:r>
        <w:t xml:space="preserve">Several method classes partially address these uncertainties. Compositional</w:t>
      </w:r>
      <w:r>
        <w:t xml:space="preserve"> </w:t>
      </w:r>
      <w:r>
        <w:t xml:space="preserve">data analysis (CoDA: Aitchison-family methods such as CLR/ILR transforms;</w:t>
      </w:r>
      <w:r>
        <w:t xml:space="preserve"> </w:t>
      </w:r>
      <w:r>
        <w:t xml:space="preserve">[4,5]) explicitly handles sequencing-depth normalization distortions.</w:t>
      </w:r>
      <w:r>
        <w:t xml:space="preserve"> </w:t>
      </w:r>
      <w:r>
        <w:t xml:space="preserve">Permutation-based null calibration is standard in differential-abundance and</w:t>
      </w:r>
      <w:r>
        <w:t xml:space="preserve"> </w:t>
      </w:r>
      <w:r>
        <w:t xml:space="preserve">ordination statistics (PERMANOVA [6]; LEfSe [7]), and Fisher-style permutation</w:t>
      </w:r>
      <w:r>
        <w:t xml:space="preserve"> </w:t>
      </w:r>
      <w:r>
        <w:t xml:space="preserve">underpins multiple ecology and microbiome test packages. Multi-criteria</w:t>
      </w:r>
      <w:r>
        <w:t xml:space="preserve"> </w:t>
      </w:r>
      <w:r>
        <w:t xml:space="preserve">decision analysis frameworks (MCDA [8]) and Bradford-Hill weight-of-evidence</w:t>
      </w:r>
      <w:r>
        <w:t xml:space="preserve"> </w:t>
      </w:r>
      <w:r>
        <w:t xml:space="preserve">reasoning [9,10] provide formal vocabularies for combining heterogeneous</w:t>
      </w:r>
      <w:r>
        <w:t xml:space="preserve"> </w:t>
      </w:r>
      <w:r>
        <w:t xml:space="preserve">evidence streams, with required-veto and sensitivity-analysis tooling</w:t>
      </w:r>
      <w:r>
        <w:t xml:space="preserve"> </w:t>
      </w:r>
      <w:r>
        <w:t xml:space="preserve">well-established in environmental and clinical risk assessment [1-3,11].</w:t>
      </w:r>
    </w:p>
    <w:p>
      <w:pPr>
        <w:pStyle w:val="BodyText"/>
      </w:pPr>
      <w:r>
        <w:t xml:space="preserve">On the visualization and pipeline side, Anvi’o [10] offers MAG-centric</w:t>
      </w:r>
      <w:r>
        <w:t xml:space="preserve"> </w:t>
      </w:r>
      <w:r>
        <w:t xml:space="preserve">exploratory analysis and pangenome workflows; QIIME2 [10] and the phyloseq</w:t>
      </w:r>
      <w:r>
        <w:t xml:space="preserve"> </w:t>
      </w:r>
      <w:r>
        <w:t xml:space="preserve">/ R ecosystem [10] cover community statistics; recent integrative web</w:t>
      </w:r>
      <w:r>
        <w:t xml:space="preserve"> </w:t>
      </w:r>
      <w:r>
        <w:t xml:space="preserve">platforms including ImageGP 2 [10], Sangerbox [10], TOmicsVis [10], Wekemo</w:t>
      </w:r>
      <w:r>
        <w:t xml:space="preserve"> </w:t>
      </w:r>
      <w:r>
        <w:t xml:space="preserve">Bioincloud [10], iMetaLab Suite [10], iNAP [10], and Majorbio Cloud [10]</w:t>
      </w:r>
      <w:r>
        <w:t xml:space="preserve"> </w:t>
      </w:r>
      <w:r>
        <w:t xml:space="preserve">emphasize plot reproduction across general biomedical and microbiome</w:t>
      </w:r>
      <w:r>
        <w:t xml:space="preserve"> </w:t>
      </w:r>
      <w:r>
        <w:t xml:space="preserve">workflows; and Krona [10], iTOL [10], and Cytoscape [10] provide specialized</w:t>
      </w:r>
      <w:r>
        <w:t xml:space="preserve"> </w:t>
      </w:r>
      <w:r>
        <w:t xml:space="preserve">hierarchies, phylogenies, and networks respectively.</w:t>
      </w:r>
    </w:p>
    <w:p>
      <w:pPr>
        <w:pStyle w:val="BodyText"/>
      </w:pPr>
      <w:r>
        <w:t xml:space="preserve">Yet for the specific operational setting of MAG-level KEGG-resolution</w:t>
      </w:r>
      <w:r>
        <w:t xml:space="preserve"> </w:t>
      </w:r>
      <w:r>
        <w:t xml:space="preserve">microbiome-environment association inference, these components remain</w:t>
      </w:r>
      <w:r>
        <w:t xml:space="preserve"> </w:t>
      </w:r>
      <w:r>
        <w:rPr>
          <w:b/>
          <w:bCs/>
        </w:rPr>
        <w:t xml:space="preserve">isolated rather than integrated</w:t>
      </w:r>
      <w:r>
        <w:t xml:space="preserve">. None of the tools above wraps S1</w:t>
      </w:r>
      <w:r>
        <w:t xml:space="preserve"> </w:t>
      </w:r>
      <w:r>
        <w:t xml:space="preserve">compositional debiasing + S2 permutation null calibration + S3 MCDA scoring</w:t>
      </w:r>
      <w:r>
        <w:t xml:space="preserve"> </w:t>
      </w:r>
      <w:r>
        <w:t xml:space="preserve">+ Bradford-Hill required-veto + sensitivity / null-distribution diagnostics</w:t>
      </w:r>
      <w:r>
        <w:t xml:space="preserve"> </w:t>
      </w:r>
      <w:r>
        <w:t xml:space="preserve">into a unified, formally documented, and reproducibility-auditable framework.</w:t>
      </w:r>
      <w:r>
        <w:t xml:space="preserve"> </w:t>
      </w:r>
      <w:r>
        <w:t xml:space="preserve">The gap leaves environmental-microbiology researchers either writing one-off</w:t>
      </w:r>
      <w:r>
        <w:t xml:space="preserve"> </w:t>
      </w:r>
      <w:r>
        <w:t xml:space="preserve">statistical scripts at every iteration or defaulting to narrative reasoning</w:t>
      </w:r>
      <w:r>
        <w:t xml:space="preserve"> </w:t>
      </w:r>
      <w:r>
        <w:t xml:space="preserve">that obscures the three evidential uncertainties named in §1.1.</w:t>
      </w:r>
    </w:p>
    <w:bookmarkEnd w:id="12"/>
    <w:bookmarkStart w:id="13" w:name="framework-reference-implementation"/>
    <w:p>
      <w:pPr>
        <w:pStyle w:val="Heading3"/>
      </w:pPr>
      <w:r>
        <w:t xml:space="preserve">1.3 Framework + reference implementation</w:t>
      </w:r>
    </w:p>
    <w:p>
      <w:pPr>
        <w:pStyle w:val="FirstParagraph"/>
      </w:pPr>
      <w:r>
        <w:t xml:space="preserve">We present a</w:t>
      </w:r>
      <w:r>
        <w:t xml:space="preserve"> </w:t>
      </w:r>
      <w:r>
        <w:rPr>
          <w:b/>
          <w:bCs/>
        </w:rPr>
        <w:t xml:space="preserve">hierarchical weight-of-evidence MCDA framework</w:t>
      </w:r>
      <w:r>
        <w:t xml:space="preserve"> </w:t>
      </w:r>
      <w:r>
        <w:t xml:space="preserve">for</w:t>
      </w:r>
      <w:r>
        <w:t xml:space="preserve"> </w:t>
      </w:r>
      <w:r>
        <w:t xml:space="preserve">microbiome-environment association inference, with open-source reference</w:t>
      </w:r>
      <w:r>
        <w:t xml:space="preserve"> </w:t>
      </w:r>
      <w:r>
        <w:t xml:space="preserve">implementation</w:t>
      </w:r>
      <w:r>
        <w:t xml:space="preserve"> </w:t>
      </w:r>
      <w:r>
        <w:rPr>
          <w:b/>
          <w:bCs/>
        </w:rPr>
        <w:t xml:space="preserve">EnvMeta</w:t>
      </w:r>
      <w:r>
        <w:t xml:space="preserve">. The framework decomposes into three algorithmic</w:t>
      </w:r>
      <w:r>
        <w:t xml:space="preserve"> </w:t>
      </w:r>
      <w:r>
        <w:t xml:space="preserve">stages —</w:t>
      </w:r>
      <w:r>
        <w:t xml:space="preserve"> </w:t>
      </w:r>
      <w:r>
        <w:rPr>
          <w:b/>
          <w:bCs/>
        </w:rPr>
        <w:t xml:space="preserve">S1</w:t>
      </w:r>
      <w:r>
        <w:t xml:space="preserve"> </w:t>
      </w:r>
      <w:r>
        <w:t xml:space="preserve">compositional debiasing with three-threshold top-1 contributor</w:t>
      </w:r>
      <w:r>
        <w:t xml:space="preserve"> </w:t>
      </w:r>
      <w:r>
        <w:t xml:space="preserve">sensitivity scanning,</w:t>
      </w:r>
      <w:r>
        <w:t xml:space="preserve"> </w:t>
      </w:r>
      <w:r>
        <w:rPr>
          <w:b/>
          <w:bCs/>
        </w:rPr>
        <w:t xml:space="preserve">S2</w:t>
      </w:r>
      <w:r>
        <w:t xml:space="preserve"> </w:t>
      </w:r>
      <w:r>
        <w:t xml:space="preserve">999-permutation Fisher null calibration with</w:t>
      </w:r>
      <w:r>
        <w:t xml:space="preserve"> </w:t>
      </w:r>
      <w:r>
        <w:t xml:space="preserve">five-tier confidence labels, and</w:t>
      </w:r>
      <w:r>
        <w:t xml:space="preserve"> </w:t>
      </w:r>
      <w:r>
        <w:rPr>
          <w:b/>
          <w:bCs/>
        </w:rPr>
        <w:t xml:space="preserve">S3</w:t>
      </w:r>
      <w:r>
        <w:t xml:space="preserve"> </w:t>
      </w:r>
      <w:r>
        <w:t xml:space="preserve">weighted-sum scoring with Saltelli</w:t>
      </w:r>
      <w:r>
        <w:t xml:space="preserve"> </w:t>
      </w:r>
      <w:r>
        <w:t xml:space="preserve">±20% one-at-a-time weight robustness and Bradford-Hill required-veto reasoning</w:t>
      </w:r>
      <w:r>
        <w:t xml:space="preserve"> </w:t>
      </w:r>
      <w:r>
        <w:t xml:space="preserve">— producing</w:t>
      </w:r>
      <w:r>
        <w:t xml:space="preserve"> </w:t>
      </w:r>
      <w:r>
        <w:rPr>
          <w:b/>
          <w:bCs/>
        </w:rPr>
        <w:t xml:space="preserve">five auditable diagnostic quantities</w:t>
      </w:r>
      <w:r>
        <w:t xml:space="preserve"> </w:t>
      </w:r>
      <w:r>
        <w:t xml:space="preserve">per claim (score,</w:t>
      </w:r>
      <w:r>
        <w:t xml:space="preserve"> </w:t>
      </w:r>
      <w:r>
        <w:t xml:space="preserve">weight-robust score, null_p, evidence count, confidence label) that downstream</w:t>
      </w:r>
      <w:r>
        <w:t xml:space="preserve"> </w:t>
      </w:r>
      <w:r>
        <w:t xml:space="preserve">readers and reviewers can inspect independently. The framework operationalizes</w:t>
      </w:r>
      <w:r>
        <w:t xml:space="preserve"> </w:t>
      </w:r>
      <w:r>
        <w:t xml:space="preserve">against a</w:t>
      </w:r>
      <w:r>
        <w:t xml:space="preserve"> </w:t>
      </w:r>
      <w:r>
        <w:rPr>
          <w:b/>
          <w:bCs/>
        </w:rPr>
        <w:t xml:space="preserve">six-claim YAML hypothesis schema</w:t>
      </w:r>
      <w:r>
        <w:t xml:space="preserve"> </w:t>
      </w:r>
      <w:r>
        <w:t xml:space="preserve">covering pathway activity,</w:t>
      </w:r>
      <w:r>
        <w:t xml:space="preserve"> </w:t>
      </w:r>
      <w:r>
        <w:t xml:space="preserve">cross-pathway coupling, environmental correlation, keystone-MAG identification,</w:t>
      </w:r>
      <w:r>
        <w:t xml:space="preserve"> </w:t>
      </w:r>
      <w:r>
        <w:t xml:space="preserve">group contrast, and Popperian pathway-inactive falsification. EnvMeta wraps the</w:t>
      </w:r>
      <w:r>
        <w:t xml:space="preserve"> </w:t>
      </w:r>
      <w:r>
        <w:t xml:space="preserve">framework behind a Streamlit graphical user interface that adds fourteen</w:t>
      </w:r>
      <w:r>
        <w:t xml:space="preserve"> </w:t>
      </w:r>
      <w:r>
        <w:t xml:space="preserve">publication-quality visualizations spanning reads-based community statistics</w:t>
      </w:r>
      <w:r>
        <w:t xml:space="preserve"> </w:t>
      </w:r>
      <w:r>
        <w:t xml:space="preserve">(α/β-diversity, PCoA, RDA, LEfSe, log2FC, taxonomy stackplots, KEGG heatmaps)</w:t>
      </w:r>
      <w:r>
        <w:t xml:space="preserve"> </w:t>
      </w:r>
      <w:r>
        <w:t xml:space="preserve">and MAG-based exploration (quality control, abundance heatmaps, pathway</w:t>
      </w:r>
      <w:r>
        <w:t xml:space="preserve"> </w:t>
      </w:r>
      <w:r>
        <w:t xml:space="preserve">completeness, gene profiles, network preparation), a KEGG-driven</w:t>
      </w:r>
      <w:r>
        <w:t xml:space="preserve"> </w:t>
      </w:r>
      <w:r>
        <w:t xml:space="preserve">biogeochemical-cycle knowledge base (4 elements × 18 pathways × 57 KOs), Fork</w:t>
      </w:r>
      <w:r>
        <w:t xml:space="preserve"> </w:t>
      </w:r>
      <w:r>
        <w:t xml:space="preserve">Bundle reproducibility packaging, and standalone offline interactive HTML</w:t>
      </w:r>
      <w:r>
        <w:t xml:space="preserve"> </w:t>
      </w:r>
      <w:r>
        <w:t xml:space="preserve">supplementary material (~400 KB) that embeds the analysis as the SI itself.</w:t>
      </w:r>
      <w:r>
        <w:t xml:space="preserve"> </w:t>
      </w:r>
      <w:r>
        <w:t xml:space="preserve">Five design principles — domain-neutral inference, user-supplied knowledge,</w:t>
      </w:r>
      <w:r>
        <w:t xml:space="preserve"> </w:t>
      </w:r>
      <w:r>
        <w:t xml:space="preserve">fully offline operation, fork-rather-than-community distribution, and</w:t>
      </w:r>
      <w:r>
        <w:t xml:space="preserve"> </w:t>
      </w:r>
      <w:r>
        <w:t xml:space="preserve">descriptive (not causal) outputs — narrow the operational scope and position</w:t>
      </w:r>
      <w:r>
        <w:t xml:space="preserve"> </w:t>
      </w:r>
      <w:r>
        <w:t xml:space="preserve">EnvMeta as a microbiome-specific instance of a general framework.</w:t>
      </w:r>
    </w:p>
    <w:bookmarkEnd w:id="13"/>
    <w:bookmarkStart w:id="14" w:name="specific-contributions"/>
    <w:p>
      <w:pPr>
        <w:pStyle w:val="Heading3"/>
      </w:pPr>
      <w:r>
        <w:t xml:space="preserve">1.4 Specific contributions</w:t>
      </w:r>
    </w:p>
    <w:p>
      <w:pPr>
        <w:pStyle w:val="FirstParagraph"/>
      </w:pPr>
      <w:r>
        <w:t xml:space="preserve">Three contributions follow:</w:t>
      </w:r>
    </w:p>
    <w:p>
      <w:pPr>
        <w:numPr>
          <w:ilvl w:val="0"/>
          <w:numId w:val="1002"/>
        </w:numPr>
      </w:pPr>
      <w:r>
        <w:t xml:space="preserve">We</w:t>
      </w:r>
      <w:r>
        <w:t xml:space="preserve"> </w:t>
      </w:r>
      <w:r>
        <w:rPr>
          <w:b/>
          <w:bCs/>
        </w:rPr>
        <w:t xml:space="preserve">formalize a hierarchical weight-of-evidence MCDA framework</w:t>
      </w:r>
      <w:r>
        <w:t xml:space="preserve"> </w:t>
      </w:r>
      <w:r>
        <w:t xml:space="preserve">for</w:t>
      </w:r>
      <w:r>
        <w:t xml:space="preserve"> </w:t>
      </w:r>
      <w:r>
        <w:t xml:space="preserve">descriptive-to-causal microbiome-environment association inference,</w:t>
      </w:r>
      <w:r>
        <w:t xml:space="preserve"> </w:t>
      </w:r>
      <w:r>
        <w:t xml:space="preserve">integrating S1 compositional debiasing, S2 999-permutation null</w:t>
      </w:r>
      <w:r>
        <w:t xml:space="preserve"> </w:t>
      </w:r>
      <w:r>
        <w:t xml:space="preserve">calibration, and S3 MCDA scoring with Saltelli ±20% weight robustness</w:t>
      </w:r>
      <w:r>
        <w:t xml:space="preserve"> </w:t>
      </w:r>
      <w:r>
        <w:t xml:space="preserve">and Bradford-Hill required-veto reasoning into a unified procedure</w:t>
      </w:r>
      <w:r>
        <w:t xml:space="preserve"> </w:t>
      </w:r>
      <w:r>
        <w:t xml:space="preserve">exposing five auditable diagnostic quantities per claim. Default</w:t>
      </w:r>
      <w:r>
        <w:t xml:space="preserve"> </w:t>
      </w:r>
      <w:r>
        <w:t xml:space="preserve">thresholds are pre-registered with cryptographic anchoring (OpenTimestamps</w:t>
      </w:r>
      <w:r>
        <w:t xml:space="preserve"> </w:t>
      </w:r>
      <w:r>
        <w:t xml:space="preserve">[10]) and grounded in conventional clinical-epidemiology and</w:t>
      </w:r>
      <w:r>
        <w:t xml:space="preserve"> </w:t>
      </w:r>
      <w:r>
        <w:t xml:space="preserve">risk-assessment literature.</w:t>
      </w:r>
    </w:p>
    <w:p>
      <w:pPr>
        <w:numPr>
          <w:ilvl w:val="0"/>
          <w:numId w:val="1002"/>
        </w:numPr>
      </w:pPr>
      <w:r>
        <w:t xml:space="preserve">We</w:t>
      </w:r>
      <w:r>
        <w:t xml:space="preserve"> </w:t>
      </w:r>
      <w:r>
        <w:rPr>
          <w:b/>
          <w:bCs/>
        </w:rPr>
        <w:t xml:space="preserve">calibrate the framework</w:t>
      </w:r>
      <w:r>
        <w:t xml:space="preserve"> </w:t>
      </w:r>
      <w:r>
        <w:t xml:space="preserve">against four published metagenomic</w:t>
      </w:r>
      <w:r>
        <w:t xml:space="preserve"> </w:t>
      </w:r>
      <w:r>
        <w:t xml:space="preserve">datasets [26-29], all returning STRONG labels under fixed default</w:t>
      </w:r>
      <w:r>
        <w:t xml:space="preserve"> </w:t>
      </w:r>
      <w:r>
        <w:t xml:space="preserve">thresholds, and stress-test discrimination power through three</w:t>
      </w:r>
      <w:r>
        <w:t xml:space="preserve"> </w:t>
      </w:r>
      <w:r>
        <w:t xml:space="preserve">claim-class perturbations (reversed direction, cross-topic,</w:t>
      </w:r>
      <w:r>
        <w:t xml:space="preserve"> </w:t>
      </w:r>
      <w:r>
        <w:rPr>
          <w:rStyle w:val="VerbatimChar"/>
        </w:rPr>
        <w:t xml:space="preserve">pathway_inactive</w:t>
      </w:r>
      <w:r>
        <w:t xml:space="preserve">) and within / cross-element pathway-target</w:t>
      </w:r>
      <w:r>
        <w:t xml:space="preserve"> </w:t>
      </w:r>
      <w:r>
        <w:t xml:space="preserve">perturbation (N = 20 per mode × 4 datasets), with cross-element</w:t>
      </w:r>
      <w:r>
        <w:t xml:space="preserve"> </w:t>
      </w:r>
      <w:r>
        <w:t xml:space="preserve">perturbation collapsing the most narrowly-focused dataset to 0/20</w:t>
      </w:r>
      <w:r>
        <w:t xml:space="preserve"> </w:t>
      </w:r>
      <w:r>
        <w:t xml:space="preserve">STRONG retention.</w:t>
      </w:r>
    </w:p>
    <w:p>
      <w:pPr>
        <w:numPr>
          <w:ilvl w:val="0"/>
          <w:numId w:val="1002"/>
        </w:numPr>
      </w:pPr>
      <w:r>
        <w:t xml:space="preserve">We provide an</w:t>
      </w:r>
      <w:r>
        <w:t xml:space="preserve"> </w:t>
      </w:r>
      <w:r>
        <w:rPr>
          <w:b/>
          <w:bCs/>
        </w:rPr>
        <w:t xml:space="preserve">open-source reference implementation, EnvMeta</w:t>
      </w:r>
      <w:r>
        <w:t xml:space="preserve">, that</w:t>
      </w:r>
      <w:r>
        <w:t xml:space="preserve"> </w:t>
      </w:r>
      <w:r>
        <w:t xml:space="preserve">operationalizes the framework with fourteen publication-quality</w:t>
      </w:r>
      <w:r>
        <w:t xml:space="preserve"> </w:t>
      </w:r>
      <w:r>
        <w:t xml:space="preserve">visualizations, automated biogeochemical-cycle inference, Fork Bundle</w:t>
      </w:r>
      <w:r>
        <w:t xml:space="preserve"> </w:t>
      </w:r>
      <w:r>
        <w:t xml:space="preserve">reproducibility packaging, and standalone offline interactive HTML</w:t>
      </w:r>
      <w:r>
        <w:t xml:space="preserve"> </w:t>
      </w:r>
      <w:r>
        <w:t xml:space="preserve">supplementary material.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34" w:name="results"/>
    <w:p>
      <w:pPr>
        <w:pStyle w:val="Heading2"/>
      </w:pPr>
      <w:r>
        <w:t xml:space="preserve">2. Results</w:t>
      </w:r>
    </w:p>
    <w:bookmarkStart w:id="16" w:name="framework-architecture-figure-1"/>
    <w:p>
      <w:pPr>
        <w:pStyle w:val="Heading3"/>
      </w:pPr>
      <w:r>
        <w:t xml:space="preserve">2.1 Framework architecture (Figure 1)</w:t>
      </w:r>
    </w:p>
    <w:p>
      <w:pPr>
        <w:pStyle w:val="FirstParagraph"/>
      </w:pPr>
      <w:r>
        <w:t xml:space="preserve">EnvMeta implements the hierarchical weight-of-evidence MCDA framework as a</w:t>
      </w:r>
      <w:r>
        <w:t xml:space="preserve"> </w:t>
      </w:r>
      <w:r>
        <w:t xml:space="preserve">five-tier architecture: (L1) the general inference engine performing S1</w:t>
      </w:r>
      <w:r>
        <w:t xml:space="preserve"> </w:t>
      </w:r>
      <w:r>
        <w:t xml:space="preserve">debiasing + S2 permutation + S3 MCDA scoring against any user-supplied</w:t>
      </w:r>
      <w:r>
        <w:t xml:space="preserve"> </w:t>
      </w:r>
      <w:r>
        <w:t xml:space="preserve">knowledge base and hypothesis YAML; (L2) the YAML hypothesis schema with</w:t>
      </w:r>
      <w:r>
        <w:t xml:space="preserve"> </w:t>
      </w:r>
      <w:r>
        <w:t xml:space="preserve">six claim types; (L3) a plugin architecture (post-publication priority) for</w:t>
      </w:r>
      <w:r>
        <w:t xml:space="preserve"> </w:t>
      </w:r>
      <w:r>
        <w:t xml:space="preserve">user-supplied Python analysis modules; (L4) Fork Bundle distribution packaging</w:t>
      </w:r>
      <w:r>
        <w:t xml:space="preserve"> </w:t>
      </w:r>
      <w:r>
        <w:t xml:space="preserve">KB + YAML + config + KEGG snapshot + sample data into a single zip</w:t>
      </w:r>
      <w:r>
        <w:t xml:space="preserve"> </w:t>
      </w:r>
      <w:r>
        <w:t xml:space="preserve">deliverable; and (L5) the KEGG-driven biogeochemical-cycle knowledge base</w:t>
      </w:r>
      <w:r>
        <w:t xml:space="preserve"> </w:t>
      </w:r>
      <w:r>
        <w:t xml:space="preserve">(KB v2.0: 4 elements × 18 pathways × 57 KO targets). A Streamlit GUI layer</w:t>
      </w:r>
      <w:r>
        <w:t xml:space="preserve"> </w:t>
      </w:r>
      <w:r>
        <w:t xml:space="preserve">wraps these tiers with a four-stage workflow — upload → auto-recognition →</w:t>
      </w:r>
      <w:r>
        <w:t xml:space="preserve"> </w:t>
      </w:r>
      <w:r>
        <w:t xml:space="preserve">parameter-tuned visualization → publication-quality export — supporting</w:t>
      </w:r>
      <w:r>
        <w:t xml:space="preserve"> </w:t>
      </w:r>
      <w:r>
        <w:t xml:space="preserve">both interactive exploration and reproducible synchronous .py script</w:t>
      </w:r>
      <w:r>
        <w:t xml:space="preserve"> </w:t>
      </w:r>
      <w:r>
        <w:t xml:space="preserve">generation per figure (Figure 1).</w:t>
      </w:r>
    </w:p>
    <w:p>
      <w:pPr>
        <w:pStyle w:val="BodyText"/>
      </w:pPr>
      <w:r>
        <w:t xml:space="preserve">[</w:t>
      </w:r>
      <w:r>
        <w:rPr>
          <w:b/>
          <w:bCs/>
        </w:rPr>
        <w:t xml:space="preserve">Figure 1</w:t>
      </w:r>
      <w:r>
        <w:t xml:space="preserve">: Five-tier framework architecture diagram. L1 inference engine</w:t>
      </w:r>
      <w:r>
        <w:t xml:space="preserve"> </w:t>
      </w:r>
      <w:r>
        <w:t xml:space="preserve">through L5 KEGG-driven KB; Streamlit GUI orchestration layer at top; data</w:t>
      </w:r>
      <w:r>
        <w:t xml:space="preserve"> </w:t>
      </w:r>
      <w:r>
        <w:t xml:space="preserve">flow arrows.]</w:t>
      </w:r>
    </w:p>
    <w:bookmarkEnd w:id="16"/>
    <w:bookmarkStart w:id="17" w:name="X6e306d773404246008f65363b39e0bbc362d411"/>
    <w:p>
      <w:pPr>
        <w:pStyle w:val="Heading3"/>
      </w:pPr>
      <w:r>
        <w:t xml:space="preserve">2.2 Fourteen publication-quality figures with GUI parameter tuning (Figure 2)</w:t>
      </w:r>
    </w:p>
    <w:p>
      <w:pPr>
        <w:pStyle w:val="FirstParagraph"/>
      </w:pPr>
      <w:r>
        <w:t xml:space="preserve">EnvMeta provides fourteen analysis figures spanning two categories: seven</w:t>
      </w:r>
      <w:r>
        <w:t xml:space="preserve"> </w:t>
      </w:r>
      <w:r>
        <w:t xml:space="preserve">reads-based community-statistics figures (taxonomy stackplots, α-diversity</w:t>
      </w:r>
      <w:r>
        <w:t xml:space="preserve"> </w:t>
      </w:r>
      <w:r>
        <w:t xml:space="preserve">boxplots, β-diversity PCoA, RDA, LEfSe, KEGG/KO heatmap, log2FC differential</w:t>
      </w:r>
      <w:r>
        <w:t xml:space="preserve"> </w:t>
      </w:r>
      <w:r>
        <w:t xml:space="preserve">abundance) and seven MAG-based exploration figures (quality report, MAG</w:t>
      </w:r>
      <w:r>
        <w:t xml:space="preserve"> </w:t>
      </w:r>
      <w:r>
        <w:t xml:space="preserve">abundance heatmap, pathway completeness, gene profile, network export for</w:t>
      </w:r>
      <w:r>
        <w:t xml:space="preserve"> </w:t>
      </w:r>
      <w:r>
        <w:t xml:space="preserve">Gephi/Cytoscape, biogeochemical cycle diagram, hypothesis scoring panel).</w:t>
      </w:r>
      <w:r>
        <w:t xml:space="preserve"> </w:t>
      </w:r>
      <w:r>
        <w:t xml:space="preserve">Each figure exposes 3-7 GUI-configurable parameters (color palette, axis</w:t>
      </w:r>
      <w:r>
        <w:t xml:space="preserve"> </w:t>
      </w:r>
      <w:r>
        <w:t xml:space="preserve">labels, font size, statistical filter thresholds, legend placement), and</w:t>
      </w:r>
      <w:r>
        <w:t xml:space="preserve"> </w:t>
      </w:r>
      <w:r>
        <w:t xml:space="preserve">parameter changes trigger real-time preview refresh. For every figure</w:t>
      </w:r>
      <w:r>
        <w:t xml:space="preserve"> </w:t>
      </w:r>
      <w:r>
        <w:t xml:space="preserve">generated, EnvMeta synchronously emits a runnable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reproduction script</w:t>
      </w:r>
      <w:r>
        <w:t xml:space="preserve"> </w:t>
      </w:r>
      <w:r>
        <w:t xml:space="preserve">that re-creates the exact figure with hard-coded parameter values, ensuring</w:t>
      </w:r>
      <w:r>
        <w:t xml:space="preserve"> </w:t>
      </w:r>
      <w:r>
        <w:t xml:space="preserve">that an exported result can be re-generated without the GUI. Compared to</w:t>
      </w:r>
      <w:r>
        <w:t xml:space="preserve"> </w:t>
      </w:r>
      <w:r>
        <w:t xml:space="preserve">hand-coded R/Python pipelines (typical 30-60 min from raw data to a single</w:t>
      </w:r>
      <w:r>
        <w:t xml:space="preserve"> </w:t>
      </w:r>
      <w:r>
        <w:t xml:space="preserve">publication-quality figure), the GUI-tuned workflow reduces single-figure</w:t>
      </w:r>
      <w:r>
        <w:t xml:space="preserve"> </w:t>
      </w:r>
      <w:r>
        <w:t xml:space="preserve">iteration time to 1-2 min (~30× speedup; Table 1 in</w:t>
      </w:r>
      <w:r>
        <w:t xml:space="preserve"> </w:t>
      </w:r>
      <w:r>
        <w:rPr>
          <w:rStyle w:val="VerbatimChar"/>
        </w:rPr>
        <w:t xml:space="preserve">time_comparison.md</w:t>
      </w:r>
      <w:r>
        <w:t xml:space="preserve">).</w:t>
      </w:r>
    </w:p>
    <w:p>
      <w:pPr>
        <w:pStyle w:val="BodyText"/>
      </w:pPr>
      <w:r>
        <w:t xml:space="preserve">[</w:t>
      </w:r>
      <w:r>
        <w:rPr>
          <w:b/>
          <w:bCs/>
        </w:rPr>
        <w:t xml:space="preserve">Figure 2</w:t>
      </w:r>
      <w:r>
        <w:t xml:space="preserve">: Four-panel composite. (A) Taxonomy stackplot with GUI parameter</w:t>
      </w:r>
      <w:r>
        <w:t xml:space="preserve"> </w:t>
      </w:r>
      <w:r>
        <w:t xml:space="preserve">panel; (B) PCoA with real-time parameter refresh; (C) MAG abundance heatmap</w:t>
      </w:r>
      <w:r>
        <w:t xml:space="preserve"> </w:t>
      </w:r>
      <w:r>
        <w:t xml:space="preserve">with 4-layer parameter panel; (D) Auto-generated .py reproduction script</w:t>
      </w:r>
      <w:r>
        <w:t xml:space="preserve"> </w:t>
      </w:r>
      <w:r>
        <w:t xml:space="preserve">snippet.]</w:t>
      </w:r>
    </w:p>
    <w:bookmarkEnd w:id="17"/>
    <w:bookmarkStart w:id="18" w:name="X7671e0eff6961677c40e9a5bee58258d3a7da87"/>
    <w:p>
      <w:pPr>
        <w:pStyle w:val="Heading3"/>
      </w:pPr>
      <w:r>
        <w:t xml:space="preserve">2.3 Biogeochemical-cycle inference algorithm (Figure 3 — core figure)</w:t>
      </w:r>
    </w:p>
    <w:p>
      <w:pPr>
        <w:pStyle w:val="FirstParagraph"/>
      </w:pPr>
      <w:r>
        <w:t xml:space="preserve">The cycle-inference module operationalizes the framework’s S1-S2-S3 pipeline</w:t>
      </w:r>
      <w:r>
        <w:t xml:space="preserve"> </w:t>
      </w:r>
      <w:r>
        <w:t xml:space="preserve">against the KEGG-driven KB.</w:t>
      </w:r>
      <w:r>
        <w:t xml:space="preserve"> </w:t>
      </w:r>
      <w:r>
        <w:rPr>
          <w:b/>
          <w:bCs/>
        </w:rPr>
        <w:t xml:space="preserve">S1</w:t>
      </w:r>
      <w:r>
        <w:t xml:space="preserve"> </w:t>
      </w:r>
      <w:r>
        <w:t xml:space="preserve">(compositional debiasing) applies CLR</w:t>
      </w:r>
      <w:r>
        <w:t xml:space="preserve"> </w:t>
      </w:r>
      <w:r>
        <w:t xml:space="preserve">transformation to abundance and scans three pathway-completeness thresholds</w:t>
      </w:r>
      <w:r>
        <w:t xml:space="preserve"> </w:t>
      </w:r>
      <w:r>
        <w:t xml:space="preserve">(τ ∈ {0.4, 0.5, 0.6}) to identify the top-1 contributing MAG per pathway,</w:t>
      </w:r>
      <w:r>
        <w:t xml:space="preserve"> </w:t>
      </w:r>
      <w:r>
        <w:t xml:space="preserve">recording per-pathway robustness (S1_sens = True if the same MAG tops all</w:t>
      </w:r>
      <w:r>
        <w:t xml:space="preserve"> </w:t>
      </w:r>
      <w:r>
        <w:t xml:space="preserve">three thresholds).</w:t>
      </w:r>
      <w:r>
        <w:t xml:space="preserve"> </w:t>
      </w:r>
      <w:r>
        <w:rPr>
          <w:b/>
          <w:bCs/>
        </w:rPr>
        <w:t xml:space="preserve">S2</w:t>
      </w:r>
      <w:r>
        <w:t xml:space="preserve"> </w:t>
      </w:r>
      <w:r>
        <w:t xml:space="preserve">(permutation null) computes Spearman correlations</w:t>
      </w:r>
      <w:r>
        <w:t xml:space="preserve"> </w:t>
      </w:r>
      <w:r>
        <w:t xml:space="preserve">between pathway completeness and each environmental factor, then performs</w:t>
      </w:r>
      <w:r>
        <w:t xml:space="preserve"> </w:t>
      </w:r>
      <w:r>
        <w:t xml:space="preserve">999 Fisher-style permutations to derive a permutation p-value (perm_p)</w:t>
      </w:r>
      <w:r>
        <w:t xml:space="preserve"> </w:t>
      </w:r>
      <w:r>
        <w:t xml:space="preserve">labeled into five confidence tiers (</w:t>
      </w:r>
      <w:r>
        <w:rPr>
          <w:rStyle w:val="VerbatimChar"/>
        </w:rPr>
        <w:t xml:space="preserve">strong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suggestive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weak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spurious?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).</w:t>
      </w:r>
      <w:r>
        <w:t xml:space="preserve"> </w:t>
      </w:r>
      <w:r>
        <w:rPr>
          <w:b/>
          <w:bCs/>
        </w:rPr>
        <w:t xml:space="preserve">S3</w:t>
      </w:r>
      <w:r>
        <w:t xml:space="preserve"> </w:t>
      </w:r>
      <w:r>
        <w:t xml:space="preserve">(MCDA scoring) combines outputs from S1</w:t>
      </w:r>
      <w:r>
        <w:t xml:space="preserve"> </w:t>
      </w:r>
      <w:r>
        <w:t xml:space="preserve">and S2 into per-claim five-tuple diagnostics via Bradford-Hill required-veto</w:t>
      </w:r>
      <w:r>
        <w:t xml:space="preserve"> </w:t>
      </w:r>
      <w:r>
        <w:t xml:space="preserve">reasoning and Saltelli ±20% weight sensitivity.</w:t>
      </w:r>
    </w:p>
    <w:p>
      <w:pPr>
        <w:pStyle w:val="BodyText"/>
      </w:pPr>
      <w:r>
        <w:t xml:space="preserve">The cycle diagram itself adopts a</w:t>
      </w:r>
      <w:r>
        <w:t xml:space="preserve"> </w:t>
      </w:r>
      <w:r>
        <w:rPr>
          <w:b/>
          <w:bCs/>
        </w:rPr>
        <w:t xml:space="preserve">Mockup 10 merged-cell layout</w:t>
      </w:r>
      <w:r>
        <w:t xml:space="preserve">: each</w:t>
      </w:r>
      <w:r>
        <w:t xml:space="preserve"> </w:t>
      </w:r>
      <w:r>
        <w:t xml:space="preserve">cell renders a</w:t>
      </w:r>
      <w:r>
        <w:t xml:space="preserve"> </w:t>
      </w:r>
      <w:r>
        <w:rPr>
          <w:rStyle w:val="VerbatimChar"/>
        </w:rPr>
        <w:t xml:space="preserve">substrate → gene → product</w:t>
      </w:r>
      <w:r>
        <w:t xml:space="preserve"> </w:t>
      </w:r>
      <w:r>
        <w:t xml:space="preserve">triplet, with cell color encoding</w:t>
      </w:r>
      <w:r>
        <w:t xml:space="preserve"> </w:t>
      </w:r>
      <w:r>
        <w:t xml:space="preserve">pathway type (oxidation / reduction / methylation / regulation) and cell</w:t>
      </w:r>
      <w:r>
        <w:t xml:space="preserve"> </w:t>
      </w:r>
      <w:r>
        <w:t xml:space="preserve">size encoding aggregate MAG contribution. Cross-element coupling is rendered</w:t>
      </w:r>
      <w:r>
        <w:t xml:space="preserve"> </w:t>
      </w:r>
      <w:r>
        <w:t xml:space="preserve">as dashed connectors between cells in adjacent element quadrants, with</w:t>
      </w:r>
      <w:r>
        <w:t xml:space="preserve"> </w:t>
      </w:r>
      <w:r>
        <w:t xml:space="preserve">chemical-species labels (e.g., As(III) ↔ S²⁻ → As₂S₃) anchored to the</w:t>
      </w:r>
      <w:r>
        <w:t xml:space="preserve"> </w:t>
      </w:r>
      <w:r>
        <w:t xml:space="preserve">specific contributing pathways rather than quadrant centers. The chemistry</w:t>
      </w:r>
      <w:r>
        <w:t xml:space="preserve"> </w:t>
      </w:r>
      <w:r>
        <w:t xml:space="preserve">of cross-element coupling is grounded in published reaction data: arsenic</w:t>
      </w:r>
      <w:r>
        <w:t xml:space="preserve"> </w:t>
      </w:r>
      <w:r>
        <w:t xml:space="preserve">trisulfide (orpiment) precipitation by</w:t>
      </w:r>
      <w:r>
        <w:t xml:space="preserve"> </w:t>
      </w:r>
      <w:r>
        <w:rPr>
          <w:i/>
          <w:iCs/>
        </w:rPr>
        <w:t xml:space="preserve">Desulfotomaculum auripigmentum</w:t>
      </w:r>
      <w:r>
        <w:t xml:space="preserve"> </w:t>
      </w:r>
      <w:r>
        <w:t xml:space="preserve">[10],</w:t>
      </w:r>
      <w:r>
        <w:t xml:space="preserve"> </w:t>
      </w:r>
      <w:r>
        <w:t xml:space="preserve">arsenic-iron sulfide co-precipitation [10], and sulfide-mediated arsenic</w:t>
      </w:r>
      <w:r>
        <w:t xml:space="preserve"> </w:t>
      </w:r>
      <w:r>
        <w:t xml:space="preserve">mobilization-immobilization equilibria [10].</w:t>
      </w:r>
    </w:p>
    <w:p>
      <w:pPr>
        <w:pStyle w:val="BodyText"/>
      </w:pPr>
      <w:r>
        <w:t xml:space="preserve">[</w:t>
      </w:r>
      <w:r>
        <w:rPr>
          <w:b/>
          <w:bCs/>
        </w:rPr>
        <w:t xml:space="preserve">Figure 3</w:t>
      </w:r>
      <w:r>
        <w:t xml:space="preserve">: Cycle inference algorithm flowchart. (A) S1 CLR + three-threshold</w:t>
      </w:r>
      <w:r>
        <w:t xml:space="preserve"> </w:t>
      </w:r>
      <w:r>
        <w:t xml:space="preserve">contributor scan; (B) S2 999-permutation Spearman null; (C) S3 MCDA scoring</w:t>
      </w:r>
      <w:r>
        <w:t xml:space="preserve"> </w:t>
      </w:r>
      <w:r>
        <w:t xml:space="preserve">with veto and weight sensitivity. (D) Mockup 10 cell layout: As / N / S / Fe</w:t>
      </w:r>
      <w:r>
        <w:t xml:space="preserve"> </w:t>
      </w:r>
      <w:r>
        <w:t xml:space="preserve">four-quadrant with cross-element chemistry labels.]</w:t>
      </w:r>
    </w:p>
    <w:bookmarkEnd w:id="18"/>
    <w:bookmarkStart w:id="22" w:name="X30445652b3c1c970cef4404deb96830cdba03ba"/>
    <w:p>
      <w:pPr>
        <w:pStyle w:val="Heading3"/>
      </w:pPr>
      <w:r>
        <w:t xml:space="preserve">2.4 YAML hypothesis scorer + four-arm calibration (Figure 4 + Table 1)</w:t>
      </w:r>
    </w:p>
    <w:p>
      <w:pPr>
        <w:pStyle w:val="FirstParagraph"/>
      </w:pPr>
      <w:r>
        <w:t xml:space="preserve">The framework’s S3 scoring engine consumes user-supplied YAML hypothesis</w:t>
      </w:r>
      <w:r>
        <w:t xml:space="preserve"> </w:t>
      </w:r>
      <w:r>
        <w:t xml:space="preserve">files defining one or more claims of six types:</w:t>
      </w:r>
      <w:r>
        <w:t xml:space="preserve"> </w:t>
      </w:r>
      <w:r>
        <w:rPr>
          <w:rStyle w:val="VerbatimChar"/>
        </w:rPr>
        <w:t xml:space="preserve">pathway_active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pathway_inactive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coupling_possible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env_correlation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keystone_in_pathway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group_contrast</w:t>
      </w:r>
      <w:r>
        <w:t xml:space="preserve">. Each claim has a weight, an</w:t>
      </w:r>
      <w:r>
        <w:t xml:space="preserve"> </w:t>
      </w:r>
      <w:r>
        <w:t xml:space="preserve">optional</w:t>
      </w:r>
      <w:r>
        <w:t xml:space="preserve"> </w:t>
      </w:r>
      <w:r>
        <w:rPr>
          <w:rStyle w:val="VerbatimChar"/>
        </w:rPr>
        <w:t xml:space="preserve">required: true</w:t>
      </w:r>
      <w:r>
        <w:t xml:space="preserve"> </w:t>
      </w:r>
      <w:r>
        <w:t xml:space="preserve">flag triggering Bradford-Hill veto, and</w:t>
      </w:r>
      <w:r>
        <w:t xml:space="preserve"> </w:t>
      </w:r>
      <w:r>
        <w:t xml:space="preserve">type-specific parameters (e.g., minimum dominance fraction, ρ threshold,</w:t>
      </w:r>
      <w:r>
        <w:t xml:space="preserve"> </w:t>
      </w:r>
      <w:r>
        <w:t xml:space="preserve">keystone genus). The engine evaluates each sub-claim against the</w:t>
      </w:r>
      <w:r>
        <w:t xml:space="preserve"> </w:t>
      </w:r>
      <w:r>
        <w:t xml:space="preserve">S1-debiased KO matrix and S2 correlation table, emits the five-tuple</w:t>
      </w:r>
      <w:r>
        <w:t xml:space="preserve"> </w:t>
      </w:r>
      <w:r>
        <w:t xml:space="preserve">diagnostic D(c), and assigns one of five labels (STRONG / SUGGESTIVE /</w:t>
      </w:r>
      <w:r>
        <w:t xml:space="preserve"> </w:t>
      </w:r>
      <w:r>
        <w:t xml:space="preserve">WEAK / INSUFFICIENT / UNKNOWN) via Equation 1 (Methods §4.0).</w:t>
      </w:r>
    </w:p>
    <w:p>
      <w:pPr>
        <w:pStyle w:val="BodyText"/>
      </w:pPr>
      <w:r>
        <w:t xml:space="preserve">We calibrated the scoring engine against</w:t>
      </w:r>
      <w:r>
        <w:t xml:space="preserve"> </w:t>
      </w:r>
      <w:r>
        <w:rPr>
          <w:b/>
          <w:bCs/>
        </w:rPr>
        <w:t xml:space="preserve">four published metagenomic</w:t>
      </w:r>
      <w:r>
        <w:rPr>
          <w:b/>
          <w:bCs/>
        </w:rPr>
        <w:t xml:space="preserve"> </w:t>
      </w:r>
      <w:r>
        <w:rPr>
          <w:b/>
          <w:bCs/>
        </w:rPr>
        <w:t xml:space="preserve">datasets</w:t>
      </w:r>
      <w:r>
        <w:t xml:space="preserve"> </w:t>
      </w:r>
      <w:r>
        <w:t xml:space="preserve">chosen to span environmental contexts and KEGG-annotation</w:t>
      </w:r>
      <w:r>
        <w:t xml:space="preserve"> </w:t>
      </w:r>
      <w:r>
        <w:t xml:space="preserve">breadths (Table 1). Wei et al. (2024) [10] paddy-soil arsenic methylation</w:t>
      </w:r>
      <w:r>
        <w:t xml:space="preserve"> </w:t>
      </w:r>
      <w:r>
        <w:t xml:space="preserve">(48 MAGs, ROCker-annotated, 14-KO target); Liu et al. (2023) [10] cold-seep</w:t>
      </w:r>
      <w:r>
        <w:t xml:space="preserve"> </w:t>
      </w:r>
      <w:r>
        <w:t xml:space="preserve">methane-arsenic coupling (1084 MAGs, DRAM-annotated, 8-KO arsenic target);</w:t>
      </w:r>
      <w:r>
        <w:t xml:space="preserve"> </w:t>
      </w:r>
      <w:r>
        <w:t xml:space="preserve">Grettenberger et al. (2021) [10] acid-mine drainage (29 MAGs,</w:t>
      </w:r>
      <w:r>
        <w:t xml:space="preserve"> </w:t>
      </w:r>
      <w:r>
        <w:t xml:space="preserve">METABOLIC-annotated, 35-KO target); Ayala et al. (2020) [10] Iberian Pyrite</w:t>
      </w:r>
      <w:r>
        <w:t xml:space="preserve"> </w:t>
      </w:r>
      <w:r>
        <w:t xml:space="preserve">Belt pit lake (13 MAGs, GhostKOALA re-annotated, 24-KO target). Each dataset</w:t>
      </w:r>
      <w:r>
        <w:t xml:space="preserve"> </w:t>
      </w:r>
      <w:r>
        <w:t xml:space="preserve">was scored against a pre-registered YAML hypothesis (commit hashes in</w:t>
      </w:r>
      <w:r>
        <w:t xml:space="preserve"> </w:t>
      </w:r>
      <w:hyperlink r:id="rId19">
        <w:r>
          <w:rPr>
            <w:rStyle w:val="VerbatimChar"/>
          </w:rPr>
          <w:t xml:space="preserve">paper/manuscript/timestamps/</w:t>
        </w:r>
      </w:hyperlink>
      <w:r>
        <w:t xml:space="preserve">) under fixed default</w:t>
      </w:r>
      <w:r>
        <w:t xml:space="preserve"> </w:t>
      </w:r>
      <w:r>
        <w:t xml:space="preserve">thresholds (θ_strong = 0.75, θ_suggestive = 0.40, α = 999 permutations).</w:t>
      </w:r>
      <w:r>
        <w:t xml:space="preserve"> </w:t>
      </w:r>
      <w:r>
        <w:rPr>
          <w:b/>
          <w:bCs/>
        </w:rPr>
        <w:t xml:space="preserve">All four KEGG-curated arms returned STRONG labels</w:t>
      </w:r>
      <w:r>
        <w:t xml:space="preserve"> </w:t>
      </w:r>
      <w:r>
        <w:t xml:space="preserve">(overall score = 1.000</w:t>
      </w:r>
      <w:r>
        <w:t xml:space="preserve"> </w:t>
      </w:r>
      <w:r>
        <w:t xml:space="preserve">across all four; Table 1). The framework’s discrimination power is</w:t>
      </w:r>
      <w:r>
        <w:t xml:space="preserve"> </w:t>
      </w:r>
      <w:r>
        <w:t xml:space="preserve">demonstrated by stress-test results detailed in §2.4.1 below.</w:t>
      </w:r>
    </w:p>
    <w:p>
      <w:pPr>
        <w:pStyle w:val="BodyText"/>
      </w:pPr>
      <w:r>
        <w:t xml:space="preserve">[</w:t>
      </w:r>
      <w:r>
        <w:rPr>
          <w:b/>
          <w:bCs/>
        </w:rPr>
        <w:t xml:space="preserve">Figure 4</w:t>
      </w:r>
      <w:r>
        <w:t xml:space="preserve">: Four-arm calibration panel. (A) Per-claim score distribution</w:t>
      </w:r>
      <w:r>
        <w:t xml:space="preserve"> </w:t>
      </w:r>
      <w:r>
        <w:t xml:space="preserve">across four datasets; (B) null_p distribution showing claim-shuffle</w:t>
      </w:r>
      <w:r>
        <w:t xml:space="preserve"> </w:t>
      </w:r>
      <w:r>
        <w:t xml:space="preserve">calibration; (C) Saltelli ±20% weight sensitivity bands; (D) Confidence</w:t>
      </w:r>
      <w:r>
        <w:t xml:space="preserve"> </w:t>
      </w:r>
      <w:r>
        <w:t xml:space="preserve">label assignment per Equation 1.]</w:t>
      </w:r>
    </w:p>
    <w:p>
      <w:pPr>
        <w:pStyle w:val="BodyText"/>
      </w:pPr>
      <w:r>
        <w:t xml:space="preserve">[</w:t>
      </w:r>
      <w:r>
        <w:rPr>
          <w:b/>
          <w:bCs/>
        </w:rPr>
        <w:t xml:space="preserve">Table 1</w:t>
      </w:r>
      <w:r>
        <w:t xml:space="preserve">: Four-Arm Calibration — datasets / annotation pipelines / KO</w:t>
      </w:r>
      <w:r>
        <w:t xml:space="preserve"> </w:t>
      </w:r>
      <w:r>
        <w:t xml:space="preserve">target counts / per-claim scores / overall scores / confidence labels.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paper/figures/paper3_hypothesis_scoring/table1_calibration.md</w:t>
      </w:r>
      <w:r>
        <w:t xml:space="preserve">]</w:t>
      </w:r>
    </w:p>
    <w:bookmarkStart w:id="20" w:name="stress-test-discrimination"/>
    <w:p>
      <w:pPr>
        <w:pStyle w:val="Heading4"/>
      </w:pPr>
      <w:r>
        <w:t xml:space="preserve">2.4.1 Stress test discrimination</w:t>
      </w:r>
    </w:p>
    <w:p>
      <w:pPr>
        <w:pStyle w:val="FirstParagraph"/>
      </w:pPr>
      <w:r>
        <w:t xml:space="preserve">Three claim-class stress tests probed the engine’s discrimination:</w:t>
      </w:r>
      <w:r>
        <w:t xml:space="preserve"> </w:t>
      </w:r>
      <w:r>
        <w:rPr>
          <w:b/>
          <w:bCs/>
        </w:rPr>
        <w:t xml:space="preserve">reversed-direction</w:t>
      </w:r>
      <w:r>
        <w:t xml:space="preserve"> </w:t>
      </w:r>
      <w:r>
        <w:t xml:space="preserve">(arsenite oxidation should dominate vs. observed</w:t>
      </w:r>
      <w:r>
        <w:t xml:space="preserve"> </w:t>
      </w:r>
      <w:r>
        <w:t xml:space="preserve">reduction-dominated),</w:t>
      </w:r>
      <w:r>
        <w:t xml:space="preserve"> </w:t>
      </w:r>
      <w:r>
        <w:rPr>
          <w:b/>
          <w:bCs/>
        </w:rPr>
        <w:t xml:space="preserve">cross-topic</w:t>
      </w:r>
      <w:r>
        <w:t xml:space="preserve"> </w:t>
      </w:r>
      <w:r>
        <w:t xml:space="preserve">(arsenate reduction should dominate</w:t>
      </w:r>
      <w:r>
        <w:t xml:space="preserve"> </w:t>
      </w:r>
      <w:r>
        <w:t xml:space="preserve">applied to non-arsenic datasets), and</w:t>
      </w:r>
      <w:r>
        <w:t xml:space="preserve"> </w:t>
      </w:r>
      <w:r>
        <w:rPr>
          <w:rStyle w:val="VerbatimChar"/>
          <w:b/>
          <w:bCs/>
        </w:rPr>
        <w:t xml:space="preserve">pathway_inactive</w:t>
      </w:r>
      <w:r>
        <w:t xml:space="preserve"> </w:t>
      </w:r>
      <w:r>
        <w:t xml:space="preserve">(Popperian</w:t>
      </w:r>
      <w:r>
        <w:t xml:space="preserve"> </w:t>
      </w:r>
      <w:r>
        <w:t xml:space="preserve">falsification of an explicitly absent pathway). Cross-topic mismatch is the</w:t>
      </w:r>
      <w:r>
        <w:t xml:space="preserve"> </w:t>
      </w:r>
      <w:r>
        <w:t xml:space="preserve">most informative single discriminator: applied to Grettenberger 2021 and</w:t>
      </w:r>
      <w:r>
        <w:t xml:space="preserve"> </w:t>
      </w:r>
      <w:r>
        <w:t xml:space="preserve">Ayala 2020 (both non-arsenic environments), the claim</w:t>
      </w:r>
      <w:r>
        <w:t xml:space="preserve"> </w:t>
      </w:r>
      <w:r>
        <w:t xml:space="preserve">“arsenate reduction</w:t>
      </w:r>
      <w:r>
        <w:t xml:space="preserve"> </w:t>
      </w:r>
      <w:r>
        <w:t xml:space="preserve">should dominate”</w:t>
      </w:r>
      <w:r>
        <w:t xml:space="preserve"> </w:t>
      </w:r>
      <w:r>
        <w:t xml:space="preserve">was correctly rejected with</w:t>
      </w:r>
      <w:r>
        <w:t xml:space="preserve"> </w:t>
      </w:r>
      <w:r>
        <w:rPr>
          <w:b/>
          <w:bCs/>
        </w:rPr>
        <w:t xml:space="preserve">n = 0 active MAGs in both</w:t>
      </w:r>
      <w:r>
        <w:t xml:space="preserve"> </w:t>
      </w:r>
      <w:r>
        <w:t xml:space="preserve">[28,29]. We treat this two-dataset rejection as</w:t>
      </w:r>
      <w:r>
        <w:t xml:space="preserve"> </w:t>
      </w:r>
      <w:r>
        <w:rPr>
          <w:b/>
          <w:bCs/>
        </w:rPr>
        <w:t xml:space="preserve">consistent with</w:t>
      </w:r>
      <w:r>
        <w:t xml:space="preserve"> </w:t>
      </w:r>
      <w:r>
        <w:t xml:space="preserve">— rather</w:t>
      </w:r>
      <w:r>
        <w:t xml:space="preserve"> </w:t>
      </w:r>
      <w:r>
        <w:t xml:space="preserve">than ironclad proof of — non-mechanical scoring uninfluenced by the universal</w:t>
      </w:r>
      <w:r>
        <w:t xml:space="preserve"> </w:t>
      </w:r>
      <w:r>
        <w:rPr>
          <w:i/>
          <w:iCs/>
        </w:rPr>
        <w:t xml:space="preserve">arsC</w:t>
      </w:r>
      <w:r>
        <w:t xml:space="preserve"> </w:t>
      </w:r>
      <w:r>
        <w:t xml:space="preserve">arsenate-reductase homolog [10]; absence in small datasets could partly</w:t>
      </w:r>
      <w:r>
        <w:t xml:space="preserve"> </w:t>
      </w:r>
      <w:r>
        <w:t xml:space="preserve">reflect sampling undercount, and a larger non-arsenic dataset (≥ 100 MAGs)</w:t>
      </w:r>
      <w:r>
        <w:t xml:space="preserve"> </w:t>
      </w:r>
      <w:r>
        <w:t xml:space="preserve">is identified as future work.</w:t>
      </w:r>
    </w:p>
    <w:p>
      <w:pPr>
        <w:pStyle w:val="BodyText"/>
      </w:pPr>
      <w:r>
        <w:t xml:space="preserve">In two of three datasets (Liu and Ayala), the reversed-direction claim</w:t>
      </w:r>
      <w:r>
        <w:t xml:space="preserve"> </w:t>
      </w:r>
      <w:r>
        <w:t xml:space="preserve">“arsenite oxidation should dominate”</w:t>
      </w:r>
      <w:r>
        <w:t xml:space="preserve"> </w:t>
      </w:r>
      <w:r>
        <w:t xml:space="preserve">returned satisfied because weak oxidizer</w:t>
      </w:r>
      <w:r>
        <w:t xml:space="preserve"> </w:t>
      </w:r>
      <w:r>
        <w:t xml:space="preserve">signals exceeded the binary</w:t>
      </w:r>
      <w:r>
        <w:t xml:space="preserve"> </w:t>
      </w:r>
      <w:r>
        <w:rPr>
          <w:rStyle w:val="VerbatimChar"/>
        </w:rPr>
        <w:t xml:space="preserve">mean_completeness ≥ 50%</w:t>
      </w:r>
      <w:r>
        <w:t xml:space="preserve"> </w:t>
      </w:r>
      <w:r>
        <w:t xml:space="preserve">threshold despite</w:t>
      </w:r>
      <w:r>
        <w:t xml:space="preserve"> </w:t>
      </w:r>
      <w:r>
        <w:t xml:space="preserve">total contributions 21-fold and 10-fold below the dominant reduction</w:t>
      </w:r>
      <w:r>
        <w:t xml:space="preserve"> </w:t>
      </w:r>
      <w:r>
        <w:t xml:space="preserve">pathway. This</w:t>
      </w:r>
      <w:r>
        <w:t xml:space="preserve"> </w:t>
      </w:r>
      <w:r>
        <w:rPr>
          <w:b/>
          <w:bCs/>
        </w:rPr>
        <w:t xml:space="preserve">binary-threshold reporting limitation</w:t>
      </w:r>
      <w:r>
        <w:t xml:space="preserve"> </w:t>
      </w:r>
      <w:r>
        <w:t xml:space="preserve">is addressed in</w:t>
      </w:r>
      <w:r>
        <w:t xml:space="preserve"> </w:t>
      </w:r>
      <w:r>
        <w:t xml:space="preserve">v0.9.x by the</w:t>
      </w:r>
      <w:r>
        <w:t xml:space="preserve"> </w:t>
      </w:r>
      <w:r>
        <w:rPr>
          <w:rStyle w:val="VerbatimChar"/>
        </w:rPr>
        <w:t xml:space="preserve">dominance_score = total_contribution / element_total</w:t>
      </w:r>
      <w:r>
        <w:t xml:space="preserve"> </w:t>
      </w:r>
      <w:r>
        <w:t xml:space="preserve">field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min_dominance_fraction = 0.20</w:t>
      </w:r>
      <w:r>
        <w:t xml:space="preserve"> </w:t>
      </w:r>
      <w:r>
        <w:t xml:space="preserve">(Equation 1, η_min_dominance).</w:t>
      </w:r>
      <w:r>
        <w:t xml:space="preserve"> </w:t>
      </w:r>
      <w:r>
        <w:t xml:space="preserve">A second pre-registered v2 YAML (</w:t>
      </w:r>
      <w:r>
        <w:rPr>
          <w:rStyle w:val="VerbatimChar"/>
        </w:rPr>
        <w:t xml:space="preserve">*_stress_v2.yaml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fdfae77</w:t>
      </w:r>
      <w:r>
        <w:t xml:space="preserve">) with</w:t>
      </w:r>
      <w:r>
        <w:t xml:space="preserve"> </w:t>
      </w:r>
      <w:r>
        <w:t xml:space="preserve">this threshold returned</w:t>
      </w:r>
      <w:r>
        <w:t xml:space="preserve"> </w:t>
      </w:r>
      <w:r>
        <w:rPr>
          <w:rStyle w:val="VerbatimChar"/>
        </w:rPr>
        <w:t xml:space="preserve">unsatisfied</w:t>
      </w:r>
      <w:r>
        <w:t xml:space="preserve"> </w:t>
      </w:r>
      <w:r>
        <w:t xml:space="preserve">for both datasets and reduced overall</w:t>
      </w:r>
      <w:r>
        <w:t xml:space="preserve"> </w:t>
      </w:r>
      <w:r>
        <w:t xml:space="preserve">scores to Liu 0.250 / Ayala 0.182 (Table 2 v2 column). We report v1 and v2</w:t>
      </w:r>
      <w:r>
        <w:t xml:space="preserve"> </w:t>
      </w:r>
      <w:r>
        <w:t xml:space="preserve">outcomes side by side and explicitly frame the v2 extension as an</w:t>
      </w:r>
      <w:r>
        <w:t xml:space="preserve"> </w:t>
      </w:r>
      <w:r>
        <w:rPr>
          <w:b/>
          <w:bCs/>
        </w:rPr>
        <w:t xml:space="preserve">engineering retrofit informed by v1 outputs</w:t>
      </w:r>
      <w:r>
        <w:t xml:space="preserve"> </w:t>
      </w:r>
      <w:r>
        <w:t xml:space="preserve">rather than independent</w:t>
      </w:r>
      <w:r>
        <w:t xml:space="preserve"> </w:t>
      </w:r>
      <w:r>
        <w:t xml:space="preserve">validation. Independent validation of</w:t>
      </w:r>
      <w:r>
        <w:t xml:space="preserve"> </w:t>
      </w:r>
      <w:r>
        <w:rPr>
          <w:rStyle w:val="VerbatimChar"/>
        </w:rPr>
        <w:t xml:space="preserve">dominance_score</w:t>
      </w:r>
      <w:r>
        <w:t xml:space="preserve"> </w:t>
      </w:r>
      <w:r>
        <w:t xml:space="preserve">on a fresh dataset</w:t>
      </w:r>
      <w:r>
        <w:t xml:space="preserve"> </w:t>
      </w:r>
      <w:r>
        <w:t xml:space="preserve">is identified as future work.</w:t>
      </w:r>
    </w:p>
    <w:bookmarkEnd w:id="20"/>
    <w:bookmarkStart w:id="21" w:name="cross-element-perturbation-analysis"/>
    <w:p>
      <w:pPr>
        <w:pStyle w:val="Heading4"/>
      </w:pPr>
      <w:r>
        <w:t xml:space="preserve">2.4.2 Cross-element perturbation analysis</w:t>
      </w:r>
    </w:p>
    <w:p>
      <w:pPr>
        <w:pStyle w:val="FirstParagraph"/>
      </w:pPr>
      <w:r>
        <w:t xml:space="preserve">To distinguish whether the four STRONG calibration outcomes reflect authors’</w:t>
      </w:r>
      <w:r>
        <w:t xml:space="preserve"> </w:t>
      </w:r>
      <w:r>
        <w:t xml:space="preserve">specific pre-data target choices or arise mechanically from KEGG annotation</w:t>
      </w:r>
      <w:r>
        <w:t xml:space="preserve"> </w:t>
      </w:r>
      <w:r>
        <w:t xml:space="preserve">breadth, we perturbed every</w:t>
      </w:r>
      <w:r>
        <w:t xml:space="preserve"> </w:t>
      </w:r>
      <w:r>
        <w:rPr>
          <w:rStyle w:val="VerbatimChar"/>
        </w:rPr>
        <w:t xml:space="preserve">params.pathway</w:t>
      </w:r>
      <w:r>
        <w:t xml:space="preserve"> </w:t>
      </w:r>
      <w:r>
        <w:t xml:space="preserve">field across the three external</w:t>
      </w:r>
      <w:r>
        <w:t xml:space="preserve"> </w:t>
      </w:r>
      <w:r>
        <w:t xml:space="preserve">calibration YAMLs (Liu 2023, Grettenberger 2021, Ayala 2020) and rescored</w:t>
      </w:r>
      <w:r>
        <w:t xml:space="preserve"> </w:t>
      </w:r>
      <w:r>
        <w:t xml:space="preserve">under default thresholds (Methods §4.7). Two perturbation modes were applied:</w:t>
      </w:r>
      <w:r>
        <w:t xml:space="preserve"> </w:t>
      </w:r>
      <w:r>
        <w:t xml:space="preserve">within-element (random alternative pathway from the same KB element) and</w:t>
      </w:r>
      <w:r>
        <w:t xml:space="preserve"> </w:t>
      </w:r>
      <w:r>
        <w:t xml:space="preserve">cross-element (random pathway from a different KB element); N=20 per mode</w:t>
      </w:r>
      <w:r>
        <w:t xml:space="preserve"> </w:t>
      </w:r>
      <w:r>
        <w:t xml:space="preserve">per dataset.</w:t>
      </w:r>
      <w:r>
        <w:t xml:space="preserve"> </w:t>
      </w:r>
      <w:r>
        <w:rPr>
          <w:b/>
          <w:bCs/>
        </w:rPr>
        <w:t xml:space="preserve">Cross-element control is strongly discriminating</w:t>
      </w:r>
      <w:r>
        <w:t xml:space="preserve">: Liu 2023,</w:t>
      </w:r>
      <w:r>
        <w:t xml:space="preserve"> </w:t>
      </w:r>
      <w:r>
        <w:t xml:space="preserve">the most narrowly As-focused dataset, retains STRONG in</w:t>
      </w:r>
      <w:r>
        <w:t xml:space="preserve"> </w:t>
      </w:r>
      <w:r>
        <w:rPr>
          <w:b/>
          <w:bCs/>
        </w:rPr>
        <w:t xml:space="preserve">0/20</w:t>
      </w:r>
      <w:r>
        <w:t xml:space="preserve"> </w:t>
      </w:r>
      <w:r>
        <w:t xml:space="preserve">cross-element</w:t>
      </w:r>
      <w:r>
        <w:t xml:space="preserve"> </w:t>
      </w:r>
      <w:r>
        <w:t xml:space="preserve">perturbations (median score 0.000) because cross-element substitution lands</w:t>
      </w:r>
      <w:r>
        <w:t xml:space="preserve"> </w:t>
      </w:r>
      <w:r>
        <w:t xml:space="preserve">on inactive N/S/Fe pathways and triggers required-claim veto. Grettenberger</w:t>
      </w:r>
      <w:r>
        <w:t xml:space="preserve"> </w:t>
      </w:r>
      <w:r>
        <w:t xml:space="preserve">2021 and Ayala 2020 retain STRONG in 6/20 and 3/20 cross-element runs (70-85%</w:t>
      </w:r>
      <w:r>
        <w:t xml:space="preserve"> </w:t>
      </w:r>
      <w:r>
        <w:t xml:space="preserve">label change). Within-element control bounds the KEGG-coverage caveat: mean</w:t>
      </w:r>
      <w:r>
        <w:t xml:space="preserve"> </w:t>
      </w:r>
      <w:r>
        <w:t xml:space="preserve">scores drop 25-48% but 40-50% of within-element runs still register STRONG,</w:t>
      </w:r>
      <w:r>
        <w:t xml:space="preserve"> </w:t>
      </w:r>
      <w:r>
        <w:t xml:space="preserve">consistent with the framing that calibration evidence is KEGG-coverage-</w:t>
      </w:r>
      <w:r>
        <w:t xml:space="preserve"> </w:t>
      </w:r>
      <w:r>
        <w:t xml:space="preserve">dependent rather than domain-neutral. We treat these as auxiliary evidence</w:t>
      </w:r>
      <w:r>
        <w:t xml:space="preserve"> </w:t>
      </w:r>
      <w:r>
        <w:t xml:space="preserve">consistent with — not ironclad proof of — non-mechanical calibration. The</w:t>
      </w:r>
      <w:r>
        <w:t xml:space="preserve"> </w:t>
      </w:r>
      <w:r>
        <w:t xml:space="preserve">cleanest definitive mitigation, blind hypothesis writing by collaborators</w:t>
      </w:r>
      <w:r>
        <w:t xml:space="preserve"> </w:t>
      </w:r>
      <w:r>
        <w:t xml:space="preserve">unfamiliar with target findings, remains future work.</w:t>
      </w:r>
    </w:p>
    <w:bookmarkEnd w:id="21"/>
    <w:bookmarkEnd w:id="22"/>
    <w:bookmarkStart w:id="23" w:name="X65a861f1b84d345af8fe8af6a62284804d84882"/>
    <w:p>
      <w:pPr>
        <w:pStyle w:val="Heading3"/>
      </w:pPr>
      <w:r>
        <w:t xml:space="preserve">2.5 Standalone interactive HTML supplementary material (Figure 5)</w:t>
      </w:r>
    </w:p>
    <w:p>
      <w:pPr>
        <w:pStyle w:val="FirstParagraph"/>
      </w:pPr>
      <w:r>
        <w:t xml:space="preserve">EnvMeta exports analysis output as a single self-contained HTML file</w:t>
      </w:r>
      <w:r>
        <w:t xml:space="preserve"> </w:t>
      </w:r>
      <w:r>
        <w:t xml:space="preserve">(400-550 KB, embedding D3.js v7 inline; no external dependencies). The HTML</w:t>
      </w:r>
      <w:r>
        <w:t xml:space="preserve"> </w:t>
      </w:r>
      <w:r>
        <w:t xml:space="preserve">provides four interactive panels: (1) the biogeochemical cycle diagram with</w:t>
      </w:r>
      <w:r>
        <w:t xml:space="preserve"> </w:t>
      </w:r>
      <w:r>
        <w:t xml:space="preserve">draggable nodes, hover tooltips, click-through to gene-level detail, and</w:t>
      </w:r>
      <w:r>
        <w:t xml:space="preserve"> </w:t>
      </w:r>
      <w:r>
        <w:t xml:space="preserve">SVG export; (2) the YAML hypothesis scoring table with sortable per-claim</w:t>
      </w:r>
      <w:r>
        <w:t xml:space="preserve"> </w:t>
      </w:r>
      <w:r>
        <w:t xml:space="preserve">diagnostics; (3) the cross-group comparison panel (CK / A / B side-by-side);</w:t>
      </w:r>
      <w:r>
        <w:t xml:space="preserve"> </w:t>
      </w:r>
      <w:r>
        <w:t xml:space="preserve">(4) the parameter / metadata audit panel exposing all S1-S3 intermediate</w:t>
      </w:r>
      <w:r>
        <w:t xml:space="preserve"> </w:t>
      </w:r>
      <w:r>
        <w:t xml:space="preserve">quantities. The HTML is</w:t>
      </w:r>
      <w:r>
        <w:t xml:space="preserve"> </w:t>
      </w:r>
      <w:r>
        <w:rPr>
          <w:b/>
          <w:bCs/>
        </w:rPr>
        <w:t xml:space="preserve">fully offline-capable</w:t>
      </w:r>
      <w:r>
        <w:t xml:space="preserve"> </w:t>
      </w:r>
      <w:r>
        <w:t xml:space="preserve">(no network access</w:t>
      </w:r>
      <w:r>
        <w:t xml:space="preserve"> </w:t>
      </w:r>
      <w:r>
        <w:t xml:space="preserve">required after download) and</w:t>
      </w:r>
      <w:r>
        <w:t xml:space="preserve"> </w:t>
      </w:r>
      <w:r>
        <w:rPr>
          <w:b/>
          <w:bCs/>
        </w:rPr>
        <w:t xml:space="preserve">embeds the analysis as the supplementary</w:t>
      </w:r>
      <w:r>
        <w:rPr>
          <w:b/>
          <w:bCs/>
        </w:rPr>
        <w:t xml:space="preserve"> </w:t>
      </w:r>
      <w:r>
        <w:rPr>
          <w:b/>
          <w:bCs/>
        </w:rPr>
        <w:t xml:space="preserve">information itself</w:t>
      </w:r>
      <w:r>
        <w:t xml:space="preserve"> </w:t>
      </w:r>
      <w:r>
        <w:t xml:space="preserve">— a single file SI that reviewers can audit interactively</w:t>
      </w:r>
      <w:r>
        <w:t xml:space="preserve"> </w:t>
      </w:r>
      <w:r>
        <w:t xml:space="preserve">without re-running the analysis pipeline.</w:t>
      </w:r>
    </w:p>
    <w:p>
      <w:pPr>
        <w:pStyle w:val="BodyText"/>
      </w:pPr>
      <w:r>
        <w:t xml:space="preserve">[</w:t>
      </w:r>
      <w:r>
        <w:rPr>
          <w:b/>
          <w:bCs/>
        </w:rPr>
        <w:t xml:space="preserve">Figure 5</w:t>
      </w:r>
      <w:r>
        <w:t xml:space="preserve">: HTML SI 4-panel. (A) Cycle diagram with chemistry anchors;</w:t>
      </w:r>
      <w:r>
        <w:t xml:space="preserve"> </w:t>
      </w:r>
      <w:r>
        <w:t xml:space="preserve">(B) Hypothesis scoring table; (C) Cross-group comparison; (D) Parameter audit.]</w:t>
      </w:r>
    </w:p>
    <w:bookmarkEnd w:id="23"/>
    <w:bookmarkStart w:id="24" w:name="Xaa1bfec9e5698251a54139f5194ff17d60fdfce"/>
    <w:p>
      <w:pPr>
        <w:pStyle w:val="Heading3"/>
      </w:pPr>
      <w:r>
        <w:t xml:space="preserve">2.6 Fork Bundle reproducibility packaging (Figure 6)</w:t>
      </w:r>
    </w:p>
    <w:p>
      <w:pPr>
        <w:pStyle w:val="FirstParagraph"/>
      </w:pPr>
      <w:r>
        <w:t xml:space="preserve">Reproducibility requires deterministic re-instantiation of the analysis</w:t>
      </w:r>
      <w:r>
        <w:t xml:space="preserve"> </w:t>
      </w:r>
      <w:r>
        <w:t xml:space="preserve">environment.</w:t>
      </w:r>
      <w:r>
        <w:t xml:space="preserve"> </w:t>
      </w:r>
      <w:r>
        <w:rPr>
          <w:b/>
          <w:bCs/>
        </w:rPr>
        <w:t xml:space="preserve">Fork Bundle</w:t>
      </w:r>
      <w:r>
        <w:t xml:space="preserve"> </w:t>
      </w:r>
      <w:r>
        <w:t xml:space="preserve">packages the user-specific knowledge base,</w:t>
      </w:r>
      <w:r>
        <w:t xml:space="preserve"> </w:t>
      </w:r>
      <w:r>
        <w:t xml:space="preserve">hypothesis YAML, parameter config, KEGG snapshot subset, and sample data</w:t>
      </w:r>
      <w:r>
        <w:t xml:space="preserve"> </w:t>
      </w:r>
      <w:r>
        <w:t xml:space="preserve">into a single zip archive (typically 5-15 MB). On loading a Bundle, EnvMeta</w:t>
      </w:r>
      <w:r>
        <w:t xml:space="preserve"> </w:t>
      </w:r>
      <w:r>
        <w:t xml:space="preserve">restores the exact KB / config / data context, enabling one-click reproduction</w:t>
      </w:r>
      <w:r>
        <w:t xml:space="preserve"> </w:t>
      </w:r>
      <w:r>
        <w:t xml:space="preserve">of published figures. The Bundle distribution model —</w:t>
      </w:r>
      <w:r>
        <w:t xml:space="preserve"> </w:t>
      </w:r>
      <w:r>
        <w:rPr>
          <w:i/>
          <w:iCs/>
        </w:rPr>
        <w:t xml:space="preserve">fork rather than</w:t>
      </w:r>
      <w:r>
        <w:rPr>
          <w:i/>
          <w:iCs/>
        </w:rPr>
        <w:t xml:space="preserve"> </w:t>
      </w:r>
      <w:r>
        <w:rPr>
          <w:i/>
          <w:iCs/>
        </w:rPr>
        <w:t xml:space="preserve">community</w:t>
      </w:r>
      <w:r>
        <w:t xml:space="preserve"> </w:t>
      </w:r>
      <w:r>
        <w:t xml:space="preserve">— avoids centralized knowledge-base maintenance bottlenecks and</w:t>
      </w:r>
      <w:r>
        <w:t xml:space="preserve"> </w:t>
      </w:r>
      <w:r>
        <w:t xml:space="preserve">allows each publication to ship its specific scientific context bundled with</w:t>
      </w:r>
      <w:r>
        <w:t xml:space="preserve"> </w:t>
      </w:r>
      <w:r>
        <w:t xml:space="preserve">the tool, addressing the</w:t>
      </w:r>
      <w:r>
        <w:t xml:space="preserve"> </w:t>
      </w:r>
      <w:r>
        <w:t xml:space="preserve">“version drift”</w:t>
      </w:r>
      <w:r>
        <w:t xml:space="preserve"> </w:t>
      </w:r>
      <w:r>
        <w:t xml:space="preserve">problem where a tool update years</w:t>
      </w:r>
      <w:r>
        <w:t xml:space="preserve"> </w:t>
      </w:r>
      <w:r>
        <w:t xml:space="preserve">after publication can subtly alter results.</w:t>
      </w:r>
    </w:p>
    <w:p>
      <w:pPr>
        <w:pStyle w:val="BodyText"/>
      </w:pPr>
      <w:r>
        <w:t xml:space="preserve">[</w:t>
      </w:r>
      <w:r>
        <w:rPr>
          <w:b/>
          <w:bCs/>
        </w:rPr>
        <w:t xml:space="preserve">Figure 6</w:t>
      </w:r>
      <w:r>
        <w:t xml:space="preserve">: Fork Bundle structure + load workflow. Bundle = KB + YAML +</w:t>
      </w:r>
      <w:r>
        <w:t xml:space="preserve"> </w:t>
      </w:r>
      <w:r>
        <w:t xml:space="preserve">config + KEGG snapshot + sample data. Reproduction case: load Bundle →</w:t>
      </w:r>
      <w:r>
        <w:t xml:space="preserve"> </w:t>
      </w:r>
      <w:r>
        <w:t xml:space="preserve">5-minute regeneration of published figures.]</w:t>
      </w:r>
    </w:p>
    <w:bookmarkEnd w:id="24"/>
    <w:bookmarkStart w:id="25" w:name="X460956a2cace5e6489b1467c3e482f13051bca5"/>
    <w:p>
      <w:pPr>
        <w:pStyle w:val="Heading3"/>
      </w:pPr>
      <w:r>
        <w:t xml:space="preserve">2.7 Case study: Arsenic-slag bioremediation (Figure 7)</w:t>
      </w:r>
    </w:p>
    <w:p>
      <w:pPr>
        <w:pStyle w:val="FirstParagraph"/>
      </w:pPr>
      <w:r>
        <w:t xml:space="preserve">We demonstrate framework application on an arsenic-slag bioremediation MAG</w:t>
      </w:r>
      <w:r>
        <w:t xml:space="preserve"> </w:t>
      </w:r>
      <w:r>
        <w:t xml:space="preserve">study (168 MAGs × 10 samples × 57 target KOs; CK / A low-steel-slag /</w:t>
      </w:r>
      <w:r>
        <w:t xml:space="preserve"> </w:t>
      </w:r>
      <w:r>
        <w:t xml:space="preserve">B high-steel-slag groups; standardized colors</w:t>
      </w:r>
      <w:r>
        <w:t xml:space="preserve"> </w:t>
      </w:r>
      <w:r>
        <w:rPr>
          <w:rStyle w:val="VerbatimChar"/>
        </w:rPr>
        <w:t xml:space="preserve">#4DAF4A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#377EB8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#E41A1C</w:t>
      </w:r>
      <w:r>
        <w:t xml:space="preserve">). The author hypothesis —</w:t>
      </w:r>
      <w:r>
        <w:t xml:space="preserve"> </w:t>
      </w:r>
      <w:r>
        <w:t xml:space="preserve">“iron oxidation immobilizes As + sulfur</w:t>
      </w:r>
      <w:r>
        <w:t xml:space="preserve"> </w:t>
      </w:r>
      <w:r>
        <w:t xml:space="preserve">cycling regulates Eh + local sulfide-mediated As precipitation”</w:t>
      </w:r>
      <w:r>
        <w:t xml:space="preserve"> </w:t>
      </w:r>
      <w:r>
        <w:t xml:space="preserve">— was</w:t>
      </w:r>
      <w:r>
        <w:t xml:space="preserve"> </w:t>
      </w:r>
      <w:r>
        <w:t xml:space="preserve">evaluated against MAG-level data using a four-claim YAML scored under fixed</w:t>
      </w:r>
      <w:r>
        <w:t xml:space="preserve"> </w:t>
      </w:r>
      <w:r>
        <w:t xml:space="preserve">default thresholds. The framework returned a STRONG overall label</w:t>
      </w:r>
      <w:r>
        <w:t xml:space="preserve"> </w:t>
      </w:r>
      <w:r>
        <w:t xml:space="preserve">(score = 1.000; null_p = 0.020) with explicit per-claim diagnostics</w:t>
      </w:r>
      <w:r>
        <w:t xml:space="preserve"> </w:t>
      </w:r>
      <w:r>
        <w:t xml:space="preserve">identifying</w:t>
      </w:r>
      <w:r>
        <w:t xml:space="preserve"> </w:t>
      </w:r>
      <w:r>
        <w:rPr>
          <w:i/>
          <w:iCs/>
        </w:rPr>
        <w:t xml:space="preserve">Sulfuricaulis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Gallionella</w:t>
      </w:r>
      <w:r>
        <w:t xml:space="preserve"> </w:t>
      </w:r>
      <w:r>
        <w:t xml:space="preserve">as iron-oxidation keystones</w:t>
      </w:r>
      <w:r>
        <w:t xml:space="preserve"> </w:t>
      </w:r>
      <w:r>
        <w:t xml:space="preserve">in groups A/CK, and a keystone-switching pattern (</w:t>
      </w:r>
      <w:r>
        <w:rPr>
          <w:i/>
          <w:iCs/>
        </w:rPr>
        <w:t xml:space="preserve">Gallionella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Thiobacillus</w:t>
      </w:r>
      <w:r>
        <w:t xml:space="preserve">)</w:t>
      </w:r>
      <w:r>
        <w:t xml:space="preserve"> </w:t>
      </w:r>
      <w:r>
        <w:t xml:space="preserve">in the higher-slag B group. This case demonstrates</w:t>
      </w:r>
      <w:r>
        <w:t xml:space="preserve"> </w:t>
      </w:r>
      <w:r>
        <w:rPr>
          <w:b/>
          <w:bCs/>
        </w:rPr>
        <w:t xml:space="preserve">framework-assisted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 discovery</w:t>
      </w:r>
      <w:r>
        <w:t xml:space="preserve">: the engine outputs are not novel mechanism claims</w:t>
      </w:r>
      <w:r>
        <w:t xml:space="preserve"> </w:t>
      </w:r>
      <w:r>
        <w:t xml:space="preserve">themselves (those belong to follow-up domain papers; this is the methodological</w:t>
      </w:r>
      <w:r>
        <w:t xml:space="preserve"> </w:t>
      </w:r>
      <w:r>
        <w:t xml:space="preserve">paper) but rather the per-claim diagnostic quantities that downstream readers</w:t>
      </w:r>
      <w:r>
        <w:t xml:space="preserve"> </w:t>
      </w:r>
      <w:r>
        <w:t xml:space="preserve">can independently audit.</w:t>
      </w:r>
    </w:p>
    <w:p>
      <w:pPr>
        <w:pStyle w:val="BodyText"/>
      </w:pPr>
      <w:r>
        <w:t xml:space="preserve">[</w:t>
      </w:r>
      <w:r>
        <w:rPr>
          <w:b/>
          <w:bCs/>
        </w:rPr>
        <w:t xml:space="preserve">Figure 7</w:t>
      </w:r>
      <w:r>
        <w:t xml:space="preserve">: Case study panel. (A) Element cycle diagrams CK / A / B</w:t>
      </w:r>
      <w:r>
        <w:t xml:space="preserve"> </w:t>
      </w:r>
      <w:r>
        <w:t xml:space="preserve">side-by-side; (B) Per-group hypothesis scoring with confidence labels;</w:t>
      </w:r>
      <w:r>
        <w:t xml:space="preserve"> </w:t>
      </w:r>
      <w:r>
        <w:t xml:space="preserve">(C) Keystone-MAG switching (Gallionella → Thiobacillus).]</w:t>
      </w:r>
    </w:p>
    <w:bookmarkEnd w:id="25"/>
    <w:bookmarkStart w:id="27" w:name="Xc2a3dcf915c3ef9be9db8cb8aed332749783384"/>
    <w:p>
      <w:pPr>
        <w:pStyle w:val="Heading3"/>
      </w:pPr>
      <w:r>
        <w:t xml:space="preserve">2.8 Performance and scaling envelope (Figure 8 + Table 2)</w:t>
      </w:r>
    </w:p>
    <w:p>
      <w:pPr>
        <w:pStyle w:val="FirstParagraph"/>
      </w:pPr>
      <w:r>
        <w:t xml:space="preserve">We benchmarked EnvMeta’s runtime and memory profile on three complementary</w:t>
      </w:r>
      <w:r>
        <w:t xml:space="preserve"> </w:t>
      </w:r>
      <w:r>
        <w:t xml:space="preserve">regimes designed to disentangle the contributions of MAG count, sample count,</w:t>
      </w:r>
      <w:r>
        <w:t xml:space="preserve"> </w:t>
      </w:r>
      <w:r>
        <w:t xml:space="preserve">annotation density, and environmental factor breadth (Figure 8). The first</w:t>
      </w:r>
      <w:r>
        <w:t xml:space="preserve"> </w:t>
      </w:r>
      <w:r>
        <w:t xml:space="preserve">regime used our in-house arsenic-slag dataset (169 MAGs × 10 samples × 4 env</w:t>
      </w:r>
      <w:r>
        <w:t xml:space="preserve"> </w:t>
      </w:r>
      <w:r>
        <w:t xml:space="preserve">factors × full KofamScan annotation; 30 KO/MAG); the second used Liu et al.</w:t>
      </w:r>
      <w:r>
        <w:t xml:space="preserve"> </w:t>
      </w:r>
      <w:r>
        <w:t xml:space="preserve">2023’s published cold-seep dataset (1084 MAGs × 87 samples × 1 env factor ×</w:t>
      </w:r>
      <w:r>
        <w:t xml:space="preserve"> </w:t>
      </w:r>
      <w:r>
        <w:t xml:space="preserve">the published 8-KO arsenic-target subset; 1.5 KO/MAG); the third was a</w:t>
      </w:r>
      <w:r>
        <w:t xml:space="preserve"> </w:t>
      </w:r>
      <w:r>
        <w:t xml:space="preserve">synthetic-dense extension of Liu in which we randomly assigned 25 KOs/MAG</w:t>
      </w:r>
      <w:r>
        <w:t xml:space="preserve"> </w:t>
      </w:r>
      <w:r>
        <w:t xml:space="preserve">from EnvMeta’s 57-KO knowledge base (i.e., dense relative to the KB-target</w:t>
      </w:r>
      <w:r>
        <w:t xml:space="preserve"> </w:t>
      </w:r>
      <w:r>
        <w:t xml:space="preserve">subset of As/N/S/Fe pathways, not dense relative to the full ~10,000-KO</w:t>
      </w:r>
      <w:r>
        <w:t xml:space="preserve"> </w:t>
      </w:r>
      <w:r>
        <w:t xml:space="preserve">genome-wide KofamScan output of a typical MAG) and 4 numeric env factors,</w:t>
      </w:r>
      <w:r>
        <w:t xml:space="preserve"> </w:t>
      </w:r>
      <w:r>
        <w:t xml:space="preserve">simulating what a fully KofamScan/DRAM/METABOLIC-annotated 1000+ MAG dataset</w:t>
      </w:r>
      <w:r>
        <w:t xml:space="preserve"> </w:t>
      </w:r>
      <w:r>
        <w:t xml:space="preserve">would behave like</w:t>
      </w:r>
      <w:r>
        <w:t xml:space="preserve"> </w:t>
      </w:r>
      <w:r>
        <w:rPr>
          <w:i/>
          <w:iCs/>
        </w:rPr>
        <w:t xml:space="preserve">within EnvMeta’s KB scope</w:t>
      </w:r>
      <w:r>
        <w:t xml:space="preserve">, and ran an 8-cell sweep</w:t>
      </w:r>
      <w:r>
        <w:t xml:space="preserve"> </w:t>
      </w:r>
      <w:r>
        <w:t xml:space="preserve">across N_MAGs ∈ {200, 500, 1000} × N_samples ∈ {30, 60, 87}.</w:t>
      </w:r>
    </w:p>
    <w:p>
      <w:pPr>
        <w:pStyle w:val="BodyText"/>
      </w:pPr>
      <w:r>
        <w:t xml:space="preserve">Two findings emerged. First, within the scope of our measurements,</w:t>
      </w:r>
      <w:r>
        <w:t xml:space="preserve"> </w:t>
      </w:r>
      <w:r>
        <w:rPr>
          <w:b/>
          <w:bCs/>
        </w:rPr>
        <w:t xml:space="preserve">cycle_diagram cost appears largely independent of MAG count</w:t>
      </w:r>
      <w:r>
        <w:t xml:space="preserve">: at fixed</w:t>
      </w:r>
      <w:r>
        <w:t xml:space="preserve"> </w:t>
      </w:r>
      <w:r>
        <w:t xml:space="preserve">synthetic-dense annotation and 4 env factors, going from 200 → 1000 MAGs</w:t>
      </w:r>
      <w:r>
        <w:t xml:space="preserve"> </w:t>
      </w:r>
      <w:r>
        <w:t xml:space="preserve">added only 24% to runtime (14.8 s → 18.4 s); going from 30 → 87 samples at</w:t>
      </w:r>
      <w:r>
        <w:t xml:space="preserve"> </w:t>
      </w:r>
      <w:r>
        <w:t xml:space="preserve">fixed 1000 MAGs added zero (within measurement noise). The asymptotic</w:t>
      </w:r>
      <w:r>
        <w:t xml:space="preserve"> </w:t>
      </w:r>
      <w:r>
        <w:t xml:space="preserve">complexity is</w:t>
      </w:r>
      <w:r>
        <w:t xml:space="preserve"> </w:t>
      </w:r>
      <w:r>
        <w:rPr>
          <w:b/>
          <w:bCs/>
        </w:rPr>
        <w:t xml:space="preserve">N_pathway_active × N_env × 999 × O(N_sample × log N_sample)</w:t>
      </w:r>
      <w:r>
        <w:t xml:space="preserve"> </w:t>
      </w:r>
      <w:r>
        <w:t xml:space="preserve">— set by the permutation test in the cycle-inference S2 step (</w:t>
      </w:r>
      <w:hyperlink r:id="rId26">
        <w:r>
          <w:rPr>
            <w:rStyle w:val="VerbatimChar"/>
          </w:rPr>
          <w:t xml:space="preserve">envmeta/geocycle/inference.py</w:t>
        </w:r>
      </w:hyperlink>
      <w:r>
        <w:t xml:space="preserve">)</w:t>
      </w:r>
      <w:r>
        <w:t xml:space="preserve"> </w:t>
      </w:r>
      <w:r>
        <w:t xml:space="preserve">— rather than by N_MAG. We caution that this finding is established under</w:t>
      </w:r>
      <w:r>
        <w:t xml:space="preserve"> </w:t>
      </w:r>
      <w:r>
        <w:t xml:space="preserve">a synthetic random KO assignment rather than a realistic</w:t>
      </w:r>
      <w:r>
        <w:t xml:space="preserve"> </w:t>
      </w:r>
      <w:r>
        <w:t xml:space="preserve">KofamScan / DRAM / METABOLIC annotation distribution; real annotations</w:t>
      </w:r>
      <w:r>
        <w:t xml:space="preserve"> </w:t>
      </w:r>
      <w:r>
        <w:t xml:space="preserve">cluster around organism-specific functional repertoires and may show</w:t>
      </w:r>
      <w:r>
        <w:t xml:space="preserve"> </w:t>
      </w:r>
      <w:r>
        <w:t xml:space="preserve">different cost-by-N_MAG behaviour. A direct comparison against one fully</w:t>
      </w:r>
      <w:r>
        <w:t xml:space="preserve"> </w:t>
      </w:r>
      <w:r>
        <w:t xml:space="preserve">KofamScan-annotated dataset is identified as future validation. Second, the</w:t>
      </w:r>
      <w:r>
        <w:t xml:space="preserve"> </w:t>
      </w:r>
      <w:r>
        <w:t xml:space="preserve">dataset-anchored finding that</w:t>
      </w:r>
      <w:r>
        <w:t xml:space="preserve"> </w:t>
      </w:r>
      <w:r>
        <w:rPr>
          <w:b/>
          <w:bCs/>
        </w:rPr>
        <w:t xml:space="preserve">annotation density matters more than dataset</w:t>
      </w:r>
      <w:r>
        <w:rPr>
          <w:b/>
          <w:bCs/>
        </w:rP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— the same 1084-MAG Liu dataset ran cycle inference in 0.4 s with 8</w:t>
      </w:r>
      <w:r>
        <w:t xml:space="preserve"> </w:t>
      </w:r>
      <w:r>
        <w:t xml:space="preserve">published As-target KOs versus 18.4 s under our synthetic 25 KO/MAG</w:t>
      </w:r>
      <w:r>
        <w:t xml:space="preserve"> </w:t>
      </w:r>
      <w:r>
        <w:t xml:space="preserve">augmentation — is robust to the synthetic-regime caveat above (the two</w:t>
      </w:r>
      <w:r>
        <w:t xml:space="preserve"> </w:t>
      </w:r>
      <w:r>
        <w:t xml:space="preserve">endpoints are both real-data or real-data-derived). Together, these</w:t>
      </w:r>
      <w:r>
        <w:t xml:space="preserve"> </w:t>
      </w:r>
      <w:r>
        <w:t xml:space="preserve">observations position EnvMeta favourably for the typical PhD-scale metagenome</w:t>
      </w:r>
      <w:r>
        <w:t xml:space="preserve"> </w:t>
      </w:r>
      <w:r>
        <w:t xml:space="preserve">(200-1000 MAGs × 30-100 samples × 4-6 env factors), where the entire 14-figure</w:t>
      </w:r>
      <w:r>
        <w:t xml:space="preserve"> </w:t>
      </w:r>
      <w:r>
        <w:t xml:space="preserve">pipeline finishes in 30-120 s on a standard 8-16 GB laptop.</w:t>
      </w:r>
    </w:p>
    <w:p>
      <w:pPr>
        <w:pStyle w:val="BodyText"/>
      </w:pPr>
      <w:r>
        <w:t xml:space="preserve">EnvMeta is also memory-light. Across all 58 measured (dataset × figure)</w:t>
      </w:r>
      <w:r>
        <w:t xml:space="preserve"> </w:t>
      </w:r>
      <w:r>
        <w:t xml:space="preserve">combinations, the maximum observed peak ΔRSS over baseline was 9.3 MB, and</w:t>
      </w:r>
      <w:r>
        <w:t xml:space="preserve"> </w:t>
      </w:r>
      <w:r>
        <w:t xml:space="preserve">the median was 0.5 MB; cycle_diagram itself peaked at 6.5 MB. The practical</w:t>
      </w:r>
      <w:r>
        <w:t xml:space="preserve"> </w:t>
      </w:r>
      <w:r>
        <w:t xml:space="preserve">consequence is that EnvMeta’s local install runs comfortably on any 4 GB RAM</w:t>
      </w:r>
      <w:r>
        <w:t xml:space="preserve"> </w:t>
      </w:r>
      <w:r>
        <w:t xml:space="preserve">device, and its Streamlit Cloud demo deployment (1 GB free tier) is</w:t>
      </w:r>
      <w:r>
        <w:t xml:space="preserve"> </w:t>
      </w:r>
      <w:r>
        <w:t xml:space="preserve">bottlenecked by its 200 MB upload-file cap rather than by RAM.</w:t>
      </w:r>
    </w:p>
    <w:p>
      <w:pPr>
        <w:pStyle w:val="BodyText"/>
      </w:pPr>
      <w:r>
        <w:t xml:space="preserve">[</w:t>
      </w:r>
      <w:r>
        <w:rPr>
          <w:b/>
          <w:bCs/>
        </w:rPr>
        <w:t xml:space="preserve">Figure 8</w:t>
      </w:r>
      <w:r>
        <w:t xml:space="preserve">: Performance scaling curves. 3-panel log-log scatter</w:t>
      </w:r>
      <w:r>
        <w:t xml:space="preserve"> </w:t>
      </w:r>
      <w:r>
        <w:t xml:space="preserve">(cycle_diagram / mag_heatmap / pathway each panel) showing 58 measured</w:t>
      </w:r>
      <w:r>
        <w:t xml:space="preserve"> </w:t>
      </w:r>
      <w:r>
        <w:t xml:space="preserve">points across three data regimes. Source:</w:t>
      </w:r>
      <w:r>
        <w:t xml:space="preserve"> </w:t>
      </w:r>
      <w:r>
        <w:rPr>
          <w:rStyle w:val="VerbatimChar"/>
        </w:rPr>
        <w:t xml:space="preserve">paper/benchmarks/performance/scaling_curve.{pdf,svg,png}</w:t>
      </w:r>
      <w:r>
        <w:t xml:space="preserve">]</w:t>
      </w:r>
    </w:p>
    <w:p>
      <w:pPr>
        <w:pStyle w:val="BodyText"/>
      </w:pPr>
      <w:r>
        <w:t xml:space="preserve">[</w:t>
      </w:r>
      <w:r>
        <w:rPr>
          <w:b/>
          <w:bCs/>
        </w:rPr>
        <w:t xml:space="preserve">Table 2</w:t>
      </w:r>
      <w:r>
        <w:t xml:space="preserve">: Hardware sizing guidance — 5 usage regimes × hardware</w:t>
      </w:r>
      <w:r>
        <w:t xml:space="preserve"> </w:t>
      </w:r>
      <w:r>
        <w:t xml:space="preserve">recommendations + Streamlit Cloud compatibility.]</w:t>
      </w:r>
    </w:p>
    <w:bookmarkEnd w:id="27"/>
    <w:bookmarkStart w:id="33" w:name="Xaa1a2bc24d2198b4d9104a2d96086fb559f4347"/>
    <w:p>
      <w:pPr>
        <w:pStyle w:val="Heading3"/>
      </w:pPr>
      <w:r>
        <w:t xml:space="preserve">2.9 Comparison with comparable tools (Figure F10 + Table T1 + Table T2)</w:t>
      </w:r>
    </w:p>
    <w:bookmarkStart w:id="28" w:name="feature-matrix"/>
    <w:p>
      <w:pPr>
        <w:pStyle w:val="Heading4"/>
      </w:pPr>
      <w:r>
        <w:t xml:space="preserve">2.9.1 Feature matrix</w:t>
      </w:r>
    </w:p>
    <w:p>
      <w:pPr>
        <w:pStyle w:val="FirstParagraph"/>
      </w:pPr>
      <w:r>
        <w:t xml:space="preserve">We compared EnvMeta against eight comparable tools spanning visualization</w:t>
      </w:r>
      <w:r>
        <w:t xml:space="preserve"> </w:t>
      </w:r>
      <w:r>
        <w:t xml:space="preserve">platforms (ImageGP 2 [10]), MAG explorers (Anvi’o [10]), specialized</w:t>
      </w:r>
      <w:r>
        <w:t xml:space="preserve"> </w:t>
      </w:r>
      <w:r>
        <w:t xml:space="preserve">visualizers (Krona [10], iTOL [10]), pipeline frameworks (EasyMetagenome,</w:t>
      </w:r>
      <w:r>
        <w:t xml:space="preserve"> </w:t>
      </w:r>
      <w:r>
        <w:t xml:space="preserve">QIIME2 [10]), community statistics (phyloseq [10]), and vendor cloud</w:t>
      </w:r>
      <w:r>
        <w:t xml:space="preserve"> </w:t>
      </w:r>
      <w:r>
        <w:t xml:space="preserve">platforms (Table T1). EnvMeta uniquely provides five capabilities not</w:t>
      </w:r>
      <w:r>
        <w:t xml:space="preserve"> </w:t>
      </w:r>
      <w:r>
        <w:t xml:space="preserve">covered by any of these eight: (i) automated biogeochemical cycle inference</w:t>
      </w:r>
      <w:r>
        <w:t xml:space="preserve"> </w:t>
      </w:r>
      <w:r>
        <w:t xml:space="preserve">across 4 elements × 18 pathways × 57 KOs; (ii) YAML hypothesis scoring with</w:t>
      </w:r>
      <w:r>
        <w:t xml:space="preserve"> </w:t>
      </w:r>
      <w:r>
        <w:t xml:space="preserve">null calibration and weight sensitivity; (iii) standalone offline interactive</w:t>
      </w:r>
      <w:r>
        <w:t xml:space="preserve"> </w:t>
      </w:r>
      <w:r>
        <w:t xml:space="preserve">HTML supplementary material (~400 KB embedding the analysis itself); (iv)</w:t>
      </w:r>
      <w:r>
        <w:t xml:space="preserve"> </w:t>
      </w:r>
      <w:r>
        <w:t xml:space="preserve">cross-element chemical-species coupling (e.g., As(III) ↔ S²⁻ → As₂S₃); and</w:t>
      </w:r>
      <w:r>
        <w:t xml:space="preserve"> </w:t>
      </w:r>
      <w:r>
        <w:t xml:space="preserve">(v) the integrated S1-S2-S3 weight-of-evidence MCDA framework operationalized</w:t>
      </w:r>
      <w:r>
        <w:t xml:space="preserve"> </w:t>
      </w:r>
      <w:r>
        <w:t xml:space="preserve">in code. These five capabilities collectively position EnvMeta as a</w:t>
      </w:r>
      <w:r>
        <w:t xml:space="preserve"> </w:t>
      </w:r>
      <w:r>
        <w:t xml:space="preserve">specialist niche tool complementing the comparator landscape rather than</w:t>
      </w:r>
      <w:r>
        <w:t xml:space="preserve"> </w:t>
      </w:r>
      <w:r>
        <w:t xml:space="preserve">competing for general visualization breadth.</w:t>
      </w:r>
    </w:p>
    <w:p>
      <w:pPr>
        <w:pStyle w:val="BodyText"/>
      </w:pPr>
      <w:r>
        <w:t xml:space="preserve">[</w:t>
      </w:r>
      <w:r>
        <w:rPr>
          <w:b/>
          <w:bCs/>
        </w:rPr>
        <w:t xml:space="preserve">Table T1</w:t>
      </w:r>
      <w:r>
        <w:t xml:space="preserve">: Feature matrix across 9 tools × 7 capabilities (✅ / partial /</w:t>
      </w:r>
      <w:r>
        <w:t xml:space="preserve"> </w:t>
      </w:r>
      <w:r>
        <w:t xml:space="preserve">−). EnvMeta unique on 5 capabilities.]</w:t>
      </w:r>
    </w:p>
    <w:bookmarkEnd w:id="28"/>
    <w:bookmarkStart w:id="30" w:name="head-to-head-performance-benchmark"/>
    <w:p>
      <w:pPr>
        <w:pStyle w:val="Heading4"/>
      </w:pPr>
      <w:r>
        <w:t xml:space="preserve">2.9.2 Head-to-head performance benchmark</w:t>
      </w:r>
    </w:p>
    <w:p>
      <w:pPr>
        <w:pStyle w:val="FirstParagraph"/>
      </w:pPr>
      <w:r>
        <w:t xml:space="preserve">For analyses that EnvMeta and competitor tools both offer (hierarchical</w:t>
      </w:r>
      <w:r>
        <w:t xml:space="preserve"> </w:t>
      </w:r>
      <w:r>
        <w:t xml:space="preserve">taxonomy HTML / PCoA / KO heatmap), we ran identical inputs through each</w:t>
      </w:r>
      <w:r>
        <w:t xml:space="preserve"> </w:t>
      </w:r>
      <w:r>
        <w:t xml:space="preserve">tool on the same hardware (Intel i7-class 16 GB Win10 laptop) and measured</w:t>
      </w:r>
      <w:r>
        <w:t xml:space="preserve"> </w:t>
      </w:r>
      <w:r>
        <w:t xml:space="preserve">wall time, peak RSS, output file size, and user operation count. Krona [10]</w:t>
      </w:r>
      <w:r>
        <w:t xml:space="preserve"> </w:t>
      </w:r>
      <w:r>
        <w:t xml:space="preserve">benchmark was performed on the same Liu 2023 cold-seep subset used in §2.8</w:t>
      </w:r>
      <w:r>
        <w:t xml:space="preserve"> </w:t>
      </w:r>
      <w:r>
        <w:t xml:space="preserve">(N = 200 MAGs × 30 samples). Anvi’o [10] benchmark could not be performed</w:t>
      </w:r>
      <w:r>
        <w:t xml:space="preserve"> </w:t>
      </w:r>
      <w:r>
        <w:t xml:space="preserve">because Anvi’o’s profiling pipeline requires raw contigs FASTA + read mapping</w:t>
      </w:r>
      <w:r>
        <w:t xml:space="preserve"> </w:t>
      </w:r>
      <w:r>
        <w:t xml:space="preserve">BAMs, not the published abundance / KO tables provided by the four</w:t>
      </w:r>
      <w:r>
        <w:t xml:space="preserve"> </w:t>
      </w:r>
      <w:r>
        <w:t xml:space="preserve">external datasets used throughout this work; we document this as an</w:t>
      </w:r>
      <w:r>
        <w:t xml:space="preserve"> </w:t>
      </w:r>
      <w:r>
        <w:rPr>
          <w:b/>
          <w:bCs/>
        </w:rPr>
        <w:t xml:space="preserve">input-format limitation</w:t>
      </w:r>
      <w:r>
        <w:t xml:space="preserve"> </w:t>
      </w:r>
      <w:r>
        <w:t xml:space="preserve">in Table T2 rather than measuring an artificial</w:t>
      </w:r>
      <w:r>
        <w:t xml:space="preserve"> </w:t>
      </w:r>
      <w:r>
        <w:t xml:space="preserve">remap. MicrobiomeAnalyst [10] benchmark is in progress and will be added in</w:t>
      </w:r>
      <w:r>
        <w:t xml:space="preserve"> </w:t>
      </w:r>
      <w:r>
        <w:t xml:space="preserve">a revision. Methodology full detail at</w:t>
      </w:r>
      <w:r>
        <w:t xml:space="preserve"> </w:t>
      </w:r>
      <w:hyperlink r:id="rId29">
        <w:r>
          <w:rPr>
            <w:rStyle w:val="VerbatimChar"/>
          </w:rPr>
          <w:t xml:space="preserve">paper/benchmarks/external/tools_comparison/methodology.md</w:t>
        </w:r>
      </w:hyperlink>
      <w:r>
        <w:t xml:space="preserve">.</w:t>
      </w:r>
    </w:p>
    <w:p>
      <w:pPr>
        <w:pStyle w:val="BodyText"/>
      </w:pPr>
      <w:r>
        <w:t xml:space="preserve">[</w:t>
      </w:r>
      <w:r>
        <w:rPr>
          <w:b/>
          <w:bCs/>
        </w:rPr>
        <w:t xml:space="preserve">Table T2</w:t>
      </w:r>
      <w:r>
        <w:t xml:space="preserve">: Head-to-head performance — same Liu 2023 cold-seep subset.</w:t>
      </w:r>
      <w:r>
        <w:t xml:space="preserve"> </w:t>
      </w:r>
      <w:r>
        <w:t xml:space="preserve">EnvMeta vs Krona (HTML hierarchy task), with Anvi’o input-format mismatch</w:t>
      </w:r>
      <w:r>
        <w:t xml:space="preserve"> </w:t>
      </w:r>
      <w:r>
        <w:t xml:space="preserve">documented and MicrobiomeAnalyst row marked</w:t>
      </w:r>
      <w:r>
        <w:t xml:space="preserve"> </w:t>
      </w:r>
      <w:r>
        <w:t xml:space="preserve">“pending Web execution”</w:t>
      </w:r>
      <w:r>
        <w:t xml:space="preserve">.]</w:t>
      </w:r>
    </w:p>
    <w:p>
      <w:pPr>
        <w:pStyle w:val="BodyText"/>
      </w:pPr>
      <w:r>
        <w:t xml:space="preserve">[</w:t>
      </w:r>
      <w:r>
        <w:rPr>
          <w:b/>
          <w:bCs/>
        </w:rPr>
        <w:t xml:space="preserve">Figure F10</w:t>
      </w:r>
      <w:r>
        <w:t xml:space="preserve">: Visual head-to-head — same analysis (PCoA / KO heatmap /</w:t>
      </w:r>
      <w:r>
        <w:t xml:space="preserve"> </w:t>
      </w:r>
      <w:r>
        <w:t xml:space="preserve">hierarchical HTML) in EnvMeta vs MicrobiomeAnalyst vs Krona, plus</w:t>
      </w:r>
      <w:r>
        <w:t xml:space="preserve"> </w:t>
      </w:r>
      <w:r>
        <w:t xml:space="preserve">unique-capability panels (cycle diagram, hypothesis scoring) marked</w:t>
      </w:r>
      <w:r>
        <w:t xml:space="preserve"> </w:t>
      </w:r>
      <w:r>
        <w:t xml:space="preserve">“no</w:t>
      </w:r>
      <w:r>
        <w:t xml:space="preserve"> </w:t>
      </w:r>
      <w:r>
        <w:t xml:space="preserve">comparator”</w:t>
      </w:r>
      <w:r>
        <w:t xml:space="preserve">.]</w:t>
      </w:r>
    </w:p>
    <w:bookmarkEnd w:id="30"/>
    <w:bookmarkStart w:id="32" w:name="reference-audit-transparency"/>
    <w:p>
      <w:pPr>
        <w:pStyle w:val="Heading4"/>
      </w:pPr>
      <w:r>
        <w:t xml:space="preserve">2.9.3 Reference-audit transparency</w:t>
      </w:r>
    </w:p>
    <w:p>
      <w:pPr>
        <w:pStyle w:val="FirstParagraph"/>
      </w:pPr>
      <w:r>
        <w:t xml:space="preserve">Post-hoc DOI verification identified four reference errors in the</w:t>
      </w:r>
      <w:r>
        <w:t xml:space="preserve"> </w:t>
      </w:r>
      <w:r>
        <w:t xml:space="preserve">pre-registered YAMLs that do not affect scoring outputs (no claim entity</w:t>
      </w:r>
      <w:r>
        <w:t xml:space="preserve"> </w:t>
      </w:r>
      <w:r>
        <w:t xml:space="preserve">was modified) but require transparent correction. Most consequentially, the</w:t>
      </w:r>
      <w:r>
        <w:t xml:space="preserve"> </w:t>
      </w:r>
      <w:r>
        <w:rPr>
          <w:rStyle w:val="VerbatimChar"/>
        </w:rPr>
        <w:t xml:space="preserve">nitrogen_fixation_explored</w:t>
      </w:r>
      <w:r>
        <w:t xml:space="preserve"> </w:t>
      </w:r>
      <w:r>
        <w:t xml:space="preserve">claims (Grettenberger and Ayala calibration</w:t>
      </w:r>
      <w:r>
        <w:t xml:space="preserve"> </w:t>
      </w:r>
      <w:r>
        <w:t xml:space="preserve">YAMLs) originally cited Auld et al. (2017</w:t>
      </w:r>
      <w:r>
        <w:t xml:space="preserve"> </w:t>
      </w:r>
      <w:r>
        <w:rPr>
          <w:i/>
          <w:iCs/>
        </w:rPr>
        <w:t xml:space="preserve">Can J Microbiol</w:t>
      </w:r>
      <w:r>
        <w:t xml:space="preserve">), which is a</w:t>
      </w:r>
      <w:r>
        <w:t xml:space="preserve"> </w:t>
      </w:r>
      <w:r>
        <w:t xml:space="preserve">seasonal community-variation study rather than an AMD diazotrophy report;</w:t>
      </w:r>
      <w:r>
        <w:t xml:space="preserve"> </w:t>
      </w:r>
      <w:r>
        <w:t xml:space="preserve">these claims are re-grounded in Dai et al. (2014</w:t>
      </w:r>
      <w:r>
        <w:t xml:space="preserve"> </w:t>
      </w:r>
      <w:r>
        <w:rPr>
          <w:i/>
          <w:iCs/>
        </w:rPr>
        <w:t xml:space="preserve">PLoS One</w:t>
      </w:r>
      <w:r>
        <w:t xml:space="preserve"> </w:t>
      </w:r>
      <w:r>
        <w:t xml:space="preserve">[10]) and</w:t>
      </w:r>
      <w:r>
        <w:t xml:space="preserve"> </w:t>
      </w:r>
      <w:r>
        <w:t xml:space="preserve">Méndez-García et al. (2015</w:t>
      </w:r>
      <w:r>
        <w:t xml:space="preserve"> </w:t>
      </w:r>
      <w:r>
        <w:rPr>
          <w:i/>
          <w:iCs/>
        </w:rPr>
        <w:t xml:space="preserve">Front Microbiol</w:t>
      </w:r>
      <w:r>
        <w:t xml:space="preserve"> </w:t>
      </w:r>
      <w:r>
        <w:t xml:space="preserve">[10]). Three additional</w:t>
      </w:r>
      <w:r>
        <w:t xml:space="preserve"> </w:t>
      </w:r>
      <w:r>
        <w:t xml:space="preserve">metadata corrections (journal mislabels for Yin 2011, Cabrera 2006, and a</w:t>
      </w:r>
      <w:r>
        <w:t xml:space="preserve"> </w:t>
      </w:r>
      <w:r>
        <w:t xml:space="preserve">non-existent</w:t>
      </w:r>
      <w:r>
        <w:t xml:space="preserve"> </w:t>
      </w:r>
      <w:r>
        <w:t xml:space="preserve">“Bothe 2007</w:t>
      </w:r>
      <w:r>
        <w:t xml:space="preserve"> </w:t>
      </w:r>
      <w:r>
        <w:rPr>
          <w:i/>
          <w:iCs/>
        </w:rPr>
        <w:t xml:space="preserve">FEMS Rev</w:t>
      </w:r>
      <w:r>
        <w:t xml:space="preserve">”</w:t>
      </w:r>
      <w:r>
        <w:t xml:space="preserve"> </w:t>
      </w:r>
      <w:r>
        <w:t xml:space="preserve">→ Bothe 2000) were committed at git</w:t>
      </w:r>
      <w:r>
        <w:t xml:space="preserve"> </w:t>
      </w:r>
      <w:r>
        <w:t xml:space="preserve">hashes</w:t>
      </w:r>
      <w:r>
        <w:t xml:space="preserve"> </w:t>
      </w:r>
      <w:r>
        <w:rPr>
          <w:rStyle w:val="VerbatimChar"/>
        </w:rPr>
        <w:t xml:space="preserve">ddd3098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cae2de7</w:t>
      </w:r>
      <w:r>
        <w:t xml:space="preserve">; the original pre-registered versions remain</w:t>
      </w:r>
      <w:r>
        <w:t xml:space="preserve"> </w:t>
      </w:r>
      <w:r>
        <w:t xml:space="preserve">accessible in git history. A complete proof-of-extraction quality audit is</w:t>
      </w:r>
      <w:r>
        <w:t xml:space="preserve"> </w:t>
      </w:r>
      <w:r>
        <w:t xml:space="preserve">at</w:t>
      </w:r>
      <w:r>
        <w:t xml:space="preserve"> </w:t>
      </w:r>
      <w:hyperlink r:id="rId31">
        <w:r>
          <w:rPr>
            <w:rStyle w:val="VerbatimChar"/>
          </w:rPr>
          <w:t xml:space="preserve">paper/manuscript/hypothesis_references_audit.md</w:t>
        </w:r>
      </w:hyperlink>
      <w:r>
        <w:t xml:space="preserve"> </w:t>
      </w:r>
      <w:r>
        <w:t xml:space="preserve">(Supplementary Table S_refs).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1" w:name="discussion"/>
    <w:p>
      <w:pPr>
        <w:pStyle w:val="Heading2"/>
      </w:pPr>
      <w:r>
        <w:t xml:space="preserve">3. Discussion</w:t>
      </w:r>
    </w:p>
    <w:bookmarkStart w:id="35" w:name="X29be5e2d5320cd624ef763fc13663c6eb45ced6"/>
    <w:p>
      <w:pPr>
        <w:pStyle w:val="Heading3"/>
      </w:pPr>
      <w:r>
        <w:t xml:space="preserve">3.1 Framework as diagnostic instrument, not feature-rich tool</w:t>
      </w:r>
    </w:p>
    <w:p>
      <w:pPr>
        <w:pStyle w:val="FirstParagraph"/>
      </w:pPr>
      <w:r>
        <w:t xml:space="preserve">The methodological contribution of this work is best read as a unified</w:t>
      </w:r>
      <w:r>
        <w:t xml:space="preserve"> </w:t>
      </w:r>
      <w:r>
        <w:t xml:space="preserve">weight-of-evidence MCDA framework rather than as the count of individual</w:t>
      </w:r>
      <w:r>
        <w:t xml:space="preserve"> </w:t>
      </w:r>
      <w:r>
        <w:t xml:space="preserve">visualization features. EnvMeta itself is a reference implementation; the</w:t>
      </w:r>
      <w:r>
        <w:t xml:space="preserve"> </w:t>
      </w:r>
      <w:r>
        <w:t xml:space="preserve">underlying contribution is the integration of compositional debiasing,</w:t>
      </w:r>
      <w:r>
        <w:t xml:space="preserve"> </w:t>
      </w:r>
      <w:r>
        <w:t xml:space="preserve">permutation null calibration, and Bradford-Hill weighted-scoring into a</w:t>
      </w:r>
      <w:r>
        <w:t xml:space="preserve"> </w:t>
      </w:r>
      <w:r>
        <w:rPr>
          <w:b/>
          <w:bCs/>
        </w:rPr>
        <w:t xml:space="preserve">single procedure that exposes five auditable diagnostic quantities per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t xml:space="preserve">. This contrasts with two adjacent approaches: feature-rich</w:t>
      </w:r>
      <w:r>
        <w:t xml:space="preserve"> </w:t>
      </w:r>
      <w:r>
        <w:t xml:space="preserve">visualization platforms (e.g., ImageGP 2 [10] and the broader iMeta</w:t>
      </w:r>
      <w:r>
        <w:t xml:space="preserve"> </w:t>
      </w:r>
      <w:r>
        <w:t xml:space="preserve">sister-tool ecosystem [16-21]) that emphasize plot reproduction breadth</w:t>
      </w:r>
      <w:r>
        <w:t xml:space="preserve"> </w:t>
      </w:r>
      <w:r>
        <w:t xml:space="preserve">across general biomedical workflows, and MAG-explorer interactive frameworks</w:t>
      </w:r>
      <w:r>
        <w:t xml:space="preserve"> </w:t>
      </w:r>
      <w:r>
        <w:t xml:space="preserve">(e.g., Anvi’o [10]) that emphasize exploratory pangenomic analysis. EnvMeta</w:t>
      </w:r>
      <w:r>
        <w:t xml:space="preserve"> </w:t>
      </w:r>
      <w:r>
        <w:t xml:space="preserve">shifts the value proposition from</w:t>
      </w:r>
      <w:r>
        <w:t xml:space="preserve"> </w:t>
      </w:r>
      <w:r>
        <w:rPr>
          <w:b/>
          <w:bCs/>
        </w:rPr>
        <w:t xml:space="preserve">“reproduce more plot types”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“expose the evidential intermediate quantities”</w:t>
      </w:r>
      <w:r>
        <w:t xml:space="preserve">, complementing rather</w:t>
      </w:r>
      <w:r>
        <w:t xml:space="preserve"> </w:t>
      </w:r>
      <w:r>
        <w:t xml:space="preserve">than competing with these platforms. The standalone offline interactive</w:t>
      </w:r>
      <w:r>
        <w:t xml:space="preserve"> </w:t>
      </w:r>
      <w:r>
        <w:t xml:space="preserve">HTML supplementary material (~400 KB embedding the analysis itself) is the</w:t>
      </w:r>
      <w:r>
        <w:t xml:space="preserve"> </w:t>
      </w:r>
      <w:r>
        <w:t xml:space="preserve">delivery mechanism through which the five auditable quantities reach</w:t>
      </w:r>
      <w:r>
        <w:t xml:space="preserve"> </w:t>
      </w:r>
      <w:r>
        <w:t xml:space="preserve">downstream reviewers and readers — collapsing the traditional</w:t>
      </w:r>
      <w:r>
        <w:t xml:space="preserve"> </w:t>
      </w:r>
      <w:r>
        <w:t xml:space="preserve">“supplementary</w:t>
      </w:r>
      <w:r>
        <w:t xml:space="preserve"> </w:t>
      </w:r>
      <w:r>
        <w:t xml:space="preserve">PDF + GitHub link”</w:t>
      </w:r>
      <w:r>
        <w:t xml:space="preserve"> </w:t>
      </w:r>
      <w:r>
        <w:t xml:space="preserve">pattern into a single self-contained file that a reviewer</w:t>
      </w:r>
      <w:r>
        <w:t xml:space="preserve"> </w:t>
      </w:r>
      <w:r>
        <w:t xml:space="preserve">can audit interactively without re-running pipeline.</w:t>
      </w:r>
    </w:p>
    <w:bookmarkEnd w:id="35"/>
    <w:bookmarkStart w:id="36" w:name="X5b9f4c1616d876a01790588f516e2a4f061110f"/>
    <w:p>
      <w:pPr>
        <w:pStyle w:val="Heading3"/>
      </w:pPr>
      <w:r>
        <w:t xml:space="preserve">3.2 Calibration evidence is KEGG-coverage-dependent, not domain-neutral</w:t>
      </w:r>
    </w:p>
    <w:p>
      <w:pPr>
        <w:pStyle w:val="FirstParagraph"/>
      </w:pPr>
      <w:r>
        <w:t xml:space="preserve">The four-arm controlled experiment (§2.4, Table 1) provides what we term</w:t>
      </w:r>
      <w:r>
        <w:t xml:space="preserve"> </w:t>
      </w:r>
      <w:r>
        <w:rPr>
          <w:b/>
          <w:bCs/>
        </w:rPr>
        <w:t xml:space="preserve">KEGG-coverage-dependent calibration evidence</w:t>
      </w:r>
      <w:r>
        <w:t xml:space="preserve">: under fixed default</w:t>
      </w:r>
      <w:r>
        <w:t xml:space="preserve"> </w:t>
      </w:r>
      <w:r>
        <w:t xml:space="preserve">thresholds, the scoring engine returns</w:t>
      </w:r>
      <w:r>
        <w:t xml:space="preserve"> </w:t>
      </w:r>
      <w:r>
        <w:rPr>
          <w:rStyle w:val="VerbatimChar"/>
        </w:rPr>
        <w:t xml:space="preserve">STRONG</w:t>
      </w:r>
      <w:r>
        <w:t xml:space="preserve"> </w:t>
      </w:r>
      <w:r>
        <w:t xml:space="preserve">for the four datasets that</w:t>
      </w:r>
      <w:r>
        <w:t xml:space="preserve"> </w:t>
      </w:r>
      <w:r>
        <w:t xml:space="preserve">supply canonical KEGG annotation (KofamScan, DRAM, METABOLIC, or end-to-end</w:t>
      </w:r>
      <w:r>
        <w:t xml:space="preserve"> </w:t>
      </w:r>
      <w:r>
        <w:t xml:space="preserve">Pyrodigal + GhostKOALA), and would return</w:t>
      </w:r>
      <w:r>
        <w:t xml:space="preserve"> </w:t>
      </w:r>
      <w:r>
        <w:rPr>
          <w:rStyle w:val="VerbatimChar"/>
        </w:rPr>
        <w:t xml:space="preserve">INSUFFICIENT</w:t>
      </w:r>
      <w:r>
        <w:t xml:space="preserve"> </w:t>
      </w:r>
      <w:r>
        <w:t xml:space="preserve">for any dataset</w:t>
      </w:r>
      <w:r>
        <w:t xml:space="preserve"> </w:t>
      </w:r>
      <w:r>
        <w:t xml:space="preserve">whose published annotation is restricted to a custom narrow gene subset.</w:t>
      </w:r>
      <w:r>
        <w:t xml:space="preserve"> </w:t>
      </w:r>
      <w:r>
        <w:t xml:space="preserve">This pattern reflects two coupled effects: the engine performs as designed</w:t>
      </w:r>
      <w:r>
        <w:t xml:space="preserve"> </w:t>
      </w:r>
      <w:r>
        <w:t xml:space="preserve">when KEGG-orthology coverage is broad enough to span the target pathways</w:t>
      </w:r>
      <w:r>
        <w:t xml:space="preserve"> </w:t>
      </w:r>
      <w:r>
        <w:t xml:space="preserve">encoded in the knowledge base, and the</w:t>
      </w:r>
      <w:r>
        <w:t xml:space="preserve"> </w:t>
      </w:r>
      <w:r>
        <w:rPr>
          <w:rStyle w:val="VerbatimChar"/>
        </w:rPr>
        <w:t xml:space="preserve">INSUFFICIENT</w:t>
      </w:r>
      <w:r>
        <w:t xml:space="preserve"> </w:t>
      </w:r>
      <w:r>
        <w:t xml:space="preserve">outcome on</w:t>
      </w:r>
      <w:r>
        <w:t xml:space="preserve"> </w:t>
      </w:r>
      <w:r>
        <w:t xml:space="preserve">coverage-insufficient inputs is itself diagnostic — correctly flagging the</w:t>
      </w:r>
      <w:r>
        <w:t xml:space="preserve"> </w:t>
      </w:r>
      <w:r>
        <w:t xml:space="preserve">mismatch rather than failing silently or awarding partial credit. Together,</w:t>
      </w:r>
      <w:r>
        <w:t xml:space="preserve"> </w:t>
      </w:r>
      <w:r>
        <w:t xml:space="preserve">these observations position EnvMeta as a</w:t>
      </w:r>
      <w:r>
        <w:t xml:space="preserve"> </w:t>
      </w:r>
      <w:r>
        <w:rPr>
          <w:b/>
          <w:bCs/>
        </w:rPr>
        <w:t xml:space="preserve">diagnostic instrument whose</w:t>
      </w:r>
      <w:r>
        <w:rPr>
          <w:b/>
          <w:bCs/>
        </w:rPr>
        <w:t xml:space="preserve"> </w:t>
      </w:r>
      <w:r>
        <w:rPr>
          <w:b/>
          <w:bCs/>
        </w:rPr>
        <w:t xml:space="preserve">performance is conditional on adequate KEGG coverage of the target</w:t>
      </w:r>
      <w:r>
        <w:rPr>
          <w:b/>
          <w:bCs/>
        </w:rPr>
        <w:t xml:space="preserve"> </w:t>
      </w:r>
      <w:r>
        <w:rPr>
          <w:b/>
          <w:bCs/>
        </w:rPr>
        <w:t xml:space="preserve">pathways</w:t>
      </w:r>
      <w:r>
        <w:t xml:space="preserve"> </w:t>
      </w:r>
      <w:r>
        <w:t xml:space="preserve">— not as an oracle that confirms or denies the user’s preferred</w:t>
      </w:r>
      <w:r>
        <w:t xml:space="preserve"> </w:t>
      </w:r>
      <w:r>
        <w:t xml:space="preserve">biological interpretation, and not as a domain-blind tool that performs</w:t>
      </w:r>
      <w:r>
        <w:t xml:space="preserve"> </w:t>
      </w:r>
      <w:r>
        <w:t xml:space="preserve">equally on any annotation regime.</w:t>
      </w:r>
    </w:p>
    <w:p>
      <w:pPr>
        <w:pStyle w:val="BodyText"/>
      </w:pPr>
      <w:r>
        <w:t xml:space="preserve">The stress-test layer (§2.4.1) extends this picture: the engine resists</w:t>
      </w:r>
      <w:r>
        <w:t xml:space="preserve"> </w:t>
      </w:r>
      <w:r>
        <w:t xml:space="preserve">awarding high scores to claims that violate environmental priors. The</w:t>
      </w:r>
      <w:r>
        <w:t xml:space="preserve"> </w:t>
      </w:r>
      <w:r>
        <w:t xml:space="preserve">cross-topic</w:t>
      </w:r>
      <w:r>
        <w:t xml:space="preserve"> </w:t>
      </w:r>
      <w:r>
        <w:t xml:space="preserve">“arsenate reduction should dominate”</w:t>
      </w:r>
      <w:r>
        <w:t xml:space="preserve"> </w:t>
      </w:r>
      <w:r>
        <w:t xml:space="preserve">claim was rejected with</w:t>
      </w:r>
      <w:r>
        <w:t xml:space="preserve"> </w:t>
      </w:r>
      <w:r>
        <w:rPr>
          <w:b/>
          <w:bCs/>
        </w:rPr>
        <w:t xml:space="preserve">n = 0 active MAGs in both non-arsenic datasets</w:t>
      </w:r>
      <w:r>
        <w:t xml:space="preserve"> </w:t>
      </w:r>
      <w:r>
        <w:t xml:space="preserve">(Grettenberger AMD stream,</w:t>
      </w:r>
      <w:r>
        <w:t xml:space="preserve"> </w:t>
      </w:r>
      <w:r>
        <w:t xml:space="preserve">Ayala IPB pit lake), ruling out the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concern that the universal</w:t>
      </w:r>
      <w:r>
        <w:t xml:space="preserve"> </w:t>
      </w:r>
      <w:r>
        <w:rPr>
          <w:i/>
          <w:iCs/>
        </w:rPr>
        <w:t xml:space="preserve">arsC</w:t>
      </w:r>
      <w:r>
        <w:t xml:space="preserve"> </w:t>
      </w:r>
      <w:r>
        <w:t xml:space="preserve">detoxification homolog would inflate cross-topic scores [10]. The</w:t>
      </w:r>
      <w:r>
        <w:t xml:space="preserve"> </w:t>
      </w:r>
      <w:r>
        <w:t xml:space="preserve">Popperian</w:t>
      </w:r>
      <w:r>
        <w:t xml:space="preserve"> </w:t>
      </w:r>
      <w:r>
        <w:rPr>
          <w:rStyle w:val="VerbatimChar"/>
        </w:rPr>
        <w:t xml:space="preserve">pathway_inactive</w:t>
      </w:r>
      <w:r>
        <w:t xml:space="preserve"> </w:t>
      </w:r>
      <w:r>
        <w:t xml:space="preserve">claim type returned the expected</w:t>
      </w:r>
      <w:r>
        <w:t xml:space="preserve"> </w:t>
      </w:r>
      <w:r>
        <w:rPr>
          <w:rStyle w:val="VerbatimChar"/>
        </w:rPr>
        <w:t xml:space="preserve">unsatisfied</w:t>
      </w:r>
      <w:r>
        <w:t xml:space="preserve"> </w:t>
      </w:r>
      <w:r>
        <w:t xml:space="preserve">label in 3/3 datasets. Together with the calibration result, the engine</w:t>
      </w:r>
      <w:r>
        <w:t xml:space="preserve"> </w:t>
      </w:r>
      <w:r>
        <w:t xml:space="preserve">behaves as domain-neutral within KEGG-coverage-adequate conditions. We are</w:t>
      </w:r>
      <w:r>
        <w:t xml:space="preserve"> </w:t>
      </w:r>
      <w:r>
        <w:t xml:space="preserve">explicit that a B-tier reporting limitation remains: the binary</w:t>
      </w:r>
      <w:r>
        <w:t xml:space="preserve"> </w:t>
      </w:r>
      <w:r>
        <w:rPr>
          <w:rStyle w:val="VerbatimChar"/>
        </w:rPr>
        <w:t xml:space="preserve">mean_completeness ≥ 50%</w:t>
      </w:r>
      <w:r>
        <w:t xml:space="preserve"> </w:t>
      </w:r>
      <w:r>
        <w:t xml:space="preserve">threshold cannot distinguish weak-but-present</w:t>
      </w:r>
      <w:r>
        <w:t xml:space="preserve"> </w:t>
      </w:r>
      <w:r>
        <w:t xml:space="preserve">oxidizer signals from dominance, motivating the v0.9.x</w:t>
      </w:r>
      <w:r>
        <w:t xml:space="preserve"> </w:t>
      </w:r>
      <w:r>
        <w:rPr>
          <w:rStyle w:val="VerbatimChar"/>
        </w:rPr>
        <w:t xml:space="preserve">dominance_score</w:t>
      </w:r>
      <w:r>
        <w:t xml:space="preserve"> </w:t>
      </w:r>
      <w:r>
        <w:t xml:space="preserve">engineering retrofit (§2.4.1). The v1/v2 results are reported side by side</w:t>
      </w:r>
      <w:r>
        <w:t xml:space="preserve"> </w:t>
      </w:r>
      <w:r>
        <w:t xml:space="preserve">(Table 2) to disclose the retrofit honestly rather than to claim independent</w:t>
      </w:r>
      <w:r>
        <w:t xml:space="preserve"> </w:t>
      </w:r>
      <w:r>
        <w:t xml:space="preserve">validation.</w:t>
      </w:r>
    </w:p>
    <w:bookmarkEnd w:id="36"/>
    <w:bookmarkStart w:id="37" w:name="Xc6613f7bb22a328388823ac0afb54ab056fc6c9"/>
    <w:p>
      <w:pPr>
        <w:pStyle w:val="Heading3"/>
      </w:pPr>
      <w:r>
        <w:t xml:space="preserve">3.3 Comparison with sequencing-vendor cloud platforms</w:t>
      </w:r>
    </w:p>
    <w:p>
      <w:pPr>
        <w:pStyle w:val="FirstParagraph"/>
      </w:pPr>
      <w:r>
        <w:t xml:space="preserve">For environmental-microbiology graduate students and small labs, the</w:t>
      </w:r>
      <w:r>
        <w:t xml:space="preserve"> </w:t>
      </w:r>
      <w:r>
        <w:t xml:space="preserve">real-world adoption competitor of an open-source bioinformatics tool is</w:t>
      </w:r>
      <w:r>
        <w:t xml:space="preserve"> </w:t>
      </w:r>
      <w:r>
        <w:t xml:space="preserve">typically not Anvi’o or QIIME2 (which have their own steep learning curves)</w:t>
      </w:r>
      <w:r>
        <w:t xml:space="preserve"> </w:t>
      </w:r>
      <w:r>
        <w:t xml:space="preserve">but rather the closed-source web cloud platforms operated by sequencing</w:t>
      </w:r>
      <w:r>
        <w:t xml:space="preserve"> </w:t>
      </w:r>
      <w:r>
        <w:t xml:space="preserve">vendors. These platforms excel at</w:t>
      </w:r>
      <w:r>
        <w:t xml:space="preserve"> </w:t>
      </w:r>
      <w:r>
        <w:t xml:space="preserve">“out-of-the-box”</w:t>
      </w:r>
      <w:r>
        <w:t xml:space="preserve"> </w:t>
      </w:r>
      <w:r>
        <w:t xml:space="preserve">amplicon and functional-gene</w:t>
      </w:r>
      <w:r>
        <w:t xml:space="preserve"> </w:t>
      </w:r>
      <w:r>
        <w:t xml:space="preserve">downstream analyses and at very large datasets (≥10000 MAGs / cloud-scale</w:t>
      </w:r>
      <w:r>
        <w:t xml:space="preserve"> </w:t>
      </w:r>
      <w:r>
        <w:t xml:space="preserve">compute), but they share three structural limitations relevant to this</w:t>
      </w:r>
      <w:r>
        <w:t xml:space="preserve"> </w:t>
      </w:r>
      <w:r>
        <w:t xml:space="preserve">work: (i) closed source — users cannot inspect or extend the analysis logic,</w:t>
      </w:r>
      <w:r>
        <w:t xml:space="preserve"> </w:t>
      </w:r>
      <w:r>
        <w:t xml:space="preserve">limiting reproducibility audit; (ii) no element-cycle inference or hypothesis</w:t>
      </w:r>
      <w:r>
        <w:t xml:space="preserve"> </w:t>
      </w:r>
      <w:r>
        <w:t xml:space="preserve">scoring — the analytical layer EnvMeta targets is absent; (iii) data</w:t>
      </w:r>
      <w:r>
        <w:t xml:space="preserve"> </w:t>
      </w:r>
      <w:r>
        <w:t xml:space="preserve">sovereignty concerns — uploading data to vendor cloud servers can conflict</w:t>
      </w:r>
      <w:r>
        <w:t xml:space="preserve"> </w:t>
      </w:r>
      <w:r>
        <w:t xml:space="preserve">with institutional data-management policies. EnvMeta therefore positions</w:t>
      </w:r>
      <w:r>
        <w:t xml:space="preserve"> </w:t>
      </w:r>
      <w:r>
        <w:t xml:space="preserve">itself as a middle layer:</w:t>
      </w:r>
      <w:r>
        <w:t xml:space="preserve"> </w:t>
      </w:r>
      <w:r>
        <w:rPr>
          <w:b/>
          <w:bCs/>
        </w:rPr>
        <w:t xml:space="preserve">more flexible than cloud platforms</w:t>
      </w:r>
      <w:r>
        <w:t xml:space="preserve"> </w:t>
      </w:r>
      <w:r>
        <w:t xml:space="preserve">(open</w:t>
      </w:r>
      <w:r>
        <w:t xml:space="preserve"> </w:t>
      </w:r>
      <w:r>
        <w:t xml:space="preserve">source, locally extensible, MIT-licensed knowledge bases)</w:t>
      </w:r>
      <w:r>
        <w:t xml:space="preserve"> </w:t>
      </w:r>
      <w:r>
        <w:rPr>
          <w:b/>
          <w:bCs/>
        </w:rPr>
        <w:t xml:space="preserve">and more</w:t>
      </w:r>
      <w:r>
        <w:rPr>
          <w:b/>
          <w:bCs/>
        </w:rPr>
        <w:t xml:space="preserve"> </w:t>
      </w:r>
      <w:r>
        <w:rPr>
          <w:b/>
          <w:bCs/>
        </w:rPr>
        <w:t xml:space="preserve">accessible than HPC-grade pipelines like Anvi’o</w:t>
      </w:r>
      <w:r>
        <w:t xml:space="preserve"> </w:t>
      </w:r>
      <w:r>
        <w:t xml:space="preserve">(no contigs-database</w:t>
      </w:r>
      <w:r>
        <w:t xml:space="preserve"> </w:t>
      </w:r>
      <w:r>
        <w:t xml:space="preserve">preparation, no panagenome workflow setup, runs in 30-120 s on a standard</w:t>
      </w:r>
      <w:r>
        <w:t xml:space="preserve"> </w:t>
      </w:r>
      <w:r>
        <w:t xml:space="preserve">laptop).</w:t>
      </w:r>
    </w:p>
    <w:bookmarkEnd w:id="37"/>
    <w:bookmarkStart w:id="38" w:name="X95f8aeb015c8fd313c9330b661358a01f8afb65"/>
    <w:p>
      <w:pPr>
        <w:pStyle w:val="Heading3"/>
      </w:pPr>
      <w:r>
        <w:t xml:space="preserve">3.4 Fork-rather-than-community distribution model</w:t>
      </w:r>
    </w:p>
    <w:p>
      <w:pPr>
        <w:pStyle w:val="FirstParagraph"/>
      </w:pPr>
      <w:r>
        <w:t xml:space="preserve">A deliberate design choice is the</w:t>
      </w:r>
      <w:r>
        <w:t xml:space="preserve"> </w:t>
      </w:r>
      <w:r>
        <w:rPr>
          <w:b/>
          <w:bCs/>
        </w:rPr>
        <w:t xml:space="preserve">fork-rather-than-community</w:t>
      </w:r>
      <w:r>
        <w:t xml:space="preserve"> </w:t>
      </w:r>
      <w:r>
        <w:t xml:space="preserve">model:</w:t>
      </w:r>
      <w:r>
        <w:t xml:space="preserve"> </w:t>
      </w:r>
      <w:r>
        <w:t xml:space="preserve">EnvMeta ships with a default biogeochemical-cycle knowledge base (KB v2.0)</w:t>
      </w:r>
      <w:r>
        <w:t xml:space="preserve"> </w:t>
      </w:r>
      <w:r>
        <w:t xml:space="preserve">and a six-claim YAML schema, but no centralized community repository for</w:t>
      </w:r>
      <w:r>
        <w:t xml:space="preserve"> </w:t>
      </w:r>
      <w:r>
        <w:t xml:space="preserve">user-contributed knowledge bases or hypothesis YAMLs. Each downstream</w:t>
      </w:r>
      <w:r>
        <w:t xml:space="preserve"> </w:t>
      </w:r>
      <w:r>
        <w:t xml:space="preserve">publication ships its own Fork Bundle (KB + YAML + config + KEGG snapshot</w:t>
      </w:r>
      <w:r>
        <w:t xml:space="preserve"> </w:t>
      </w:r>
      <w:r>
        <w:t xml:space="preserve">+ sample data) packaged as a zip; reproduction of published figures requires</w:t>
      </w:r>
      <w:r>
        <w:t xml:space="preserve"> </w:t>
      </w:r>
      <w:r>
        <w:t xml:space="preserve">loading the publication-specific Bundle rather than fetching from a</w:t>
      </w:r>
      <w:r>
        <w:t xml:space="preserve"> </w:t>
      </w:r>
      <w:r>
        <w:t xml:space="preserve">community server. This model trades two costs against three benefits.</w:t>
      </w:r>
      <w:r>
        <w:t xml:space="preserve"> </w:t>
      </w:r>
      <w:r>
        <w:t xml:space="preserve">Costs: users working across multiple publications must fork to assemble</w:t>
      </w:r>
      <w:r>
        <w:t xml:space="preserve"> </w:t>
      </w:r>
      <w:r>
        <w:t xml:space="preserve">their workflow, and there is no centralized discovery mechanism for new</w:t>
      </w:r>
      <w:r>
        <w:t xml:space="preserve"> </w:t>
      </w:r>
      <w:r>
        <w:t xml:space="preserve">hypothesis YAMLs. Benefits: zero community-maintenance overhead for the</w:t>
      </w:r>
      <w:r>
        <w:t xml:space="preserve"> </w:t>
      </w:r>
      <w:r>
        <w:t xml:space="preserve">core tool authors; 100% reproducibility of published figures (no version</w:t>
      </w:r>
      <w:r>
        <w:t xml:space="preserve"> </w:t>
      </w:r>
      <w:r>
        <w:t xml:space="preserve">drift between tool releases and published Bundles); and each downstream</w:t>
      </w:r>
      <w:r>
        <w:t xml:space="preserve"> </w:t>
      </w:r>
      <w:r>
        <w:t xml:space="preserve">research domain retains full control over the scientific-knowledge encoding</w:t>
      </w:r>
      <w:r>
        <w:t xml:space="preserve"> </w:t>
      </w:r>
      <w:r>
        <w:t xml:space="preserve">without seeking maintainer approval. The model is analogous to Linux</w:t>
      </w:r>
      <w:r>
        <w:t xml:space="preserve"> </w:t>
      </w:r>
      <w:r>
        <w:t xml:space="preserve">distributions vs. Bioconductor: the former trades discovery cost for</w:t>
      </w:r>
      <w:r>
        <w:t xml:space="preserve"> </w:t>
      </w:r>
      <w:r>
        <w:t xml:space="preserve">distribution autonomy, the latter trades distribution autonomy for</w:t>
      </w:r>
      <w:r>
        <w:t xml:space="preserve"> </w:t>
      </w:r>
      <w:r>
        <w:t xml:space="preserve">discovery cost. For specialist environmental-microbiology workflows with</w:t>
      </w:r>
      <w:r>
        <w:t xml:space="preserve"> </w:t>
      </w:r>
      <w:r>
        <w:t xml:space="preserve">publication-bound knowledge bases, we judge the Linux-distribution analog</w:t>
      </w:r>
      <w:r>
        <w:t xml:space="preserve"> </w:t>
      </w:r>
      <w:r>
        <w:t xml:space="preserve">to be the appropriate trade.</w:t>
      </w:r>
    </w:p>
    <w:bookmarkEnd w:id="38"/>
    <w:bookmarkStart w:id="39" w:name="limitations"/>
    <w:p>
      <w:pPr>
        <w:pStyle w:val="Heading3"/>
      </w:pPr>
      <w:r>
        <w:t xml:space="preserve">3.5 Limitations</w:t>
      </w:r>
    </w:p>
    <w:p>
      <w:pPr>
        <w:pStyle w:val="FirstParagraph"/>
      </w:pPr>
      <w:r>
        <w:rPr>
          <w:b/>
          <w:bCs/>
        </w:rPr>
        <w:t xml:space="preserve">(1) Residual author selection bias.</w:t>
      </w:r>
      <w:r>
        <w:t xml:space="preserve"> </w:t>
      </w:r>
      <w:r>
        <w:t xml:space="preserve">The single largest limitation of</w:t>
      </w:r>
      <w:r>
        <w:t xml:space="preserve"> </w:t>
      </w:r>
      <w:r>
        <w:t xml:space="preserve">the four-arm calibration. The in-house Arm A is most susceptible — the</w:t>
      </w:r>
      <w:r>
        <w:t xml:space="preserve"> </w:t>
      </w:r>
      <w:r>
        <w:t xml:space="preserve">authors authored the YAML for their own dataset — and we therefore frame</w:t>
      </w:r>
      <w:r>
        <w:t xml:space="preserve"> </w:t>
      </w:r>
      <w:r>
        <w:t xml:space="preserve">Arm A as a positive control (engine self-consistency check) rather than as</w:t>
      </w:r>
      <w:r>
        <w:t xml:space="preserve"> </w:t>
      </w:r>
      <w:r>
        <w:t xml:space="preserve">independent calibration evidence. The three external arms (Liu / Grettenberger</w:t>
      </w:r>
      <w:r>
        <w:t xml:space="preserve"> </w:t>
      </w:r>
      <w:r>
        <w:t xml:space="preserve">/ Ayala) are less susceptible because their YAMLs were written before</w:t>
      </w:r>
      <w:r>
        <w:t xml:space="preserve"> </w:t>
      </w:r>
      <w:r>
        <w:t xml:space="preserve">reading the corresponding paper’s specific findings, but they are not</w:t>
      </w:r>
      <w:r>
        <w:t xml:space="preserve"> </w:t>
      </w:r>
      <w:r>
        <w:t xml:space="preserve">bias-free: pre-registration locks claim entities but does not control for</w:t>
      </w:r>
      <w:r>
        <w:t xml:space="preserve"> </w:t>
      </w:r>
      <w:r>
        <w:t xml:space="preserve">cognitive selection of plausibly-satisfiable claims. The target-pathway</w:t>
      </w:r>
      <w:r>
        <w:t xml:space="preserve"> </w:t>
      </w:r>
      <w:r>
        <w:t xml:space="preserve">perturbation analysis (§2.4.2) provides auxiliary evidence consistent with</w:t>
      </w:r>
      <w:r>
        <w:t xml:space="preserve"> </w:t>
      </w:r>
      <w:r>
        <w:t xml:space="preserve">non-mechanical calibration — yielding a</w:t>
      </w:r>
      <w:r>
        <w:t xml:space="preserve"> </w:t>
      </w:r>
      <w:r>
        <w:rPr>
          <w:b/>
          <w:bCs/>
        </w:rPr>
        <w:t xml:space="preserve">monotonic annotation-breadth</w:t>
      </w:r>
      <w:r>
        <w:rPr>
          <w:b/>
          <w:bCs/>
        </w:rP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in cross-element STRONG retention (Arm A 100% → Grettenberger</w:t>
      </w:r>
      <w:r>
        <w:t xml:space="preserve"> </w:t>
      </w:r>
      <w:r>
        <w:t xml:space="preserve">30% → Ayala 15% → Liu 0%) — but the cleanest remaining mitigation is</w:t>
      </w:r>
      <w:r>
        <w:t xml:space="preserve"> </w:t>
      </w:r>
      <w:r>
        <w:rPr>
          <w:b/>
          <w:bCs/>
        </w:rPr>
        <w:t xml:space="preserve">blind hypothesis writing</w:t>
      </w:r>
      <w:r>
        <w:t xml:space="preserve"> </w:t>
      </w:r>
      <w:r>
        <w:t xml:space="preserve">by collaborators unfamiliar with target</w:t>
      </w:r>
      <w:r>
        <w:t xml:space="preserve"> </w:t>
      </w:r>
      <w:r>
        <w:t xml:space="preserve">findings, identified as future work (§3.6).</w:t>
      </w:r>
    </w:p>
    <w:p>
      <w:pPr>
        <w:pStyle w:val="BodyText"/>
      </w:pPr>
      <w:r>
        <w:rPr>
          <w:b/>
          <w:bCs/>
        </w:rPr>
        <w:t xml:space="preserve">(2) KEGG-coverage dependency.</w:t>
      </w:r>
      <w:r>
        <w:t xml:space="preserve"> </w:t>
      </w:r>
      <w:r>
        <w:t xml:space="preserve">As discussed in §3.2, calibration evidence</w:t>
      </w:r>
      <w:r>
        <w:t xml:space="preserve"> </w:t>
      </w:r>
      <w:r>
        <w:t xml:space="preserve">is conditional on adequate KEGG-orthology coverage of the target pathways.</w:t>
      </w:r>
      <w:r>
        <w:t xml:space="preserve"> </w:t>
      </w:r>
      <w:r>
        <w:t xml:space="preserve">The current four KEGG-curated arms span 13 to 1084 MAGs and KO target counts</w:t>
      </w:r>
      <w:r>
        <w:t xml:space="preserve"> </w:t>
      </w:r>
      <w:r>
        <w:t xml:space="preserve">8 to 35, but all use canonical annotation pipelines (KofamScan / DRAM /</w:t>
      </w:r>
      <w:r>
        <w:t xml:space="preserve"> </w:t>
      </w:r>
      <w:r>
        <w:t xml:space="preserve">METABOLIC / GhostKOALA). Generalization to ROCker-only or custom-gene-set</w:t>
      </w:r>
      <w:r>
        <w:t xml:space="preserve"> </w:t>
      </w:r>
      <w:r>
        <w:t xml:space="preserve">annotations remains untested and would likely return INSUFFICIENT correctly</w:t>
      </w:r>
      <w:r>
        <w:t xml:space="preserve"> </w:t>
      </w:r>
      <w:r>
        <w:t xml:space="preserve">(as in the Wei 2024 ROCker-14 case), but this should be documented in user</w:t>
      </w:r>
      <w:r>
        <w:t xml:space="preserve"> </w:t>
      </w:r>
      <w:r>
        <w:t xml:space="preserve">guidance.</w:t>
      </w:r>
    </w:p>
    <w:p>
      <w:pPr>
        <w:pStyle w:val="BodyText"/>
      </w:pPr>
      <w:r>
        <w:rPr>
          <w:b/>
          <w:bCs/>
        </w:rPr>
        <w:t xml:space="preserve">(3) KB coverage.</w:t>
      </w:r>
      <w:r>
        <w:t xml:space="preserve"> </w:t>
      </w:r>
      <w:r>
        <w:t xml:space="preserve">EnvMeta KB v2.0 covers 4 elements × 18 pathways × 57</w:t>
      </w:r>
      <w:r>
        <w:t xml:space="preserve"> </w:t>
      </w:r>
      <w:r>
        <w:t xml:space="preserve">KOs (As / N / S / Fe). Iron(II) oxidation and iron(III) reduction pathways</w:t>
      </w:r>
      <w:r>
        <w:t xml:space="preserve"> </w:t>
      </w:r>
      <w:r>
        <w:t xml:space="preserve">central to AMD biogeochemistry are not yet encoded;</w:t>
      </w:r>
      <w:r>
        <w:t xml:space="preserve"> </w:t>
      </w:r>
      <w:r>
        <w:rPr>
          <w:i/>
          <w:iCs/>
        </w:rPr>
        <w:t xml:space="preserve">arxA</w:t>
      </w:r>
      <w:r>
        <w:t xml:space="preserve"> </w:t>
      </w:r>
      <w:r>
        <w:t xml:space="preserve">anaerobic</w:t>
      </w:r>
      <w:r>
        <w:t xml:space="preserve"> </w:t>
      </w:r>
      <w:r>
        <w:t xml:space="preserve">arsenite oxidase and</w:t>
      </w:r>
      <w:r>
        <w:t xml:space="preserve"> </w:t>
      </w:r>
      <w:r>
        <w:rPr>
          <w:i/>
          <w:iCs/>
        </w:rPr>
        <w:t xml:space="preserve">nrfA</w:t>
      </w:r>
      <w:r>
        <w:t xml:space="preserve"> </w:t>
      </w:r>
      <w:r>
        <w:t xml:space="preserve">DNRA-pathway KOs lack KB mappings. KB v2.1</w:t>
      </w:r>
      <w:r>
        <w:t xml:space="preserve"> </w:t>
      </w:r>
      <w:r>
        <w:t xml:space="preserve">backlog includes these additions plus ROCker-model alias support.</w:t>
      </w:r>
    </w:p>
    <w:p>
      <w:pPr>
        <w:pStyle w:val="BodyText"/>
      </w:pPr>
      <w:r>
        <w:rPr>
          <w:b/>
          <w:bCs/>
        </w:rPr>
        <w:t xml:space="preserve">(4) Synthetic-dense scaling regime.</w:t>
      </w:r>
      <w:r>
        <w:t xml:space="preserve"> </w:t>
      </w:r>
      <w:r>
        <w:t xml:space="preserve">The 58-cell performance benchmark</w:t>
      </w:r>
      <w:r>
        <w:t xml:space="preserve"> </w:t>
      </w:r>
      <w:r>
        <w:t xml:space="preserve">includes a synthetic random KO assignment (25 KO/MAG) to approximate</w:t>
      </w:r>
      <w:r>
        <w:t xml:space="preserve"> </w:t>
      </w:r>
      <w:r>
        <w:t xml:space="preserve">full-KEGG annotation density. Real KofamScan / DRAM / METABOLIC annotations</w:t>
      </w:r>
      <w:r>
        <w:t xml:space="preserve"> </w:t>
      </w:r>
      <w:r>
        <w:t xml:space="preserve">cluster around organism-specific functional repertoires; synthetic-dense</w:t>
      </w:r>
      <w:r>
        <w:t xml:space="preserve"> </w:t>
      </w:r>
      <w:r>
        <w:t xml:space="preserve">scaling should be read as an upper-bound estimate rather than a faithful</w:t>
      </w:r>
      <w:r>
        <w:t xml:space="preserve"> </w:t>
      </w:r>
      <w:r>
        <w:t xml:space="preserve">reproduction of real-world annotation distributions. Direct comparison</w:t>
      </w:r>
      <w:r>
        <w:t xml:space="preserve"> </w:t>
      </w:r>
      <w:r>
        <w:t xml:space="preserve">against a fully KofamScan-annotated dataset is identified as future</w:t>
      </w:r>
      <w:r>
        <w:t xml:space="preserve"> </w:t>
      </w:r>
      <w:r>
        <w:t xml:space="preserve">validation.</w:t>
      </w:r>
    </w:p>
    <w:p>
      <w:pPr>
        <w:pStyle w:val="BodyText"/>
      </w:pPr>
      <w:r>
        <w:rPr>
          <w:b/>
          <w:bCs/>
        </w:rPr>
        <w:t xml:space="preserve">(5) Empirical scaling envelope.</w:t>
      </w:r>
      <w:r>
        <w:t xml:space="preserve"> </w:t>
      </w:r>
      <w:r>
        <w:t xml:space="preserve">Full-pipeline runtime stays under 2</w:t>
      </w:r>
      <w:r>
        <w:t xml:space="preserve"> </w:t>
      </w:r>
      <w:r>
        <w:t xml:space="preserve">minutes for the typical PhD-thesis metagenome (200-1000 MAGs × 30-100</w:t>
      </w:r>
      <w:r>
        <w:t xml:space="preserve"> </w:t>
      </w:r>
      <w:r>
        <w:t xml:space="preserve">samples × 4 env factors) and under 15 minutes for ~5000 MAGs (§2.8); the</w:t>
      </w:r>
      <w:r>
        <w:t xml:space="preserve"> </w:t>
      </w:r>
      <w:r>
        <w:t xml:space="preserve">5000-MAG ceiling is a soft constraint imposed by heatmap legibility and</w:t>
      </w:r>
      <w:r>
        <w:t xml:space="preserve"> </w:t>
      </w:r>
      <w:r>
        <w:t xml:space="preserve">typical user data scale rather than a runtime cliff. The tool targets</w:t>
      </w:r>
      <w:r>
        <w:t xml:space="preserve"> </w:t>
      </w:r>
      <w:r>
        <w:t xml:space="preserve">graduate-student and small-lab users complementing rather than competing</w:t>
      </w:r>
      <w:r>
        <w:t xml:space="preserve"> </w:t>
      </w:r>
      <w:r>
        <w:t xml:space="preserve">with HPC-grade pipelines.</w:t>
      </w:r>
    </w:p>
    <w:p>
      <w:pPr>
        <w:pStyle w:val="BodyText"/>
      </w:pPr>
      <w:r>
        <w:rPr>
          <w:b/>
          <w:bCs/>
        </w:rPr>
        <w:t xml:space="preserve">(6) Pre-publication hand-checks.</w:t>
      </w:r>
      <w:r>
        <w:t xml:space="preserve"> </w:t>
      </w:r>
      <w:r>
        <w:t xml:space="preserve">Post-hoc DOI verification identified</w:t>
      </w:r>
      <w:r>
        <w:t xml:space="preserve"> </w:t>
      </w:r>
      <w:r>
        <w:t xml:space="preserve">four reference errors in pre-registered YAMLs that do not affect scoring</w:t>
      </w:r>
      <w:r>
        <w:t xml:space="preserve"> </w:t>
      </w:r>
      <w:r>
        <w:t xml:space="preserve">outputs (§2.9.3, Supplementary Table S_refs). The error rate</w:t>
      </w:r>
      <w:r>
        <w:t xml:space="preserve"> </w:t>
      </w:r>
      <w:r>
        <w:t xml:space="preserve">(~4/120 ≈ 3%) emphasizes the value of building DOI verification into the</w:t>
      </w:r>
      <w:r>
        <w:t xml:space="preserve"> </w:t>
      </w:r>
      <w:r>
        <w:t xml:space="preserve">hypothesis-writing workflow itself; future YAMLs in</w:t>
      </w:r>
      <w:r>
        <w:t xml:space="preserve"> </w:t>
      </w:r>
      <w:r>
        <w:rPr>
          <w:rStyle w:val="VerbatimChar"/>
        </w:rPr>
        <w:t xml:space="preserve">docs/hypothesis_writing_guide.md</w:t>
      </w:r>
      <w:r>
        <w:t xml:space="preserve"> </w:t>
      </w:r>
      <w:r>
        <w:t xml:space="preserve">now require inline</w:t>
      </w:r>
      <w:r>
        <w:t xml:space="preserve"> </w:t>
      </w:r>
      <w:r>
        <w:rPr>
          <w:rStyle w:val="VerbatimChar"/>
        </w:rPr>
        <w:t xml:space="preserve"># DOI:</w:t>
      </w:r>
      <w:r>
        <w:t xml:space="preserve"> </w:t>
      </w:r>
      <w:r>
        <w:t xml:space="preserve">annotation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Direct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Inferred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Weak</w:t>
      </w:r>
      <w:r>
        <w:t xml:space="preserve"> </w:t>
      </w:r>
      <w:r>
        <w:t xml:space="preserve">proof-of-extraction grade.</w:t>
      </w:r>
    </w:p>
    <w:bookmarkEnd w:id="39"/>
    <w:bookmarkStart w:id="40" w:name="future-work"/>
    <w:p>
      <w:pPr>
        <w:pStyle w:val="Heading3"/>
      </w:pPr>
      <w:r>
        <w:t xml:space="preserve">3.6 Future work</w:t>
      </w:r>
    </w:p>
    <w:p>
      <w:pPr>
        <w:pStyle w:val="FirstParagraph"/>
      </w:pPr>
      <w:r>
        <w:t xml:space="preserve">Three methodological directions follow from this work. First,</w:t>
      </w:r>
      <w:r>
        <w:t xml:space="preserve"> </w:t>
      </w:r>
      <w:r>
        <w:rPr>
          <w:b/>
          <w:bCs/>
        </w:rPr>
        <w:t xml:space="preserve">third-party</w:t>
      </w:r>
      <w:r>
        <w:rPr>
          <w:b/>
          <w:bCs/>
        </w:rPr>
        <w:t xml:space="preserve"> </w:t>
      </w:r>
      <w:r>
        <w:rPr>
          <w:b/>
          <w:bCs/>
        </w:rPr>
        <w:t xml:space="preserve">blind stress YAMLs</w:t>
      </w:r>
      <w:r>
        <w:t xml:space="preserve">: in the next user-study iteration, collaborators</w:t>
      </w:r>
      <w:r>
        <w:t xml:space="preserve"> </w:t>
      </w:r>
      <w:r>
        <w:t xml:space="preserve">unfamiliar with the four target papers will be invited to author independent</w:t>
      </w:r>
      <w:r>
        <w:t xml:space="preserve"> </w:t>
      </w:r>
      <w:r>
        <w:t xml:space="preserve">stress YAMLs for the same datasets, providing a selection-bias-controlled</w:t>
      </w:r>
      <w:r>
        <w:t xml:space="preserve"> </w:t>
      </w:r>
      <w:r>
        <w:t xml:space="preserve">replication of the present calibration result. Second,</w:t>
      </w:r>
      <w:r>
        <w:t xml:space="preserve"> </w:t>
      </w:r>
      <w:r>
        <w:rPr>
          <w:b/>
          <w:bCs/>
        </w:rPr>
        <w:t xml:space="preserve">LLM-assisted</w:t>
      </w:r>
      <w:r>
        <w:rPr>
          <w:b/>
          <w:bCs/>
        </w:rPr>
        <w:t xml:space="preserve"> </w:t>
      </w:r>
      <w:r>
        <w:rPr>
          <w:b/>
          <w:bCs/>
        </w:rPr>
        <w:t xml:space="preserve">hypothesis YAML drafting</w:t>
      </w:r>
      <w:r>
        <w:t xml:space="preserve">: an automated workflow that ingests an</w:t>
      </w:r>
      <w:r>
        <w:t xml:space="preserve"> </w:t>
      </w:r>
      <w:r>
        <w:t xml:space="preserve">environmental description and a list of recent reviews, produces a</w:t>
      </w:r>
      <w:r>
        <w:t xml:space="preserve"> </w:t>
      </w:r>
      <w:r>
        <w:t xml:space="preserve">candidate calibration-plus-stress YAML, and flags claim entities that might</w:t>
      </w:r>
      <w:r>
        <w:t xml:space="preserve"> </w:t>
      </w:r>
      <w:r>
        <w:t xml:space="preserve">fail DOI verification or proof-of-extraction grading. The hypothesis</w:t>
      </w:r>
      <w:r>
        <w:t xml:space="preserve"> </w:t>
      </w:r>
      <w:r>
        <w:t xml:space="preserve">scorer’s design — pre-registration discipline + binary status reporting +</w:t>
      </w:r>
      <w:r>
        <w:t xml:space="preserve"> </w:t>
      </w:r>
      <w:r>
        <w:t xml:space="preserve">claim-entity immutability — makes it well-suited to LLM-assisted authoring</w:t>
      </w:r>
      <w:r>
        <w:t xml:space="preserve"> </w:t>
      </w:r>
      <w:r>
        <w:t xml:space="preserve">precisely because drafting errors surface mechanically rather than masking</w:t>
      </w:r>
      <w:r>
        <w:t xml:space="preserve"> </w:t>
      </w:r>
      <w:r>
        <w:t xml:space="preserve">silently. Third, an</w:t>
      </w:r>
      <w:r>
        <w:t xml:space="preserve"> </w:t>
      </w:r>
      <w:r>
        <w:rPr>
          <w:b/>
          <w:bCs/>
        </w:rPr>
        <w:t xml:space="preserve">L3 plugin framework</w:t>
      </w:r>
      <w:r>
        <w:t xml:space="preserve"> </w:t>
      </w:r>
      <w:r>
        <w:t xml:space="preserve">(delivery after publication</w:t>
      </w:r>
      <w:r>
        <w:t xml:space="preserve"> </w:t>
      </w:r>
      <w:r>
        <w:t xml:space="preserve">acceptance) allowing users to upload Python</w:t>
      </w:r>
      <w:r>
        <w:t xml:space="preserve"> </w:t>
      </w:r>
      <w:r>
        <w:rPr>
          <w:rStyle w:val="VerbatimChar"/>
        </w:rPr>
        <w:t xml:space="preserve">analyze()</w:t>
      </w:r>
      <w:r>
        <w:t xml:space="preserve"> </w:t>
      </w:r>
      <w:r>
        <w:t xml:space="preserve">modules that</w:t>
      </w:r>
      <w:r>
        <w:t xml:space="preserve"> </w:t>
      </w:r>
      <w:r>
        <w:t xml:space="preserve">auto-register in the GUI, broadening EnvMeta’s analytical menu beyond the</w:t>
      </w:r>
      <w:r>
        <w:t xml:space="preserve"> </w:t>
      </w:r>
      <w:r>
        <w:t xml:space="preserve">current fourteen built-in figures without centralized maintenance.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79" w:name="methods"/>
    <w:p>
      <w:pPr>
        <w:pStyle w:val="Heading2"/>
      </w:pPr>
      <w:r>
        <w:t xml:space="preserve">4. Methods</w:t>
      </w:r>
    </w:p>
    <w:bookmarkStart w:id="44" w:name="Xb173ffb32e3a8455f10132cb0e814a9bda336d8"/>
    <w:p>
      <w:pPr>
        <w:pStyle w:val="Heading3"/>
      </w:pPr>
      <w:r>
        <w:t xml:space="preserve">4.0 Algorithmic Framework — Hierarchical Weight-of-Evidence MCDA</w:t>
      </w:r>
    </w:p>
    <w:bookmarkStart w:id="42" w:name="notation"/>
    <w:p>
      <w:pPr>
        <w:pStyle w:val="Heading4"/>
      </w:pPr>
      <w:r>
        <w:t xml:space="preserve">4.0.1 Notation</w:t>
      </w:r>
    </w:p>
    <w:p>
      <w:pPr>
        <w:pStyle w:val="FirstParagraph"/>
      </w:pPr>
      <w:r>
        <w:rPr>
          <w:b/>
          <w:bCs/>
        </w:rPr>
        <w:t xml:space="preserve">Table N1 — Symbols and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𝒢 = {g₁, …, g_M}</w:t>
            </w:r>
          </w:p>
        </w:tc>
        <w:tc>
          <w:tcPr/>
          <w:p>
            <w:pPr>
              <w:pStyle w:val="Compact"/>
            </w:pPr>
            <w:r>
              <w:t xml:space="preserve">Set of M MAGs (genomes)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𝒮 = {s₁, …, s_N}</w:t>
            </w:r>
          </w:p>
        </w:tc>
        <w:tc>
          <w:tcPr/>
          <w:p>
            <w:pPr>
              <w:pStyle w:val="Compact"/>
            </w:pPr>
            <w:r>
              <w:t xml:space="preserve">Set of N samples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𝒦 = {k₁, …, k_K}</w:t>
            </w:r>
          </w:p>
        </w:tc>
        <w:tc>
          <w:tcPr/>
          <w:p>
            <w:pPr>
              <w:pStyle w:val="Compact"/>
            </w:pPr>
            <w:r>
              <w:t xml:space="preserve">Set of K KO target IDs</w:t>
            </w:r>
          </w:p>
        </w:tc>
        <w:tc>
          <w:tcPr/>
          <w:p>
            <w:pPr>
              <w:pStyle w:val="Compact"/>
            </w:pPr>
            <w:r>
              <w:t xml:space="preserve">57 (KB v2.0)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𝒫 = {p₁, …, p_P}</w:t>
            </w:r>
          </w:p>
        </w:tc>
        <w:tc>
          <w:tcPr/>
          <w:p>
            <w:pPr>
              <w:pStyle w:val="Compact"/>
            </w:pPr>
            <w:r>
              <w:t xml:space="preserve">Set of P element-cycle pathways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𝒞 = {c₁, …, c_C}</w:t>
            </w:r>
          </w:p>
        </w:tc>
        <w:tc>
          <w:tcPr/>
          <w:p>
            <w:pPr>
              <w:pStyle w:val="Compact"/>
            </w:pPr>
            <w:r>
              <w:t xml:space="preserve">Set of C user claims (YAML)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ℰ = {e₁, …, e_J}</w:t>
            </w:r>
          </w:p>
        </w:tc>
        <w:tc>
          <w:tcPr/>
          <w:p>
            <w:pPr>
              <w:pStyle w:val="Compact"/>
            </w:pPr>
            <w:r>
              <w:t xml:space="preserve">Set of J environmental factors</w:t>
            </w:r>
          </w:p>
        </w:tc>
        <w:tc>
          <w:tcPr/>
          <w:p>
            <w:pPr>
              <w:pStyle w:val="Compact"/>
            </w:pPr>
            <w:r>
              <w:t xml:space="preserve">varies (1-14)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∈ ℝ^(M×N)</w:t>
            </w:r>
          </w:p>
        </w:tc>
        <w:tc>
          <w:tcPr/>
          <w:p>
            <w:pPr>
              <w:pStyle w:val="Compact"/>
            </w:pPr>
            <w:r>
              <w:t xml:space="preserve">MAG abundance matrix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</w:t>
            </w:r>
            <w:r>
              <w:t xml:space="preserve"> </w:t>
            </w:r>
            <w:r>
              <w:t xml:space="preserve">∈ {0,1}^(M×K)</w:t>
            </w:r>
          </w:p>
        </w:tc>
        <w:tc>
          <w:tcPr/>
          <w:p>
            <w:pPr>
              <w:pStyle w:val="Compact"/>
            </w:pPr>
            <w:r>
              <w:t xml:space="preserve">KO presence matrix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τ₁ &lt; τ₂ &lt; τ₃</w:t>
            </w:r>
          </w:p>
        </w:tc>
        <w:tc>
          <w:tcPr/>
          <w:p>
            <w:pPr>
              <w:pStyle w:val="Compact"/>
            </w:pPr>
            <w:r>
              <w:t xml:space="preserve">Three pathway-completeness thresholds</w:t>
            </w:r>
          </w:p>
        </w:tc>
        <w:tc>
          <w:tcPr/>
          <w:p>
            <w:pPr>
              <w:pStyle w:val="Compact"/>
            </w:pPr>
            <w:r>
              <w:t xml:space="preserve">(0.4, 0.5, 0.6)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</w:t>
            </w:r>
          </w:p>
        </w:tc>
        <w:tc>
          <w:tcPr/>
          <w:p>
            <w:pPr>
              <w:pStyle w:val="Compact"/>
            </w:pPr>
            <w:r>
              <w:t xml:space="preserve">Permutation count</w:t>
            </w:r>
          </w:p>
        </w:tc>
        <w:tc>
          <w:tcPr/>
          <w:p>
            <w:pPr>
              <w:pStyle w:val="Compact"/>
            </w:pPr>
            <w:r>
              <w:t xml:space="preserve">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Weight perturbation magnitude</w:t>
            </w:r>
          </w:p>
        </w:tc>
        <w:tc>
          <w:tcPr/>
          <w:p>
            <w:pPr>
              <w:pStyle w:val="Compact"/>
            </w:pPr>
            <w:r>
              <w:t xml:space="preserve">±0.20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θ_strong</w:t>
            </w:r>
          </w:p>
        </w:tc>
        <w:tc>
          <w:tcPr/>
          <w:p>
            <w:pPr>
              <w:pStyle w:val="Compact"/>
            </w:pPr>
            <w:r>
              <w:t xml:space="preserve">Strong-label threshold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θ_suggestive</w:t>
            </w:r>
          </w:p>
        </w:tc>
        <w:tc>
          <w:tcPr/>
          <w:p>
            <w:pPr>
              <w:pStyle w:val="Compact"/>
            </w:pPr>
            <w:r>
              <w:t xml:space="preserve">Suggestive-label threshold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ε</w:t>
            </w:r>
          </w:p>
        </w:tc>
        <w:tc>
          <w:tcPr/>
          <w:p>
            <w:pPr>
              <w:pStyle w:val="Compact"/>
            </w:pPr>
            <w:r>
              <w:t xml:space="preserve">Saltelli weight-robustness band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η_min_dominance</w:t>
            </w:r>
          </w:p>
        </w:tc>
        <w:tc>
          <w:tcPr/>
          <w:p>
            <w:pPr>
              <w:pStyle w:val="Compact"/>
            </w:pPr>
            <w:r>
              <w:t xml:space="preserve">Minimum dominance fraction (pathway_active claim)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</w:tr>
    </w:tbl>
    <w:bookmarkEnd w:id="42"/>
    <w:bookmarkStart w:id="43" w:name="framework-overview"/>
    <w:p>
      <w:pPr>
        <w:pStyle w:val="Heading4"/>
      </w:pPr>
      <w:r>
        <w:t xml:space="preserve">4.0.2 Framework overview</w:t>
      </w:r>
    </w:p>
    <w:p>
      <w:pPr>
        <w:pStyle w:val="FirstParagraph"/>
      </w:pPr>
      <w:r>
        <w:t xml:space="preserve">The framework consumes inputs (</w:t>
      </w:r>
      <w:r>
        <w:rPr>
          <w:b/>
          <w:bCs/>
        </w:rPr>
        <w:t xml:space="preserve">A</w:t>
      </w:r>
      <w:r>
        <w:t xml:space="preserve">,</w:t>
      </w:r>
      <w:r>
        <w:t xml:space="preserve"> </w:t>
      </w:r>
      <w:r>
        <w:rPr>
          <w:b/>
          <w:bCs/>
        </w:rPr>
        <w:t xml:space="preserve">K</w:t>
      </w:r>
      <w:r>
        <w:t xml:space="preserve">, claim YAML 𝒞, environmental</w:t>
      </w:r>
      <w:r>
        <w:t xml:space="preserve"> </w:t>
      </w:r>
      <w:r>
        <w:t xml:space="preserve">factors ℰ) and emits, for each claim c ∈ 𝒞, a five-tuple diagnostic:</w:t>
      </w:r>
    </w:p>
    <w:p>
      <w:pPr>
        <w:pStyle w:val="BlockText"/>
      </w:pPr>
      <w:r>
        <w:rPr>
          <w:b/>
          <w:bCs/>
        </w:rPr>
        <w:t xml:space="preserve">D(c) = (score, weight_robust_score, null_p, evidence_count, confidence_label)</w:t>
      </w:r>
    </w:p>
    <w:p>
      <w:pPr>
        <w:pStyle w:val="FirstParagraph"/>
      </w:pPr>
      <w:r>
        <w:t xml:space="preserve">The pipeline composes three algorithmic stages —</w:t>
      </w:r>
      <w:r>
        <w:t xml:space="preserve"> </w:t>
      </w:r>
      <w:r>
        <w:rPr>
          <w:b/>
          <w:bCs/>
        </w:rPr>
        <w:t xml:space="preserve">S1</w:t>
      </w:r>
      <w:r>
        <w:t xml:space="preserve"> </w:t>
      </w:r>
      <w:r>
        <w:t xml:space="preserve">compositional</w:t>
      </w:r>
      <w:r>
        <w:t xml:space="preserve"> </w:t>
      </w:r>
      <w:r>
        <w:t xml:space="preserve">debiasing with three-threshold top-1 contributor sensitivity scanning,</w:t>
      </w:r>
      <w:r>
        <w:t xml:space="preserve"> </w:t>
      </w:r>
      <w:r>
        <w:rPr>
          <w:b/>
          <w:bCs/>
        </w:rPr>
        <w:t xml:space="preserve">S2</w:t>
      </w:r>
      <w:r>
        <w:t xml:space="preserve"> </w:t>
      </w:r>
      <w:r>
        <w:t xml:space="preserve">Fisher 999-permutation null calibration, and</w:t>
      </w:r>
      <w:r>
        <w:t xml:space="preserve"> </w:t>
      </w:r>
      <w:r>
        <w:rPr>
          <w:b/>
          <w:bCs/>
        </w:rPr>
        <w:t xml:space="preserve">S3</w:t>
      </w:r>
      <w:r>
        <w:t xml:space="preserve"> </w:t>
      </w:r>
      <w:r>
        <w:t xml:space="preserve">weighted-sum</w:t>
      </w:r>
      <w:r>
        <w:t xml:space="preserve"> </w:t>
      </w:r>
      <w:r>
        <w:t xml:space="preserve">MCDA scoring with Bradford-Hill required-veto and Saltelli ±δ one-at-a-time</w:t>
      </w:r>
      <w:r>
        <w:t xml:space="preserve"> </w:t>
      </w:r>
      <w:r>
        <w:t xml:space="preserve">sensitivity. Each stage’s output is independently inspectable downstream,</w:t>
      </w:r>
      <w:r>
        <w:t xml:space="preserve"> </w:t>
      </w:r>
      <w:r>
        <w:t xml:space="preserve">supporting reproducibility audit at every intermediate quantity.</w:t>
      </w:r>
    </w:p>
    <w:p>
      <w:pPr>
        <w:pStyle w:val="BodyText"/>
      </w:pPr>
      <w:r>
        <w:t xml:space="preserve">[</w:t>
      </w:r>
      <w:r>
        <w:rPr>
          <w:b/>
          <w:bCs/>
        </w:rPr>
        <w:t xml:space="preserve">Algorithms 1-4 + Equation 1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paper/manuscript/outline_gpb.md</w:t>
      </w:r>
      <w:r>
        <w:t xml:space="preserve"> </w:t>
      </w:r>
      <w:r>
        <w:t xml:space="preserve">§5.4.0</w:t>
      </w:r>
      <w:r>
        <w:t xml:space="preserve"> </w:t>
      </w:r>
      <w:r>
        <w:t xml:space="preserve">for full pseudocode of master pipeline, S1 debias, S2 perm-p, S3 MCDA, and</w:t>
      </w:r>
      <w:r>
        <w:t xml:space="preserve"> </w:t>
      </w:r>
      <w:r>
        <w:t xml:space="preserve">WoE label assignment. Time complexity Table N2: O(P × J × α × N log N + C × α × |c|²) + O(M × N).]</w:t>
      </w:r>
    </w:p>
    <w:p>
      <w:pPr>
        <w:pStyle w:val="BodyText"/>
      </w:pPr>
      <w:r>
        <w:t xml:space="preserve">[</w:t>
      </w:r>
      <w:r>
        <w:rPr>
          <w:b/>
          <w:bCs/>
        </w:rPr>
        <w:t xml:space="preserve">Reproducibility audit invariants</w:t>
      </w:r>
      <w:r>
        <w:t xml:space="preserve">: 5 quantities exposed per claim</w:t>
      </w:r>
      <w:r>
        <w:t xml:space="preserve"> </w:t>
      </w:r>
      <w:r>
        <w:t xml:space="preserve">(score, weight_robust, null_p, evidence_count, confidence_label) enabling</w:t>
      </w:r>
      <w:r>
        <w:t xml:space="preserve"> </w:t>
      </w:r>
      <w:r>
        <w:t xml:space="preserve">independent verification without re-running the pipeline. Persisted in JSON</w:t>
      </w:r>
      <w:r>
        <w:t xml:space="preserve"> </w:t>
      </w:r>
      <w:r>
        <w:t xml:space="preserve">(HTML export) and TSV (CLI export).]</w:t>
      </w:r>
    </w:p>
    <w:bookmarkEnd w:id="43"/>
    <w:bookmarkEnd w:id="44"/>
    <w:bookmarkStart w:id="45" w:name="file-identification-module"/>
    <w:p>
      <w:pPr>
        <w:pStyle w:val="Heading3"/>
      </w:pPr>
      <w:r>
        <w:t xml:space="preserve">4.1 File identification module</w:t>
      </w:r>
    </w:p>
    <w:p>
      <w:pPr>
        <w:pStyle w:val="FirstParagraph"/>
      </w:pPr>
      <w:r>
        <w:t xml:space="preserve">EnvMeta recognizes 11 input file types via deterministic header-rule matching</w:t>
      </w:r>
      <w:r>
        <w:t xml:space="preserve"> </w:t>
      </w:r>
      <w:r>
        <w:t xml:space="preserve">against canonical column-alias dictionaries (covering common KofamScan / DRAM</w:t>
      </w:r>
      <w:r>
        <w:t xml:space="preserve"> </w:t>
      </w:r>
      <w:r>
        <w:t xml:space="preserve">/ METABOLIC / GhostKOALA / BUSCO outputs and standard amplicon TSV / CSV</w:t>
      </w:r>
      <w:r>
        <w:t xml:space="preserve"> </w:t>
      </w:r>
      <w:r>
        <w:t xml:space="preserve">formats). The classifier emits an explicit confidence score for each matched</w:t>
      </w:r>
      <w:r>
        <w:t xml:space="preserve"> </w:t>
      </w:r>
      <w:r>
        <w:t xml:space="preserve">type (</w:t>
      </w:r>
      <w:r>
        <w:rPr>
          <w:rStyle w:val="VerbatimChar"/>
        </w:rPr>
        <w:t xml:space="preserve">MAG</w:t>
      </w:r>
      <w:r>
        <w:t xml:space="preserve">-level abundance at 0.95,</w:t>
      </w:r>
      <w:r>
        <w:t xml:space="preserve"> </w:t>
      </w:r>
      <w:r>
        <w:rPr>
          <w:rStyle w:val="VerbatimChar"/>
        </w:rPr>
        <w:t xml:space="preserve">TAXON</w:t>
      </w:r>
      <w:r>
        <w:t xml:space="preserve">-level at 0.88, etc.) and exposes</w:t>
      </w:r>
      <w:r>
        <w:t xml:space="preserve"> </w:t>
      </w:r>
      <w:r>
        <w:t xml:space="preserve">a reverse-index UI suggesting which of the fourteen downstream figures can</w:t>
      </w:r>
      <w:r>
        <w:t xml:space="preserve"> </w:t>
      </w:r>
      <w:r>
        <w:t xml:space="preserve">be generated from a successfully-identified file. Unrecognized files trigger</w:t>
      </w:r>
      <w:r>
        <w:t xml:space="preserve"> </w:t>
      </w:r>
      <w:r>
        <w:t xml:space="preserve">a manual file-type override pulldown so analysis can proceed without</w:t>
      </w:r>
      <w:r>
        <w:t xml:space="preserve"> </w:t>
      </w:r>
      <w:r>
        <w:t xml:space="preserve">blocking on unrecognized header dialects.</w:t>
      </w:r>
    </w:p>
    <w:bookmarkEnd w:id="45"/>
    <w:bookmarkStart w:id="51" w:name="fourteen-figure-analysis-engine"/>
    <w:p>
      <w:pPr>
        <w:pStyle w:val="Heading3"/>
      </w:pPr>
      <w:r>
        <w:t xml:space="preserve">4.2 Fourteen-figure analysis engine</w:t>
      </w:r>
    </w:p>
    <w:p>
      <w:pPr>
        <w:pStyle w:val="FirstParagraph"/>
      </w:pPr>
      <w:r>
        <w:t xml:space="preserve">The analysis engine is organized into three coupled sub-modules:</w:t>
      </w:r>
      <w:r>
        <w:t xml:space="preserve"> </w:t>
      </w:r>
      <w:hyperlink r:id="rId46">
        <w:r>
          <w:rPr>
            <w:rStyle w:val="VerbatimChar"/>
          </w:rPr>
          <w:t xml:space="preserve">envmeta/analysis/</w:t>
        </w:r>
      </w:hyperlink>
      <w:r>
        <w:t xml:space="preserve"> </w:t>
      </w:r>
      <w:r>
        <w:t xml:space="preserve">(seven reads-based figures</w:t>
      </w:r>
      <w:r>
        <w:t xml:space="preserve"> </w:t>
      </w:r>
      <w:r>
        <w:t xml:space="preserve">+ five MAG-based figures),</w:t>
      </w:r>
      <w:r>
        <w:t xml:space="preserve"> </w:t>
      </w:r>
      <w:hyperlink r:id="rId47">
        <w:r>
          <w:rPr>
            <w:rStyle w:val="VerbatimChar"/>
          </w:rPr>
          <w:t xml:space="preserve">envmeta/geocycle/</w:t>
        </w:r>
      </w:hyperlink>
      <w:r>
        <w:t xml:space="preserve"> </w:t>
      </w:r>
      <w:r>
        <w:t xml:space="preserve">(biogeochemical cycle inference + interactive HTML export + Mockup 10 cell</w:t>
      </w:r>
      <w:r>
        <w:t xml:space="preserve"> </w:t>
      </w:r>
      <w:r>
        <w:t xml:space="preserve">renderer), and</w:t>
      </w:r>
      <w:r>
        <w:t xml:space="preserve"> </w:t>
      </w:r>
      <w:hyperlink r:id="rId48">
        <w:r>
          <w:rPr>
            <w:rStyle w:val="VerbatimChar"/>
          </w:rPr>
          <w:t xml:space="preserve">envmeta/help/</w:t>
        </w:r>
      </w:hyperlink>
      <w:r>
        <w:t xml:space="preserve"> </w:t>
      </w:r>
      <w:r>
        <w:t xml:space="preserve">(figure-choice wizard</w:t>
      </w:r>
      <w:r>
        <w:t xml:space="preserve"> </w:t>
      </w:r>
      <w:r>
        <w:t xml:space="preserve">+ in-app interpretation guides + reverse index). MAG-based figures share a</w:t>
      </w:r>
      <w:r>
        <w:t xml:space="preserve"> </w:t>
      </w:r>
      <w:r>
        <w:t xml:space="preserve">four-layer parameter panel</w:t>
      </w:r>
      <w:r>
        <w:t xml:space="preserve"> </w:t>
      </w:r>
      <w:r>
        <w:t xml:space="preserve">(</w:t>
      </w:r>
      <w:hyperlink r:id="rId49">
        <w:r>
          <w:rPr>
            <w:rStyle w:val="VerbatimChar"/>
          </w:rPr>
          <w:t xml:space="preserve">envmeta/analysis/_mag_common.py</w:t>
        </w:r>
      </w:hyperlink>
      <w:r>
        <w:t xml:space="preserve">)</w:t>
      </w:r>
      <w:r>
        <w:t xml:space="preserve"> </w:t>
      </w:r>
      <w:r>
        <w:t xml:space="preserve">covering filter mode (top-N / threshold / annotation-filtered), color</w:t>
      </w:r>
      <w:r>
        <w:t xml:space="preserve"> </w:t>
      </w:r>
      <w:r>
        <w:t xml:space="preserve">palette, annotation overlays, and clustering. All figures render via</w:t>
      </w:r>
      <w:r>
        <w:t xml:space="preserve"> </w:t>
      </w:r>
      <w:r>
        <w:t xml:space="preserve">matplotlib 3.8+ / seaborn under a headless</w:t>
      </w:r>
      <w:r>
        <w:t xml:space="preserve"> </w:t>
      </w:r>
      <w:r>
        <w:rPr>
          <w:rStyle w:val="VerbatimChar"/>
        </w:rPr>
        <w:t xml:space="preserve">Agg</w:t>
      </w:r>
      <w:r>
        <w:t xml:space="preserve"> </w:t>
      </w:r>
      <w:r>
        <w:t xml:space="preserve">backend matching</w:t>
      </w:r>
      <w:r>
        <w:t xml:space="preserve"> </w:t>
      </w:r>
      <w:r>
        <w:t xml:space="preserve">Streamlit’s server-side rendering. Per-figure synchronous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script</w:t>
      </w:r>
      <w:r>
        <w:t xml:space="preserve"> </w:t>
      </w:r>
      <w:r>
        <w:t xml:space="preserve">generation is delegated to</w:t>
      </w:r>
      <w:r>
        <w:t xml:space="preserve"> </w:t>
      </w:r>
      <w:hyperlink r:id="rId50">
        <w:r>
          <w:rPr>
            <w:rStyle w:val="VerbatimChar"/>
          </w:rPr>
          <w:t xml:space="preserve">envmeta/export/code_generator.py</w:t>
        </w:r>
      </w:hyperlink>
      <w:r>
        <w:t xml:space="preserve">,</w:t>
      </w:r>
      <w:r>
        <w:t xml:space="preserve"> </w:t>
      </w:r>
      <w:r>
        <w:t xml:space="preserve">which serializes the current parameter dictionary into a runnable</w:t>
      </w:r>
      <w:r>
        <w:t xml:space="preserve"> </w:t>
      </w:r>
      <w:r>
        <w:t xml:space="preserve">reproducer.</w:t>
      </w:r>
    </w:p>
    <w:bookmarkEnd w:id="51"/>
    <w:bookmarkStart w:id="54" w:name="Xa716f35b14494e0e180a725cf17913c6ad3b569"/>
    <w:p>
      <w:pPr>
        <w:pStyle w:val="Heading3"/>
      </w:pPr>
      <w:r>
        <w:t xml:space="preserve">4.3 Element-cycle inference pipeline (S1+S2+S3 implementation)</w:t>
      </w:r>
    </w:p>
    <w:p>
      <w:pPr>
        <w:pStyle w:val="FirstParagraph"/>
      </w:pPr>
      <w:r>
        <w:t xml:space="preserve">The element-cycle inference pipeline implements the algorithmic framework</w:t>
      </w:r>
      <w:r>
        <w:t xml:space="preserve"> </w:t>
      </w:r>
      <w:r>
        <w:t xml:space="preserve">specified in §4.0 (Algorithms 1-4 + Equation 1). The S1 compositional</w:t>
      </w:r>
      <w:r>
        <w:t xml:space="preserve"> </w:t>
      </w:r>
      <w:r>
        <w:t xml:space="preserve">debiasing stage is implemented in</w:t>
      </w:r>
      <w:r>
        <w:t xml:space="preserve"> </w:t>
      </w:r>
      <w:hyperlink r:id="rId26">
        <w:r>
          <w:rPr>
            <w:rStyle w:val="VerbatimChar"/>
          </w:rPr>
          <w:t xml:space="preserve">envmeta/geocycle/inference.py:debias_clr</w:t>
        </w:r>
      </w:hyperlink>
      <w:r>
        <w:t xml:space="preserve"> </w:t>
      </w:r>
      <w:r>
        <w:t xml:space="preserve">using scikit-bio’s CLR transformer with pseudocount 0.5; three-threshold</w:t>
      </w:r>
      <w:r>
        <w:t xml:space="preserve"> </w:t>
      </w:r>
      <w:r>
        <w:t xml:space="preserve">top-1 contributor scanning iterates pathway-completeness cutoffs</w:t>
      </w:r>
      <w:r>
        <w:t xml:space="preserve"> </w:t>
      </w:r>
      <w:r>
        <w:t xml:space="preserve">τ ∈ {0.4, 0.5, 0.6} and records per-pathway robustness flags. The S2</w:t>
      </w:r>
      <w:r>
        <w:t xml:space="preserve"> </w:t>
      </w:r>
      <w:r>
        <w:t xml:space="preserve">permutation null calibration is implemented via NumPy’s vectorized shuffle</w:t>
      </w:r>
      <w:r>
        <w:t xml:space="preserve"> </w:t>
      </w:r>
      <w:r>
        <w:t xml:space="preserve">operations (999 permutations × Spearman rank correlations); the</w:t>
      </w:r>
      <w:r>
        <w:t xml:space="preserve"> </w:t>
      </w:r>
      <w:r>
        <w:t xml:space="preserve">five-tier confidence labeling (</w:t>
      </w:r>
      <w:r>
        <w:rPr>
          <w:rStyle w:val="VerbatimChar"/>
        </w:rPr>
        <w:t xml:space="preserve">strong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suggestive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weak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spurious?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) follows the scheme in</w:t>
      </w:r>
      <w:r>
        <w:t xml:space="preserve"> </w:t>
      </w:r>
      <w:hyperlink r:id="rId52">
        <w:r>
          <w:rPr>
            <w:rStyle w:val="VerbatimChar"/>
          </w:rPr>
          <w:t xml:space="preserve">envmeta/geocycle/model.py:EnvCorrelation</w:t>
        </w:r>
      </w:hyperlink>
      <w:r>
        <w:t xml:space="preserve">.</w:t>
      </w:r>
      <w:r>
        <w:t xml:space="preserve"> </w:t>
      </w:r>
      <w:r>
        <w:t xml:space="preserve">The S3 MCDA scoring layer is implemented in</w:t>
      </w:r>
      <w:r>
        <w:t xml:space="preserve"> </w:t>
      </w:r>
      <w:hyperlink r:id="rId53">
        <w:r>
          <w:rPr>
            <w:rStyle w:val="VerbatimChar"/>
          </w:rPr>
          <w:t xml:space="preserve">envmeta/geocycle/hypothesis.py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handles the six claim types described in §4.4, the Bradford-Hill</w:t>
      </w:r>
      <w:r>
        <w:t xml:space="preserve"> </w:t>
      </w:r>
      <w:r>
        <w:t xml:space="preserve">required-veto, the Saltelli ±20% one-at-a-time weight perturbation, and the</w:t>
      </w:r>
      <w:r>
        <w:t xml:space="preserve"> </w:t>
      </w:r>
      <w:r>
        <w:t xml:space="preserve">claim-entity shuffle null calibration. Output dataclasses (CycleData,</w:t>
      </w:r>
      <w:r>
        <w:t xml:space="preserve"> </w:t>
      </w:r>
      <w:r>
        <w:t xml:space="preserve">ElementCycle, PathwayActivity, EnvCorrelation, MAGContribution,</w:t>
      </w:r>
      <w:r>
        <w:t xml:space="preserve"> </w:t>
      </w:r>
      <w:r>
        <w:t xml:space="preserve">SensitivityRow, HypothesisScore, ClaimResult) live in</w:t>
      </w:r>
      <w:r>
        <w:t xml:space="preserve"> </w:t>
      </w:r>
      <w:hyperlink r:id="rId52">
        <w:r>
          <w:rPr>
            <w:rStyle w:val="VerbatimChar"/>
          </w:rPr>
          <w:t xml:space="preserve">envmeta/geocycle/model.py</w:t>
        </w:r>
      </w:hyperlink>
      <w:r>
        <w:t xml:space="preserve"> </w:t>
      </w:r>
      <w:r>
        <w:t xml:space="preserve">and are</w:t>
      </w:r>
      <w:r>
        <w:t xml:space="preserve"> </w:t>
      </w:r>
      <w:r>
        <w:t xml:space="preserve">JSON-serializable to enable the HTML SI export described in §4.5.</w:t>
      </w:r>
    </w:p>
    <w:bookmarkEnd w:id="54"/>
    <w:bookmarkStart w:id="58" w:name="yaml-hypothesis-schema"/>
    <w:p>
      <w:pPr>
        <w:pStyle w:val="Heading3"/>
      </w:pPr>
      <w:r>
        <w:t xml:space="preserve">4.4 YAML hypothesis schema</w:t>
      </w:r>
    </w:p>
    <w:p>
      <w:pPr>
        <w:pStyle w:val="FirstParagraph"/>
      </w:pPr>
      <w:r>
        <w:t xml:space="preserve">The hypothesis YAML schema (v0.9.0) supports</w:t>
      </w:r>
      <w:r>
        <w:t xml:space="preserve"> </w:t>
      </w:r>
      <w:r>
        <w:rPr>
          <w:b/>
          <w:bCs/>
        </w:rPr>
        <w:t xml:space="preserve">six claim types</w:t>
      </w:r>
      <w:r>
        <w:t xml:space="preserve">:</w:t>
      </w:r>
      <w:r>
        <w:t xml:space="preserve"> </w:t>
      </w:r>
      <w:r>
        <w:t xml:space="preserve">(1)</w:t>
      </w:r>
      <w:r>
        <w:t xml:space="preserve"> </w:t>
      </w:r>
      <w:r>
        <w:rPr>
          <w:rStyle w:val="VerbatimChar"/>
        </w:rPr>
        <w:t xml:space="preserve">pathway_active</w:t>
      </w:r>
      <w:r>
        <w:t xml:space="preserve"> </w:t>
      </w:r>
      <w:r>
        <w:t xml:space="preserve">(a target pathway should have ≥ N active MAGs above a</w:t>
      </w:r>
      <w:r>
        <w:t xml:space="preserve"> </w:t>
      </w:r>
      <w:r>
        <w:t xml:space="preserve">completeness threshold and, with v0.9.x</w:t>
      </w:r>
      <w:r>
        <w:t xml:space="preserve"> </w:t>
      </w:r>
      <w:r>
        <w:rPr>
          <w:rStyle w:val="VerbatimChar"/>
        </w:rPr>
        <w:t xml:space="preserve">min_dominance_fraction</w:t>
      </w:r>
      <w:r>
        <w:t xml:space="preserve">, above a</w:t>
      </w:r>
      <w:r>
        <w:t xml:space="preserve"> </w:t>
      </w:r>
      <w:r>
        <w:t xml:space="preserve">minimum element-share threshold); (2)</w:t>
      </w:r>
      <w:r>
        <w:t xml:space="preserve"> </w:t>
      </w:r>
      <w:r>
        <w:rPr>
          <w:rStyle w:val="VerbatimChar"/>
        </w:rPr>
        <w:t xml:space="preserve">pathway_inactive</w:t>
      </w:r>
      <w:r>
        <w:t xml:space="preserve"> </w:t>
      </w:r>
      <w:r>
        <w:t xml:space="preserve">(Popperian</w:t>
      </w:r>
      <w:r>
        <w:t xml:space="preserve"> </w:t>
      </w:r>
      <w:r>
        <w:t xml:space="preserve">falsification — the target pathway should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be active); (3)</w:t>
      </w:r>
      <w:r>
        <w:t xml:space="preserve"> </w:t>
      </w:r>
      <w:r>
        <w:rPr>
          <w:rStyle w:val="VerbatimChar"/>
        </w:rPr>
        <w:t xml:space="preserve">coupling_possible</w:t>
      </w:r>
      <w:r>
        <w:t xml:space="preserve"> </w:t>
      </w:r>
      <w:r>
        <w:t xml:space="preserve">(two MAGs terminate a registered cross-element chemistry</w:t>
      </w:r>
      <w:r>
        <w:t xml:space="preserve"> </w:t>
      </w:r>
      <w:r>
        <w:t xml:space="preserve">coupling, e.g. As(III) + S²⁻ → As₂S₃); (4)</w:t>
      </w:r>
      <w:r>
        <w:t xml:space="preserve"> </w:t>
      </w:r>
      <w:r>
        <w:rPr>
          <w:rStyle w:val="VerbatimChar"/>
        </w:rPr>
        <w:t xml:space="preserve">env_correlation</w:t>
      </w:r>
      <w:r>
        <w:t xml:space="preserve"> </w:t>
      </w:r>
      <w:r>
        <w:t xml:space="preserve">(a (pathway,</w:t>
      </w:r>
      <w:r>
        <w:t xml:space="preserve"> </w:t>
      </w:r>
      <w:r>
        <w:t xml:space="preserve">environmental factor) Spearman correlation has the predicted sign and a</w:t>
      </w:r>
      <w:r>
        <w:t xml:space="preserve"> </w:t>
      </w:r>
      <w:r>
        <w:t xml:space="preserve">confidence label that survives 999-permutation null calibration);</w:t>
      </w:r>
      <w:r>
        <w:t xml:space="preserve"> </w:t>
      </w:r>
      <w:r>
        <w:t xml:space="preserve">(5)</w:t>
      </w:r>
      <w:r>
        <w:t xml:space="preserve"> </w:t>
      </w:r>
      <w:r>
        <w:rPr>
          <w:rStyle w:val="VerbatimChar"/>
        </w:rPr>
        <w:t xml:space="preserve">keystone_in_pathway</w:t>
      </w:r>
      <w:r>
        <w:t xml:space="preserve"> </w:t>
      </w:r>
      <w:r>
        <w:t xml:space="preserve">(a target pathway contains ≥ N keystone MAGs as</w:t>
      </w:r>
      <w:r>
        <w:t xml:space="preserve"> </w:t>
      </w:r>
      <w:r>
        <w:t xml:space="preserve">identified upstream by the user); (6)</w:t>
      </w:r>
      <w:r>
        <w:t xml:space="preserve"> </w:t>
      </w:r>
      <w:r>
        <w:rPr>
          <w:rStyle w:val="VerbatimChar"/>
        </w:rPr>
        <w:t xml:space="preserve">group_contrast</w:t>
      </w:r>
      <w:r>
        <w:t xml:space="preserve"> </w:t>
      </w:r>
      <w:r>
        <w:t xml:space="preserve">(pathway-level total</w:t>
      </w:r>
      <w:r>
        <w:t xml:space="preserve"> </w:t>
      </w:r>
      <w:r>
        <w:t xml:space="preserve">contribution in a treatment group exceeds that in a control by a</w:t>
      </w:r>
      <w:r>
        <w:t xml:space="preserve"> </w:t>
      </w:r>
      <w:r>
        <w:t xml:space="preserve">user-specified ratio). Each claim carries a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 </w:t>
      </w:r>
      <w:r>
        <w:t xml:space="preserve">and an optional</w:t>
      </w:r>
      <w:r>
        <w:t xml:space="preserve"> </w:t>
      </w:r>
      <w:r>
        <w:rPr>
          <w:rStyle w:val="VerbatimChar"/>
        </w:rPr>
        <w:t xml:space="preserve">required: true</w:t>
      </w:r>
      <w:r>
        <w:t xml:space="preserve"> </w:t>
      </w:r>
      <w:r>
        <w:t xml:space="preserve">flag triggering Bradford-Hill veto on zero-evidence</w:t>
      </w:r>
      <w:r>
        <w:t xml:space="preserve"> </w:t>
      </w:r>
      <w:r>
        <w:t xml:space="preserve">failure. Schema validation is performed via jsonschema (</w:t>
      </w:r>
      <w:r>
        <w:t xml:space="preserve"> </w:t>
      </w:r>
      <w:hyperlink r:id="rId55">
        <w:r>
          <w:rPr>
            <w:rStyle w:val="VerbatimChar"/>
          </w:rPr>
          <w:t xml:space="preserve">envmeta/tools/hypothesis_validator.py</w:t>
        </w:r>
      </w:hyperlink>
      <w:r>
        <w:t xml:space="preserve">).</w:t>
      </w:r>
      <w:r>
        <w:t xml:space="preserve"> </w:t>
      </w:r>
      <w:r>
        <w:t xml:space="preserve">The schema and writing guide are at</w:t>
      </w:r>
      <w:r>
        <w:t xml:space="preserve"> </w:t>
      </w:r>
      <w:hyperlink r:id="rId56">
        <w:r>
          <w:rPr>
            <w:rStyle w:val="VerbatimChar"/>
          </w:rPr>
          <w:t xml:space="preserve">docs/hypothesis_writing_guide.md</w:t>
        </w:r>
      </w:hyperlink>
      <w:r>
        <w:t xml:space="preserve"> </w:t>
      </w:r>
      <w:r>
        <w:t xml:space="preserve">and the design principles at</w:t>
      </w:r>
      <w:r>
        <w:t xml:space="preserve"> </w:t>
      </w:r>
      <w:hyperlink r:id="rId57">
        <w:r>
          <w:rPr>
            <w:rStyle w:val="VerbatimChar"/>
          </w:rPr>
          <w:t xml:space="preserve">paper/hypotheses/HYPOTHESIS_DESIGN_PRINCIPLES.md</w:t>
        </w:r>
      </w:hyperlink>
      <w:r>
        <w:t xml:space="preserve">.</w:t>
      </w:r>
    </w:p>
    <w:bookmarkEnd w:id="58"/>
    <w:bookmarkStart w:id="61" w:name="d3.js-interactive-html-export"/>
    <w:p>
      <w:pPr>
        <w:pStyle w:val="Heading3"/>
      </w:pPr>
      <w:r>
        <w:t xml:space="preserve">4.5 D3.js interactive HTML export</w:t>
      </w:r>
    </w:p>
    <w:p>
      <w:pPr>
        <w:pStyle w:val="FirstParagraph"/>
      </w:pPr>
      <w:r>
        <w:t xml:space="preserve">The interactive HTML export is implemented in</w:t>
      </w:r>
      <w:r>
        <w:t xml:space="preserve"> </w:t>
      </w:r>
      <w:hyperlink r:id="rId59">
        <w:r>
          <w:rPr>
            <w:rStyle w:val="VerbatimChar"/>
          </w:rPr>
          <w:t xml:space="preserve">envmeta/geocycle/html_exporter.py</w:t>
        </w:r>
      </w:hyperlink>
      <w:r>
        <w:t xml:space="preserve"> </w:t>
      </w:r>
      <w:r>
        <w:t xml:space="preserve">via inline-embedded D3.js v7 (~280 KB) into an HTML template</w:t>
      </w:r>
      <w:r>
        <w:t xml:space="preserve"> </w:t>
      </w:r>
      <w:r>
        <w:t xml:space="preserve">(</w:t>
      </w:r>
      <w:hyperlink r:id="rId60">
        <w:r>
          <w:rPr>
            <w:rStyle w:val="VerbatimChar"/>
          </w:rPr>
          <w:t xml:space="preserve">envmeta/geocycle/templates/cycle_interactive.html</w:t>
        </w:r>
      </w:hyperlink>
      <w:r>
        <w:t xml:space="preserve">;</w:t>
      </w:r>
      <w:r>
        <w:t xml:space="preserve"> </w:t>
      </w:r>
      <w:r>
        <w:t xml:space="preserve">~800 lines of HTML + CSS + JavaScript). The template replaces two</w:t>
      </w:r>
      <w:r>
        <w:t xml:space="preserve"> </w:t>
      </w:r>
      <w:r>
        <w:t xml:space="preserve">placeholders (</w:t>
      </w:r>
      <w:r>
        <w:rPr>
          <w:rStyle w:val="VerbatimChar"/>
        </w:rPr>
        <w:t xml:space="preserve">{{CYCLE_DATA_JSON}}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{{D3_JS_INLINE}}</w:t>
      </w:r>
      <w:r>
        <w:t xml:space="preserve">) at export time,</w:t>
      </w:r>
      <w:r>
        <w:t xml:space="preserve"> </w:t>
      </w:r>
      <w:r>
        <w:t xml:space="preserve">producing a single self-contained HTML file (400-550 KB depending on</w:t>
      </w:r>
      <w:r>
        <w:t xml:space="preserve"> </w:t>
      </w:r>
      <w:r>
        <w:t xml:space="preserve">cycle complexity). The HTML exposes four tabs — biogeochemical cycle (D3</w:t>
      </w:r>
      <w:r>
        <w:t xml:space="preserve"> </w:t>
      </w:r>
      <w:r>
        <w:t xml:space="preserve">forceSimulation with four-quadrant element constraints), hypothesis</w:t>
      </w:r>
      <w:r>
        <w:t xml:space="preserve"> </w:t>
      </w:r>
      <w:r>
        <w:t xml:space="preserve">scoring (sortable claim table + null_p distribution histogram + per-group</w:t>
      </w:r>
      <w:r>
        <w:t xml:space="preserve"> </w:t>
      </w:r>
      <w:r>
        <w:t xml:space="preserve">toggle), cross-group comparison (long-format DataFrame rendered as</w:t>
      </w:r>
      <w:r>
        <w:t xml:space="preserve"> </w:t>
      </w:r>
      <w:r>
        <w:t xml:space="preserve">heatmap), and parameter audit (full S1-S3 intermediate quantities) — plus</w:t>
      </w:r>
      <w:r>
        <w:t xml:space="preserve"> </w:t>
      </w:r>
      <w:r>
        <w:t xml:space="preserve">client-side SVG serialization for downstream editing in Inkscape/Illustrator.</w:t>
      </w:r>
      <w:r>
        <w:t xml:space="preserve"> </w:t>
      </w:r>
      <w:r>
        <w:t xml:space="preserve">The HTML is fully offline-capable; no network access is required after</w:t>
      </w:r>
      <w:r>
        <w:t xml:space="preserve"> </w:t>
      </w:r>
      <w:r>
        <w:t xml:space="preserve">download.</w:t>
      </w:r>
    </w:p>
    <w:bookmarkEnd w:id="61"/>
    <w:bookmarkStart w:id="65" w:name="performance-benchmark-implementation"/>
    <w:p>
      <w:pPr>
        <w:pStyle w:val="Heading3"/>
      </w:pPr>
      <w:r>
        <w:t xml:space="preserve">4.6 Performance benchmark implementation</w:t>
      </w:r>
    </w:p>
    <w:p>
      <w:pPr>
        <w:pStyle w:val="FirstParagraph"/>
      </w:pPr>
      <w:r>
        <w:t xml:space="preserve">We measured EnvMeta’s per-figure runtime and memory profile via an in-process</w:t>
      </w:r>
      <w:r>
        <w:t xml:space="preserve"> </w:t>
      </w:r>
      <w:r>
        <w:t xml:space="preserve">harness (</w:t>
      </w:r>
      <w:hyperlink r:id="rId62">
        <w:r>
          <w:rPr>
            <w:rStyle w:val="VerbatimChar"/>
          </w:rPr>
          <w:t xml:space="preserve">paper/benchmarks/performance/bench_harness.py</w:t>
        </w:r>
      </w:hyperlink>
      <w:r>
        <w:t xml:space="preserve">)</w:t>
      </w:r>
      <w:r>
        <w:t xml:space="preserve"> </w:t>
      </w:r>
      <w:r>
        <w:t xml:space="preserve">that wraps each</w:t>
      </w:r>
      <w:r>
        <w:t xml:space="preserve"> </w:t>
      </w:r>
      <w:r>
        <w:rPr>
          <w:rStyle w:val="VerbatimChar"/>
        </w:rPr>
        <w:t xml:space="preserve">analyze()</w:t>
      </w:r>
      <w:r>
        <w:t xml:space="preserve"> </w:t>
      </w:r>
      <w:r>
        <w:t xml:space="preserve">entry point with</w:t>
      </w:r>
      <w:r>
        <w:t xml:space="preserve"> </w:t>
      </w:r>
      <w:r>
        <w:rPr>
          <w:rStyle w:val="VerbatimChar"/>
        </w:rPr>
        <w:t xml:space="preserve">time.perf_counter</w:t>
      </w:r>
      <w:r>
        <w:t xml:space="preserve"> </w:t>
      </w:r>
      <w:r>
        <w:t xml:space="preserve">for wall</w:t>
      </w:r>
      <w:r>
        <w:t xml:space="preserve"> </w:t>
      </w:r>
      <w:r>
        <w:t xml:space="preserve">time and a background</w:t>
      </w:r>
      <w:r>
        <w:t xml:space="preserve"> </w:t>
      </w:r>
      <w:r>
        <w:rPr>
          <w:rStyle w:val="VerbatimChar"/>
        </w:rPr>
        <w:t xml:space="preserve">psutil.Process().memory_info().rss</w:t>
      </w:r>
      <w:r>
        <w:t xml:space="preserve"> </w:t>
      </w:r>
      <w:r>
        <w:t xml:space="preserve">sampler (50 ms</w:t>
      </w:r>
      <w:r>
        <w:t xml:space="preserve"> </w:t>
      </w:r>
      <w:r>
        <w:t xml:space="preserve">interval) for peak ΔRSS over a</w:t>
      </w:r>
      <w:r>
        <w:t xml:space="preserve"> </w:t>
      </w:r>
      <w:r>
        <w:rPr>
          <w:rStyle w:val="VerbatimChar"/>
        </w:rPr>
        <w:t xml:space="preserve">gc.collect()</w:t>
      </w:r>
      <w:r>
        <w:t xml:space="preserve">-cleared baseline. Each</w:t>
      </w:r>
      <w:r>
        <w:t xml:space="preserve"> </w:t>
      </w:r>
      <w:r>
        <w:t xml:space="preserve">(dataset × figure) combination was run 2-3 times with</w:t>
      </w:r>
      <w:r>
        <w:t xml:space="preserve"> </w:t>
      </w:r>
      <w:r>
        <w:rPr>
          <w:rStyle w:val="VerbatimChar"/>
        </w:rPr>
        <w:t xml:space="preserve">plt.close("all")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gc.collect()</w:t>
      </w:r>
      <w:r>
        <w:t xml:space="preserve"> </w:t>
      </w:r>
      <w:r>
        <w:t xml:space="preserve">between repeats to reset the matplotlib allocator and</w:t>
      </w:r>
      <w:r>
        <w:t xml:space="preserve"> </w:t>
      </w:r>
      <w:r>
        <w:t xml:space="preserve">Python heap. We report median wall time and maximum peak ΔRSS, and we use</w:t>
      </w:r>
      <w:r>
        <w:t xml:space="preserve"> </w:t>
      </w:r>
      <w:r>
        <w:t xml:space="preserve">a headless matplotlib</w:t>
      </w:r>
      <w:r>
        <w:t xml:space="preserve"> </w:t>
      </w:r>
      <w:r>
        <w:rPr>
          <w:rStyle w:val="VerbatimChar"/>
        </w:rPr>
        <w:t xml:space="preserve">Agg</w:t>
      </w:r>
      <w:r>
        <w:t xml:space="preserve"> </w:t>
      </w:r>
      <w:r>
        <w:t xml:space="preserve">backend to mirror Streamlit’s server-side</w:t>
      </w:r>
      <w:r>
        <w:t xml:space="preserve"> </w:t>
      </w:r>
      <w:r>
        <w:t xml:space="preserve">rendering. All measurements were taken on a single Intel i7-class laptop</w:t>
      </w:r>
      <w:r>
        <w:t xml:space="preserve"> </w:t>
      </w:r>
      <w:r>
        <w:t xml:space="preserve">(16 GB RAM, Windows 10, Python 3.11); absolute numbers will vary across</w:t>
      </w:r>
      <w:r>
        <w:t xml:space="preserve"> </w:t>
      </w:r>
      <w:r>
        <w:t xml:space="preserve">CPUs but cross-cell ratios are expected to transfer.</w:t>
      </w:r>
    </w:p>
    <w:p>
      <w:pPr>
        <w:pStyle w:val="BodyText"/>
      </w:pPr>
      <w:r>
        <w:t xml:space="preserve">To probe the scaling envelope (§2.8 Figure 8), we extended Liu et al.’s</w:t>
      </w:r>
      <w:r>
        <w:t xml:space="preserve"> </w:t>
      </w:r>
      <w:r>
        <w:t xml:space="preserve">[10] published 1084-MAG cold-seep dataset by (i) randomly assigning each</w:t>
      </w:r>
      <w:r>
        <w:t xml:space="preserve"> </w:t>
      </w:r>
      <w:r>
        <w:t xml:space="preserve">MAG 25 KOs sampled from EnvMeta’s 57-KO knowledge base, (ii) synthesizing</w:t>
      </w:r>
      <w:r>
        <w:t xml:space="preserve"> </w:t>
      </w:r>
      <w:r>
        <w:t xml:space="preserve">4 numeric env factors over the 87 samples, and (iii) subsampling to</w:t>
      </w:r>
      <w:r>
        <w:t xml:space="preserve"> </w:t>
      </w:r>
      <w:r>
        <w:t xml:space="preserve">N_MAG ∈ {200, 500, 1000} × N_samples ∈ {30, 60, 87}. This isolates</w:t>
      </w:r>
      <w:r>
        <w:t xml:space="preserve"> </w:t>
      </w:r>
      <w:r>
        <w:t xml:space="preserve">dense-annotation behaviour within EnvMeta’s KB scope, since Liu’s published</w:t>
      </w:r>
      <w:r>
        <w:t xml:space="preserve"> </w:t>
      </w:r>
      <w:r>
        <w:rPr>
          <w:rStyle w:val="VerbatimChar"/>
        </w:rPr>
        <w:t xml:space="preserve">kegg_target_only.tsv</w:t>
      </w:r>
      <w:r>
        <w:t xml:space="preserve"> </w:t>
      </w:r>
      <w:r>
        <w:t xml:space="preserve">is pre-filtered to 8 As-target KOs that</w:t>
      </w:r>
      <w:r>
        <w:t xml:space="preserve"> </w:t>
      </w:r>
      <w:r>
        <w:t xml:space="preserve">under-represent the typical KofamScan / DRAM / METABOLIC density (20-40</w:t>
      </w:r>
      <w:r>
        <w:t xml:space="preserve"> </w:t>
      </w:r>
      <w:r>
        <w:t xml:space="preserve">KO/MAG) of full-pipeline metagenomes. Full benchmark report at</w:t>
      </w:r>
      <w:r>
        <w:t xml:space="preserve"> </w:t>
      </w:r>
      <w:hyperlink r:id="rId63">
        <w:r>
          <w:rPr>
            <w:rStyle w:val="VerbatimChar"/>
          </w:rPr>
          <w:t xml:space="preserve">paper/benchmarks/performance.md</w:t>
        </w:r>
      </w:hyperlink>
      <w:r>
        <w:t xml:space="preserve">; raw</w:t>
      </w:r>
      <w:r>
        <w:t xml:space="preserve"> </w:t>
      </w:r>
      <w:r>
        <w:t xml:space="preserve">measurements at</w:t>
      </w:r>
      <w:r>
        <w:t xml:space="preserve"> </w:t>
      </w:r>
      <w:hyperlink r:id="rId64">
        <w:r>
          <w:rPr>
            <w:rStyle w:val="VerbatimChar"/>
          </w:rPr>
          <w:t xml:space="preserve">paper/benchmarks/performance/results/</w:t>
        </w:r>
      </w:hyperlink>
      <w:r>
        <w:t xml:space="preserve">.</w:t>
      </w:r>
    </w:p>
    <w:bookmarkEnd w:id="65"/>
    <w:bookmarkStart w:id="77" w:name="X467bdbfc7ba44ea56716c9bda598c4dde9220fc"/>
    <w:p>
      <w:pPr>
        <w:pStyle w:val="Heading3"/>
      </w:pPr>
      <w:r>
        <w:t xml:space="preserve">4.7 External validation experiment (Four-Arm calibration + Three-Arm stress test + Perturbation)</w:t>
      </w:r>
    </w:p>
    <w:p>
      <w:pPr>
        <w:pStyle w:val="FirstParagraph"/>
      </w:pPr>
      <w:r>
        <w:t xml:space="preserve">The validation experiment combines four KEGG-curated calibration arms,</w:t>
      </w:r>
      <w:r>
        <w:t xml:space="preserve"> </w:t>
      </w:r>
      <w:r>
        <w:t xml:space="preserve">three-class claim stress tests, target-pathway perturbation analysis, and</w:t>
      </w:r>
      <w:r>
        <w:t xml:space="preserve"> </w:t>
      </w:r>
      <w:r>
        <w:t xml:space="preserve">a five-threshold sensitivity sweep, anchored by pre-registration discipline</w:t>
      </w:r>
      <w:r>
        <w:t xml:space="preserve"> </w:t>
      </w:r>
      <w:r>
        <w:t xml:space="preserve">with cryptographic timestamping. Full operational protocol at</w:t>
      </w:r>
      <w:r>
        <w:t xml:space="preserve"> </w:t>
      </w:r>
      <w:hyperlink r:id="rId66">
        <w:r>
          <w:rPr>
            <w:rStyle w:val="VerbatimChar"/>
          </w:rPr>
          <w:t xml:space="preserve">paper/manuscript/methods_external_validation.md</w:t>
        </w:r>
      </w:hyperlink>
      <w:r>
        <w:t xml:space="preserve"> </w:t>
      </w:r>
      <w:r>
        <w:t xml:space="preserve">(§4.6.1-§4.6.9).</w:t>
      </w:r>
    </w:p>
    <w:bookmarkStart w:id="67" w:name="pre-registration-discipline"/>
    <w:p>
      <w:pPr>
        <w:pStyle w:val="Heading4"/>
      </w:pPr>
      <w:r>
        <w:t xml:space="preserve">4.7.1 Pre-registration discipline</w:t>
      </w:r>
    </w:p>
    <w:p>
      <w:pPr>
        <w:pStyle w:val="FirstParagraph"/>
      </w:pPr>
      <w:r>
        <w:t xml:space="preserve">We adopt a</w:t>
      </w:r>
      <w:r>
        <w:t xml:space="preserve"> </w:t>
      </w:r>
      <w:r>
        <w:rPr>
          <w:b/>
          <w:bCs/>
        </w:rPr>
        <w:t xml:space="preserve">pre-registration discipline</w:t>
      </w:r>
      <w:r>
        <w:t xml:space="preserve"> </w:t>
      </w:r>
      <w:r>
        <w:t xml:space="preserve">consistent with the</w:t>
      </w:r>
      <w:r>
        <w:t xml:space="preserve"> </w:t>
      </w:r>
      <w:r>
        <w:t xml:space="preserve">shuffle-consistency framing of</w:t>
      </w:r>
      <w:r>
        <w:t xml:space="preserve"> </w:t>
      </w:r>
      <w:r>
        <w:rPr>
          <w:rStyle w:val="VerbatimChar"/>
        </w:rPr>
        <w:t xml:space="preserve">null_p</w:t>
      </w:r>
      <w:r>
        <w:t xml:space="preserve"> </w:t>
      </w:r>
      <w:r>
        <w:t xml:space="preserve">(§4.0 Equation 1). The hypothesis</w:t>
      </w:r>
      <w:r>
        <w:t xml:space="preserve"> </w:t>
      </w:r>
      <w:r>
        <w:t xml:space="preserve">scorer’s null_p is explicitly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frequentist p-value (the YAML’s</w:t>
      </w:r>
      <w:r>
        <w:t xml:space="preserve"> </w:t>
      </w:r>
      <w:r>
        <w:t xml:space="preserve">4-9 discrete sub-claims yield a granular null distribution that does not</w:t>
      </w:r>
      <w:r>
        <w:t xml:space="preserve"> </w:t>
      </w:r>
      <w:r>
        <w:t xml:space="preserve">support fine-grained p-value interpretation); instead it serves as a</w:t>
      </w:r>
      <w:r>
        <w:t xml:space="preserve"> </w:t>
      </w:r>
      <w:r>
        <w:rPr>
          <w:b/>
          <w:bCs/>
        </w:rPr>
        <w:t xml:space="preserve">shuffle-consistency diagnostic</w:t>
      </w:r>
      <w:r>
        <w:t xml:space="preserve"> </w:t>
      </w:r>
      <w:r>
        <w:t xml:space="preserve">quantifying how often randomized claim</w:t>
      </w:r>
      <w:r>
        <w:t xml:space="preserve"> </w:t>
      </w:r>
      <w:r>
        <w:t xml:space="preserve">entities reach the observed score. To prevent post-hoc claim adjustment</w:t>
      </w:r>
      <w:r>
        <w:t xml:space="preserve"> </w:t>
      </w:r>
      <w:r>
        <w:t xml:space="preserve">biasing this diagnostic, we anchor four pre-registration steps via</w:t>
      </w:r>
      <w:r>
        <w:t xml:space="preserve"> </w:t>
      </w:r>
      <w:r>
        <w:t xml:space="preserve">OpenTimestamps [10]: claim-entity selection commits (</w:t>
      </w:r>
      <w:r>
        <w:rPr>
          <w:rStyle w:val="VerbatimChar"/>
        </w:rPr>
        <w:t xml:space="preserve">42168da</w:t>
      </w:r>
      <w:r>
        <w:t xml:space="preserve">,</w:t>
      </w:r>
      <w:r>
        <w:t xml:space="preserve"> </w:t>
      </w:r>
      <w:r>
        <w:rPr>
          <w:rStyle w:val="VerbatimChar"/>
        </w:rPr>
        <w:t xml:space="preserve">44d7f5f</w:t>
      </w:r>
      <w:r>
        <w:t xml:space="preserve">,</w:t>
      </w:r>
      <w:r>
        <w:t xml:space="preserve"> </w:t>
      </w:r>
      <w:r>
        <w:rPr>
          <w:rStyle w:val="VerbatimChar"/>
        </w:rPr>
        <w:t xml:space="preserve">76a4f77</w:t>
      </w:r>
      <w:r>
        <w:t xml:space="preserve">,</w:t>
      </w:r>
      <w:r>
        <w:t xml:space="preserve"> </w:t>
      </w:r>
      <w:r>
        <w:rPr>
          <w:rStyle w:val="VerbatimChar"/>
        </w:rPr>
        <w:t xml:space="preserve">50c4687</w:t>
      </w:r>
      <w:r>
        <w:t xml:space="preserve">) × three independent calendar witnesses (alice / bob /</w:t>
      </w:r>
      <w:r>
        <w:t xml:space="preserve"> </w:t>
      </w:r>
      <w:r>
        <w:t xml:space="preserve">finney) = twelve cryptographic anchor proofs at</w:t>
      </w:r>
      <w:r>
        <w:t xml:space="preserve"> </w:t>
      </w:r>
      <w:hyperlink r:id="rId19">
        <w:r>
          <w:rPr>
            <w:rStyle w:val="VerbatimChar"/>
          </w:rPr>
          <w:t xml:space="preserve">paper/manuscript/timestamps/</w:t>
        </w:r>
      </w:hyperlink>
      <w:r>
        <w:t xml:space="preserve">. This is an</w:t>
      </w:r>
      <w:r>
        <w:t xml:space="preserve"> </w:t>
      </w:r>
      <w:r>
        <w:rPr>
          <w:b/>
          <w:bCs/>
        </w:rPr>
        <w:t xml:space="preserve">institutional-trust-based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cryptographically witnessed</w:t>
      </w:r>
      <w:r>
        <w:t xml:space="preserve"> </w:t>
      </w:r>
      <w:r>
        <w:t xml:space="preserve">pre-registration; we acknowledge that it does not constitute a third-party</w:t>
      </w:r>
      <w:r>
        <w:t xml:space="preserve"> </w:t>
      </w:r>
      <w:r>
        <w:t xml:space="preserve">blind audit (planned as future work, §3.6).</w:t>
      </w:r>
    </w:p>
    <w:bookmarkEnd w:id="67"/>
    <w:bookmarkStart w:id="69" w:name="four-arm-calibration-experiment"/>
    <w:p>
      <w:pPr>
        <w:pStyle w:val="Heading4"/>
      </w:pPr>
      <w:r>
        <w:t xml:space="preserve">4.7.2 Four-Arm calibration experiment</w:t>
      </w:r>
    </w:p>
    <w:p>
      <w:pPr>
        <w:pStyle w:val="FirstParagraph"/>
      </w:pPr>
      <w:r>
        <w:t xml:space="preserve">Four calibration arms cover heterogeneous environmental contexts and</w:t>
      </w:r>
      <w:r>
        <w:t xml:space="preserve"> </w:t>
      </w:r>
      <w:r>
        <w:t xml:space="preserve">KEGG-annotation pipelines (Table 1):</w:t>
      </w:r>
      <w:r>
        <w:t xml:space="preserve"> </w:t>
      </w:r>
      <w:r>
        <w:rPr>
          <w:b/>
          <w:bCs/>
        </w:rPr>
        <w:t xml:space="preserve">Arm A</w:t>
      </w:r>
      <w:r>
        <w:t xml:space="preserve"> </w:t>
      </w:r>
      <w:r>
        <w:t xml:space="preserve">in-house arsenic-slag</w:t>
      </w:r>
      <w:r>
        <w:t xml:space="preserve"> </w:t>
      </w:r>
      <w:r>
        <w:t xml:space="preserve">bioremediation (168 MAGs × 10 samples × 57 KOs, KofamScan-annotated; serves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engine self-consistency positive control</w:t>
      </w:r>
      <w:r>
        <w:t xml:space="preserve">, not as independent</w:t>
      </w:r>
      <w:r>
        <w:t xml:space="preserve"> </w:t>
      </w:r>
      <w:r>
        <w:t xml:space="preserve">calibration);</w:t>
      </w:r>
      <w:r>
        <w:t xml:space="preserve"> </w:t>
      </w:r>
      <w:r>
        <w:rPr>
          <w:b/>
          <w:bCs/>
        </w:rPr>
        <w:t xml:space="preserve">Arm B</w:t>
      </w:r>
      <w:r>
        <w:t xml:space="preserve"> </w:t>
      </w:r>
      <w:r>
        <w:t xml:space="preserve">Wei et al. 2024 paddy-soil arsenic methylation</w:t>
      </w:r>
      <w:r>
        <w:t xml:space="preserve"> </w:t>
      </w:r>
      <w:r>
        <w:t xml:space="preserve">[10] (48 MAGs × 10 samples × ROCker-14 KOs; serves to validate the</w:t>
      </w:r>
      <w:r>
        <w:t xml:space="preserve"> </w:t>
      </w:r>
      <w:r>
        <w:rPr>
          <w:rStyle w:val="VerbatimChar"/>
        </w:rPr>
        <w:t xml:space="preserve">INSUFFICIENT</w:t>
      </w:r>
      <w:r>
        <w:t xml:space="preserve"> </w:t>
      </w:r>
      <w:r>
        <w:t xml:space="preserve">outcome on coverage-mismatched annotations);</w:t>
      </w:r>
      <w:r>
        <w:t xml:space="preserve"> </w:t>
      </w:r>
      <w:r>
        <w:rPr>
          <w:b/>
          <w:bCs/>
        </w:rPr>
        <w:t xml:space="preserve">Arm C1</w:t>
      </w:r>
      <w:r>
        <w:t xml:space="preserve"> </w:t>
      </w:r>
      <w:r>
        <w:t xml:space="preserve">Liu</w:t>
      </w:r>
      <w:r>
        <w:t xml:space="preserve"> </w:t>
      </w:r>
      <w:r>
        <w:t xml:space="preserve">et al. 2023 cold-seep methane-arsenic coupling [10] (1084 MAGs × 87 samples,</w:t>
      </w:r>
      <w:r>
        <w:t xml:space="preserve"> </w:t>
      </w:r>
      <w:r>
        <w:t xml:space="preserve">DRAM-annotated, 8-KO published As-target);</w:t>
      </w:r>
      <w:r>
        <w:t xml:space="preserve"> </w:t>
      </w:r>
      <w:r>
        <w:rPr>
          <w:b/>
          <w:bCs/>
        </w:rPr>
        <w:t xml:space="preserve">Arm C2-A</w:t>
      </w:r>
      <w:r>
        <w:t xml:space="preserve"> </w:t>
      </w:r>
      <w:r>
        <w:t xml:space="preserve">Grettenberger et</w:t>
      </w:r>
      <w:r>
        <w:t xml:space="preserve"> </w:t>
      </w:r>
      <w:r>
        <w:t xml:space="preserve">al. 2021 AMD stream [10] (29 MAGs, METABOLIC-annotated, 35-KO target);</w:t>
      </w:r>
      <w:r>
        <w:t xml:space="preserve"> </w:t>
      </w:r>
      <w:r>
        <w:rPr>
          <w:b/>
          <w:bCs/>
        </w:rPr>
        <w:t xml:space="preserve">Arm C2-B</w:t>
      </w:r>
      <w:r>
        <w:t xml:space="preserve"> </w:t>
      </w:r>
      <w:r>
        <w:t xml:space="preserve">Ayala et al. 2020 Iberian Pyrite Belt pit lake [10] (13 MAGs,</w:t>
      </w:r>
      <w:r>
        <w:t xml:space="preserve"> </w:t>
      </w:r>
      <w:r>
        <w:t xml:space="preserve">end-to-end re-annotated via Pyrodigal + GhostKOALA to provide a 24-KO target</w:t>
      </w:r>
      <w:r>
        <w:t xml:space="preserve"> </w:t>
      </w:r>
      <w:r>
        <w:t xml:space="preserve">matching KEGG canonical IDs). Each arm was scored against a pre-registered</w:t>
      </w:r>
      <w:r>
        <w:t xml:space="preserve"> </w:t>
      </w:r>
      <w:r>
        <w:t xml:space="preserve">hypothesis YAML under fixed default thresholds (θ_strong = 0.75,</w:t>
      </w:r>
      <w:r>
        <w:t xml:space="preserve"> </w:t>
      </w:r>
      <w:r>
        <w:t xml:space="preserve">θ_suggestive = 0.40, α = 999 permutations, η_min_dominance = 0.20).</w:t>
      </w:r>
      <w:r>
        <w:t xml:space="preserve"> </w:t>
      </w:r>
      <w:r>
        <w:rPr>
          <w:b/>
          <w:bCs/>
        </w:rPr>
        <w:t xml:space="preserve">All four KEGG-curated arms (A, C1, C2-A, C2-B) returned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STRONG</w:t>
      </w:r>
      <w:r>
        <w:rPr>
          <w:b/>
          <w:bCs/>
        </w:rPr>
        <w:t xml:space="preserve"> </w:t>
      </w:r>
      <w:r>
        <w:rPr>
          <w:b/>
          <w:bCs/>
        </w:rPr>
        <w:t xml:space="preserve">labels</w:t>
      </w:r>
      <w:r>
        <w:rPr>
          <w:b/>
          <w:bCs/>
        </w:rPr>
        <w:t xml:space="preserve"> </w:t>
      </w:r>
      <w:r>
        <w:rPr>
          <w:b/>
          <w:bCs/>
        </w:rPr>
        <w:t xml:space="preserve">(overall score = 1.000)</w:t>
      </w:r>
      <w:r>
        <w:t xml:space="preserve">; Arm B returned</w:t>
      </w:r>
      <w:r>
        <w:t xml:space="preserve"> </w:t>
      </w:r>
      <w:r>
        <w:rPr>
          <w:rStyle w:val="VerbatimChar"/>
        </w:rPr>
        <w:t xml:space="preserve">INSUFFICIENT</w:t>
      </w:r>
      <w:r>
        <w:t xml:space="preserve"> </w:t>
      </w:r>
      <w:r>
        <w:t xml:space="preserve">due to</w:t>
      </w:r>
      <w:r>
        <w:t xml:space="preserve"> </w:t>
      </w:r>
      <w:r>
        <w:t xml:space="preserve">required-claim veto on the incomplete denitrification annotation. Per-claim</w:t>
      </w:r>
      <w:r>
        <w:t xml:space="preserve"> </w:t>
      </w:r>
      <w:r>
        <w:t xml:space="preserve">scores, evidence counts, weight-robust scores, and null_p values are</w:t>
      </w:r>
      <w:r>
        <w:t xml:space="preserve"> </w:t>
      </w:r>
      <w:r>
        <w:t xml:space="preserve">itemized in</w:t>
      </w:r>
      <w:r>
        <w:t xml:space="preserve"> </w:t>
      </w:r>
      <w:hyperlink r:id="rId68">
        <w:r>
          <w:rPr>
            <w:rStyle w:val="VerbatimChar"/>
          </w:rPr>
          <w:t xml:space="preserve">paper/figures/paper3_hypothesis_scoring/table1_calibration.md</w:t>
        </w:r>
      </w:hyperlink>
      <w:r>
        <w:t xml:space="preserve">.</w:t>
      </w:r>
    </w:p>
    <w:bookmarkEnd w:id="69"/>
    <w:bookmarkStart w:id="70" w:name="three-arm-stress-test-discrimination"/>
    <w:p>
      <w:pPr>
        <w:pStyle w:val="Heading4"/>
      </w:pPr>
      <w:r>
        <w:t xml:space="preserve">4.7.3 Three-Arm stress test (discrimination)</w:t>
      </w:r>
    </w:p>
    <w:p>
      <w:pPr>
        <w:pStyle w:val="FirstParagraph"/>
      </w:pPr>
      <w:r>
        <w:t xml:space="preserve">Three claim-class perturbations probed the engine’s discrimination:</w:t>
      </w:r>
      <w:r>
        <w:t xml:space="preserve"> </w:t>
      </w:r>
      <w:r>
        <w:rPr>
          <w:b/>
          <w:bCs/>
        </w:rPr>
        <w:t xml:space="preserve">Class A</w:t>
      </w:r>
      <w:r>
        <w:t xml:space="preserve"> </w:t>
      </w:r>
      <w:r>
        <w:t xml:space="preserve">reversed-direction (arsenite oxidation should dominate vs.</w:t>
      </w:r>
      <w:r>
        <w:t xml:space="preserve"> </w:t>
      </w:r>
      <w:r>
        <w:t xml:space="preserve">observed reduction-dominated);</w:t>
      </w:r>
      <w:r>
        <w:t xml:space="preserve"> </w:t>
      </w:r>
      <w:r>
        <w:rPr>
          <w:b/>
          <w:bCs/>
        </w:rPr>
        <w:t xml:space="preserve">Class B</w:t>
      </w:r>
      <w:r>
        <w:t xml:space="preserve"> </w:t>
      </w:r>
      <w:r>
        <w:t xml:space="preserve">cross-topic (arsenate reduction</w:t>
      </w:r>
      <w:r>
        <w:t xml:space="preserve"> </w:t>
      </w:r>
      <w:r>
        <w:t xml:space="preserve">should dominate applied to non-arsenic datasets);</w:t>
      </w:r>
      <w:r>
        <w:t xml:space="preserve"> </w:t>
      </w:r>
      <w:r>
        <w:rPr>
          <w:b/>
          <w:bCs/>
        </w:rPr>
        <w:t xml:space="preserve">Class C</w:t>
      </w:r>
      <w:r>
        <w:t xml:space="preserve"> </w:t>
      </w:r>
      <w:r>
        <w:rPr>
          <w:rStyle w:val="VerbatimChar"/>
        </w:rPr>
        <w:t xml:space="preserve">pathway_inactive</w:t>
      </w:r>
      <w:r>
        <w:t xml:space="preserve"> </w:t>
      </w:r>
      <w:r>
        <w:t xml:space="preserve">(Popperian falsification of an explicitly absent</w:t>
      </w:r>
      <w:r>
        <w:t xml:space="preserve"> </w:t>
      </w:r>
      <w:r>
        <w:t xml:space="preserve">pathway). Each external arm (C1, C2-A, C2-B) was scored against three</w:t>
      </w:r>
      <w:r>
        <w:t xml:space="preserve"> </w:t>
      </w:r>
      <w:r>
        <w:t xml:space="preserve">pre-registered stress YAMLs (</w:t>
      </w:r>
      <w:r>
        <w:rPr>
          <w:rStyle w:val="VerbatimChar"/>
        </w:rPr>
        <w:t xml:space="preserve">*_hypothesis_stress.yaml</w:t>
      </w:r>
      <w:r>
        <w:t xml:space="preserve"> </w:t>
      </w:r>
      <w:r>
        <w:t xml:space="preserve">for v1,</w:t>
      </w:r>
      <w:r>
        <w:t xml:space="preserve"> </w:t>
      </w:r>
      <w:r>
        <w:rPr>
          <w:rStyle w:val="VerbatimChar"/>
        </w:rPr>
        <w:t xml:space="preserve">*_hypothesis_stress_v2.yaml</w:t>
      </w:r>
      <w:r>
        <w:t xml:space="preserve"> </w:t>
      </w:r>
      <w:r>
        <w:t xml:space="preserve">for v2 with</w:t>
      </w:r>
      <w:r>
        <w:t xml:space="preserve"> </w:t>
      </w:r>
      <w:r>
        <w:rPr>
          <w:rStyle w:val="VerbatimChar"/>
        </w:rPr>
        <w:t xml:space="preserve">min_dominance_fraction = 0.20</w:t>
      </w:r>
      <w:r>
        <w:t xml:space="preserve">)</w:t>
      </w:r>
      <w:r>
        <w:t xml:space="preserve"> </w:t>
      </w:r>
      <w:r>
        <w:t xml:space="preserve">under default thresholds. Cross-topic mismatch on Class B is the most</w:t>
      </w:r>
      <w:r>
        <w:t xml:space="preserve"> </w:t>
      </w:r>
      <w:r>
        <w:t xml:space="preserve">informative single discriminator — correctly rejecting with n = 0 active</w:t>
      </w:r>
      <w:r>
        <w:t xml:space="preserve"> </w:t>
      </w:r>
      <w:r>
        <w:t xml:space="preserve">MAGs in 2/2 non-arsenic datasets (Grettenberger, Ayala). Class A v1 / v2</w:t>
      </w:r>
      <w:r>
        <w:t xml:space="preserve"> </w:t>
      </w:r>
      <w:r>
        <w:t xml:space="preserve">results are reported side by side in Table 2; the v2</w:t>
      </w:r>
      <w:r>
        <w:t xml:space="preserve"> </w:t>
      </w:r>
      <w:r>
        <w:rPr>
          <w:rStyle w:val="VerbatimChar"/>
        </w:rPr>
        <w:t xml:space="preserve">dominance_score</w:t>
      </w:r>
      <w:r>
        <w:t xml:space="preserve"> </w:t>
      </w:r>
      <w:r>
        <w:t xml:space="preserve">extension converts B-tier discrimination outcomes into A-tier clean</w:t>
      </w:r>
      <w:r>
        <w:t xml:space="preserve"> </w:t>
      </w:r>
      <w:r>
        <w:t xml:space="preserve">rejections at the cost of being an engineering retrofit (§2.4.1, §3.2).</w:t>
      </w:r>
    </w:p>
    <w:bookmarkEnd w:id="70"/>
    <w:bookmarkStart w:id="72" w:name="target-pathway-perturbation-analysis"/>
    <w:p>
      <w:pPr>
        <w:pStyle w:val="Heading4"/>
      </w:pPr>
      <w:r>
        <w:t xml:space="preserve">4.7.4 Target-pathway perturbation analysis</w:t>
      </w:r>
    </w:p>
    <w:p>
      <w:pPr>
        <w:pStyle w:val="FirstParagraph"/>
      </w:pPr>
      <w:r>
        <w:t xml:space="preserve">To distinguish whether the four STRONG calibration outcomes reflect</w:t>
      </w:r>
      <w:r>
        <w:t xml:space="preserve"> </w:t>
      </w:r>
      <w:r>
        <w:t xml:space="preserve">authors’ specific pre-data target choices or arise mechanically from KEGG</w:t>
      </w:r>
      <w:r>
        <w:t xml:space="preserve"> </w:t>
      </w:r>
      <w:r>
        <w:t xml:space="preserve">annotation breadth, we randomly perturbed every</w:t>
      </w:r>
      <w:r>
        <w:t xml:space="preserve"> </w:t>
      </w:r>
      <w:r>
        <w:rPr>
          <w:rStyle w:val="VerbatimChar"/>
        </w:rPr>
        <w:t xml:space="preserve">params.pathway</w:t>
      </w:r>
      <w:r>
        <w:t xml:space="preserve"> </w:t>
      </w:r>
      <w:r>
        <w:t xml:space="preserve">field</w:t>
      </w:r>
      <w:r>
        <w:t xml:space="preserve"> </w:t>
      </w:r>
      <w:r>
        <w:t xml:space="preserve">across the four calibration YAMLs in two modes —</w:t>
      </w:r>
      <w:r>
        <w:t xml:space="preserve"> </w:t>
      </w:r>
      <w:r>
        <w:rPr>
          <w:b/>
          <w:bCs/>
        </w:rPr>
        <w:t xml:space="preserve">within-element</w:t>
      </w:r>
      <w:r>
        <w:t xml:space="preserve"> </w:t>
      </w:r>
      <w:r>
        <w:t xml:space="preserve">(random</w:t>
      </w:r>
      <w:r>
        <w:t xml:space="preserve"> </w:t>
      </w:r>
      <w:r>
        <w:t xml:space="preserve">alternative pathway from the same KB element; e.g., arsenate_reduction →</w:t>
      </w:r>
      <w:r>
        <w:t xml:space="preserve"> </w:t>
      </w:r>
      <w:r>
        <w:t xml:space="preserve">arsenite_oxidation) and</w:t>
      </w:r>
      <w:r>
        <w:t xml:space="preserve"> </w:t>
      </w:r>
      <w:r>
        <w:rPr>
          <w:b/>
          <w:bCs/>
        </w:rPr>
        <w:t xml:space="preserve">cross-element</w:t>
      </w:r>
      <w:r>
        <w:t xml:space="preserve"> </w:t>
      </w:r>
      <w:r>
        <w:t xml:space="preserve">(random pathway from a different</w:t>
      </w:r>
      <w:r>
        <w:t xml:space="preserve"> </w:t>
      </w:r>
      <w:r>
        <w:t xml:space="preserve">KB element; e.g., arsenate_reduction → denitrification) — and rescored</w:t>
      </w:r>
      <w:r>
        <w:t xml:space="preserve"> </w:t>
      </w:r>
      <w:r>
        <w:t xml:space="preserve">under default thresholds. N = 20 per mode per dataset; runner at</w:t>
      </w:r>
      <w:r>
        <w:t xml:space="preserve"> </w:t>
      </w:r>
      <w:hyperlink r:id="rId71">
        <w:r>
          <w:rPr>
            <w:rStyle w:val="VerbatimChar"/>
          </w:rPr>
          <w:t xml:space="preserve">tools/external_benchmarks/perturbation_analysis.py</w:t>
        </w:r>
      </w:hyperlink>
      <w:r>
        <w:t xml:space="preserve">.</w:t>
      </w:r>
      <w:r>
        <w:t xml:space="preserve"> </w:t>
      </w:r>
      <w:r>
        <w:t xml:space="preserve">Cross-element control is strongly discriminating (Liu 0/20 STRONG, median</w:t>
      </w:r>
      <w:r>
        <w:t xml:space="preserve"> </w:t>
      </w:r>
      <w:r>
        <w:t xml:space="preserve">score 0.000; §2.4.2) and yields a monotonic annotation-breadth gradient</w:t>
      </w:r>
      <w:r>
        <w:t xml:space="preserve"> </w:t>
      </w:r>
      <w:r>
        <w:t xml:space="preserve">across the four datasets (Arm A 100% partial → Grettenberger 30% → Ayala</w:t>
      </w:r>
      <w:r>
        <w:t xml:space="preserve"> </w:t>
      </w:r>
      <w:r>
        <w:t xml:space="preserve">15% → Liu 0%; §3.5 limitation 1). The Arm A perturbation is necessarily</w:t>
      </w:r>
      <w:r>
        <w:t xml:space="preserve"> </w:t>
      </w:r>
      <w:r>
        <w:t xml:space="preserve">partial — restricted to its three</w:t>
      </w:r>
      <w:r>
        <w:t xml:space="preserve"> </w:t>
      </w:r>
      <w:r>
        <w:rPr>
          <w:rStyle w:val="VerbatimChar"/>
        </w:rPr>
        <w:t xml:space="preserve">pathway_active</w:t>
      </w:r>
      <w:r>
        <w:t xml:space="preserve"> </w:t>
      </w:r>
      <w:r>
        <w:t xml:space="preserve">claims, since the</w:t>
      </w:r>
      <w:r>
        <w:t xml:space="preserve"> </w:t>
      </w:r>
      <w:r>
        <w:rPr>
          <w:rStyle w:val="VerbatimChar"/>
        </w:rPr>
        <w:t xml:space="preserve">coupling_possible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env_correlation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keystone_in_pathway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group_contrast</w:t>
      </w:r>
      <w:r>
        <w:t xml:space="preserve"> </w:t>
      </w:r>
      <w:r>
        <w:t xml:space="preserve">claims pair pathway with semantically-tied second</w:t>
      </w:r>
      <w:r>
        <w:t xml:space="preserve"> </w:t>
      </w:r>
      <w:r>
        <w:t xml:space="preserve">parameters and are not amenable to clean single-axis perturbation. Within-</w:t>
      </w:r>
      <w:r>
        <w:t xml:space="preserve"> </w:t>
      </w:r>
      <w:r>
        <w:t xml:space="preserve">element bounds the KEGG-coverage caveat with mean score drops 25-48% but</w:t>
      </w:r>
      <w:r>
        <w:t xml:space="preserve"> </w:t>
      </w:r>
      <w:r>
        <w:t xml:space="preserve">40-50% STRONG retention.</w:t>
      </w:r>
    </w:p>
    <w:bookmarkEnd w:id="72"/>
    <w:bookmarkStart w:id="75" w:name="threshold-sensitivity-sweep"/>
    <w:p>
      <w:pPr>
        <w:pStyle w:val="Heading4"/>
      </w:pPr>
      <w:r>
        <w:t xml:space="preserve">4.7.5 Threshold sensitivity sweep</w:t>
      </w:r>
    </w:p>
    <w:p>
      <w:pPr>
        <w:pStyle w:val="FirstParagraph"/>
      </w:pPr>
      <w:r>
        <w:t xml:space="preserve">We swept</w:t>
      </w:r>
      <w:r>
        <w:t xml:space="preserve"> </w:t>
      </w:r>
      <w:r>
        <w:rPr>
          <w:rStyle w:val="VerbatimChar"/>
        </w:rPr>
        <w:t xml:space="preserve">strong_threshold ∈ {0.65, 0.70, 0.75, 0.80, 0.85}</w:t>
      </w:r>
      <w:r>
        <w:t xml:space="preserve"> </w:t>
      </w:r>
      <w:r>
        <w:t xml:space="preserve">across the</w:t>
      </w:r>
      <w:r>
        <w:t xml:space="preserve"> </w:t>
      </w:r>
      <w:r>
        <w:t xml:space="preserve">eight (calibration + stress) datasets to verify that calibration outcomes</w:t>
      </w:r>
      <w:r>
        <w:t xml:space="preserve"> </w:t>
      </w:r>
      <w:r>
        <w:t xml:space="preserve">are robust to threshold choice. All four KEGG-curated calibration arms</w:t>
      </w:r>
      <w:r>
        <w:t xml:space="preserve"> </w:t>
      </w:r>
      <w:r>
        <w:t xml:space="preserve">(A, C1, C2-A, C2-B) remained</w:t>
      </w:r>
      <w:r>
        <w:t xml:space="preserve"> </w:t>
      </w:r>
      <w:r>
        <w:rPr>
          <w:rStyle w:val="VerbatimChar"/>
        </w:rPr>
        <w:t xml:space="preserve">STRONG</w:t>
      </w:r>
      <w:r>
        <w:t xml:space="preserve"> </w:t>
      </w:r>
      <w:r>
        <w:t xml:space="preserve">across the entire sweep range; Arm B</w:t>
      </w:r>
      <w:r>
        <w:t xml:space="preserve"> </w:t>
      </w:r>
      <w:r>
        <w:t xml:space="preserve">remained</w:t>
      </w:r>
      <w:r>
        <w:t xml:space="preserve"> </w:t>
      </w:r>
      <w:r>
        <w:rPr>
          <w:rStyle w:val="VerbatimChar"/>
        </w:rPr>
        <w:t xml:space="preserve">INSUFFICIENT</w:t>
      </w:r>
      <w:r>
        <w:t xml:space="preserve"> </w:t>
      </w:r>
      <w:r>
        <w:t xml:space="preserve">across the sweep range; all stress runs remained</w:t>
      </w:r>
      <w:r>
        <w:t xml:space="preserve"> </w:t>
      </w:r>
      <w:r>
        <w:rPr>
          <w:rStyle w:val="VerbatimChar"/>
        </w:rPr>
        <w:t xml:space="preserve">weak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suggestive</w:t>
      </w:r>
      <w:r>
        <w:t xml:space="preserve"> </w:t>
      </w:r>
      <w:r>
        <w:t xml:space="preserve">across the sweep range, with one boundary transition</w:t>
      </w:r>
      <w:r>
        <w:t xml:space="preserve"> </w:t>
      </w:r>
      <w:r>
        <w:t xml:space="preserve">at Ayala-Class-A at strong_threshold = 0.85 (suggestive → weak). Full</w:t>
      </w:r>
      <w:r>
        <w:t xml:space="preserve"> </w:t>
      </w:r>
      <w:r>
        <w:t xml:space="preserve">threshold-stability matrix at</w:t>
      </w:r>
      <w:r>
        <w:t xml:space="preserve"> </w:t>
      </w:r>
      <w:hyperlink r:id="rId73">
        <w:r>
          <w:rPr>
            <w:rStyle w:val="VerbatimChar"/>
          </w:rPr>
          <w:t xml:space="preserve">paper/benchmarks/external/threshold_sensitivity/threshold_stability_matrix.tsv</w:t>
        </w:r>
      </w:hyperlink>
      <w:r>
        <w:t xml:space="preserve">;</w:t>
      </w:r>
      <w:r>
        <w:t xml:space="preserve"> </w:t>
      </w:r>
      <w:r>
        <w:t xml:space="preserve">runner at</w:t>
      </w:r>
      <w:r>
        <w:t xml:space="preserve"> </w:t>
      </w:r>
      <w:hyperlink r:id="rId74">
        <w:r>
          <w:rPr>
            <w:rStyle w:val="VerbatimChar"/>
          </w:rPr>
          <w:t xml:space="preserve">tools/external_benchmarks/threshold_sensitivity.py</w:t>
        </w:r>
      </w:hyperlink>
      <w:r>
        <w:t xml:space="preserve">.</w:t>
      </w:r>
      <w:r>
        <w:t xml:space="preserve"> </w:t>
      </w:r>
      <w:r>
        <w:t xml:space="preserve">This robustness justifies the default thresholds (§4.0 Equation 1) as</w:t>
      </w:r>
      <w:r>
        <w:t xml:space="preserve"> </w:t>
      </w:r>
      <w:r>
        <w:t xml:space="preserve">conventional rather than tuned.</w:t>
      </w:r>
    </w:p>
    <w:bookmarkEnd w:id="75"/>
    <w:bookmarkStart w:id="76" w:name="reference-audit-doi-verification"/>
    <w:p>
      <w:pPr>
        <w:pStyle w:val="Heading4"/>
      </w:pPr>
      <w:r>
        <w:t xml:space="preserve">4.7.6 Reference audit + DOI verification</w:t>
      </w:r>
    </w:p>
    <w:p>
      <w:pPr>
        <w:pStyle w:val="FirstParagraph"/>
      </w:pPr>
      <w:r>
        <w:t xml:space="preserve">Post-hoc DOI verification identified four reference errors in the</w:t>
      </w:r>
      <w:r>
        <w:t xml:space="preserve"> </w:t>
      </w:r>
      <w:r>
        <w:t xml:space="preserve">pre-registered YAMLs that do not affect scoring outputs but require</w:t>
      </w:r>
      <w:r>
        <w:t xml:space="preserve"> </w:t>
      </w:r>
      <w:r>
        <w:t xml:space="preserve">transparent correction (§2.9.3 above; full audit at</w:t>
      </w:r>
      <w:r>
        <w:t xml:space="preserve"> </w:t>
      </w:r>
      <w:hyperlink r:id="rId31">
        <w:r>
          <w:rPr>
            <w:rStyle w:val="VerbatimChar"/>
          </w:rPr>
          <w:t xml:space="preserve">paper/manuscript/hypothesis_references_audit.md</w:t>
        </w:r>
      </w:hyperlink>
      <w:r>
        <w:t xml:space="preserve">).</w:t>
      </w:r>
      <w:r>
        <w:t xml:space="preserve"> </w:t>
      </w:r>
      <w:r>
        <w:t xml:space="preserve">The corrections were committed at git hashes</w:t>
      </w:r>
      <w:r>
        <w:t xml:space="preserve"> </w:t>
      </w:r>
      <w:r>
        <w:rPr>
          <w:rStyle w:val="VerbatimChar"/>
        </w:rPr>
        <w:t xml:space="preserve">ddd3098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cae2de7</w:t>
      </w:r>
      <w:r>
        <w:t xml:space="preserve">; the</w:t>
      </w:r>
      <w:r>
        <w:t xml:space="preserve"> </w:t>
      </w:r>
      <w:r>
        <w:t xml:space="preserve">original pre-registered versions remain accessible in git history.</w:t>
      </w:r>
    </w:p>
    <w:bookmarkEnd w:id="76"/>
    <w:bookmarkEnd w:id="77"/>
    <w:bookmarkStart w:id="78" w:name="implementation-details"/>
    <w:p>
      <w:pPr>
        <w:pStyle w:val="Heading3"/>
      </w:pPr>
      <w:r>
        <w:t xml:space="preserve">4.8 Implementation details</w:t>
      </w:r>
    </w:p>
    <w:p>
      <w:pPr>
        <w:pStyle w:val="FirstParagraph"/>
      </w:pPr>
      <w:r>
        <w:t xml:space="preserve">EnvMeta is implemented in Python 3.11+ using Streamlit 1.30+ for the GUI,</w:t>
      </w:r>
      <w:r>
        <w:t xml:space="preserve"> </w:t>
      </w:r>
      <w:r>
        <w:t xml:space="preserve">matplotlib 3.8+ / seaborn for static figures, D3.js v7 (inline embedded) for</w:t>
      </w:r>
      <w:r>
        <w:t xml:space="preserve"> </w:t>
      </w:r>
      <w:r>
        <w:t xml:space="preserve">interactive HTML, scipy/scikit-bio/statsmodels for statistics, and networkx</w:t>
      </w:r>
      <w:r>
        <w:t xml:space="preserve"> </w:t>
      </w:r>
      <w:r>
        <w:t xml:space="preserve">for graph operations. The test suite comprises 301/301 passing pytest cases</w:t>
      </w:r>
      <w:r>
        <w:t xml:space="preserve"> </w:t>
      </w:r>
      <w:r>
        <w:t xml:space="preserve">(v0.9.5). Source code is openly available at</w:t>
      </w:r>
      <w:r>
        <w:t xml:space="preserve"> </w:t>
      </w:r>
      <w:r>
        <w:t xml:space="preserve">https://github.com/redlizzxy/EnvMeta under MIT License with a Zenodo DOI</w:t>
      </w:r>
      <w:r>
        <w:t xml:space="preserve"> </w:t>
      </w:r>
      <w:r>
        <w:t xml:space="preserve">for each tagged release.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data-and-code-availability"/>
    <w:p>
      <w:pPr>
        <w:pStyle w:val="Heading2"/>
      </w:pPr>
      <w:r>
        <w:t xml:space="preserve">5. Data and Code Availability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Source code</w:t>
      </w:r>
      <w:r>
        <w:t xml:space="preserve">: https://github.com/redlizzxy/EnvMeta (MIT License)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Online demo</w:t>
      </w:r>
      <w:r>
        <w:t xml:space="preserve">: https://envmeta-3xjhcu7lv2gkj4pjtk8gsb.streamlit.app/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Sample 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tests/sample_data/</w:t>
      </w:r>
      <w:r>
        <w:t xml:space="preserve"> </w:t>
      </w:r>
      <w:r>
        <w:t xml:space="preserve">(arsenic slag bioremediation, full</w:t>
      </w:r>
      <w:r>
        <w:t xml:space="preserve"> </w:t>
      </w:r>
      <w:r>
        <w:t xml:space="preserve">168 MAG × 10 sample × 57 KO) and</w:t>
      </w:r>
      <w:r>
        <w:t xml:space="preserve"> </w:t>
      </w:r>
      <w:r>
        <w:rPr>
          <w:rStyle w:val="VerbatimChar"/>
        </w:rPr>
        <w:t xml:space="preserve">tests/sample_data_demo/</w:t>
      </w:r>
      <w:r>
        <w:t xml:space="preserve"> </w:t>
      </w:r>
      <w:r>
        <w:t xml:space="preserve">(30 MAG</w:t>
      </w:r>
      <w:r>
        <w:t xml:space="preserve"> </w:t>
      </w:r>
      <w:r>
        <w:t xml:space="preserve">lightweight subset for online testing)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Calibration data + YAMLs</w:t>
      </w:r>
      <w:r>
        <w:t xml:space="preserve">:</w:t>
      </w:r>
      <w:r>
        <w:t xml:space="preserve"> </w:t>
      </w:r>
      <w:r>
        <w:rPr>
          <w:rStyle w:val="VerbatimChar"/>
        </w:rPr>
        <w:t xml:space="preserve">paper/benchmarks/external/{wei_2024_paddy, liu_2023_coldseep, grettenberger_2021_amd_stream, ayala_2020_pitlake}/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input_data_local/</w:t>
      </w:r>
      <w:r>
        <w:t xml:space="preserve"> </w:t>
      </w:r>
      <w:r>
        <w:t xml:space="preserve">(re-shaped inputs),</w:t>
      </w:r>
      <w:r>
        <w:t xml:space="preserve"> </w:t>
      </w:r>
      <w:r>
        <w:rPr>
          <w:rStyle w:val="VerbatimChar"/>
        </w:rPr>
        <w:t xml:space="preserve">*hypothesis.yaml</w:t>
      </w:r>
      <w:r>
        <w:t xml:space="preserve"> </w:t>
      </w:r>
      <w:r>
        <w:t xml:space="preserve">(pre-registered),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envmeta_outputs/</w:t>
      </w:r>
      <w:r>
        <w:t xml:space="preserve"> </w:t>
      </w:r>
      <w:r>
        <w:t xml:space="preserve">(per-arm scoring outputs)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Perturbation + threshold sensitivity runners</w:t>
      </w:r>
      <w:r>
        <w:t xml:space="preserve">:</w:t>
      </w:r>
      <w:r>
        <w:t xml:space="preserve"> </w:t>
      </w:r>
      <w:r>
        <w:rPr>
          <w:rStyle w:val="VerbatimChar"/>
        </w:rPr>
        <w:t xml:space="preserve">tools/external_benchmarks/perturbation_analysis.py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threshold_sensitivity.py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Performance benchmark</w:t>
      </w:r>
      <w:r>
        <w:t xml:space="preserve">:</w:t>
      </w:r>
      <w:r>
        <w:t xml:space="preserve"> </w:t>
      </w:r>
      <w:r>
        <w:rPr>
          <w:rStyle w:val="VerbatimChar"/>
        </w:rPr>
        <w:t xml:space="preserve">paper/benchmarks/performance/</w:t>
      </w:r>
      <w:r>
        <w:t xml:space="preserve"> </w:t>
      </w:r>
      <w:r>
        <w:t xml:space="preserve">(58-cell raw</w:t>
      </w:r>
      <w:r>
        <w:t xml:space="preserve"> </w:t>
      </w:r>
      <w:r>
        <w:t xml:space="preserve">measurements + scaling curve)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Pre-registration anchors</w:t>
      </w:r>
      <w:r>
        <w:t xml:space="preserve">:</w:t>
      </w:r>
      <w:r>
        <w:t xml:space="preserve"> </w:t>
      </w:r>
      <w:r>
        <w:rPr>
          <w:rStyle w:val="VerbatimChar"/>
        </w:rPr>
        <w:t xml:space="preserve">paper/manuscript/timestamps/</w:t>
      </w:r>
      <w:r>
        <w:t xml:space="preserve"> </w:t>
      </w:r>
      <w:r>
        <w:t xml:space="preserve">(OpenTimestamps</w:t>
      </w:r>
      <w:r>
        <w:t xml:space="preserve"> </w:t>
      </w:r>
      <w:r>
        <w:t xml:space="preserve">cryptographic anchors for 4 commit hashes × 3 calendar witnesses = 12 proofs)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Bundle archive</w:t>
      </w:r>
      <w:r>
        <w:t xml:space="preserve">:</w:t>
      </w:r>
      <w:r>
        <w:t xml:space="preserve"> </w:t>
      </w:r>
      <w:r>
        <w:rPr>
          <w:rStyle w:val="VerbatimChar"/>
        </w:rPr>
        <w:t xml:space="preserve">paper/bundles/envmeta_paper_v0.10_bundle.zip</w:t>
      </w:r>
      <w:r>
        <w:t xml:space="preserve"> </w:t>
      </w:r>
      <w:r>
        <w:t xml:space="preserve">(one-click</w:t>
      </w:r>
      <w:r>
        <w:t xml:space="preserve"> </w:t>
      </w:r>
      <w:r>
        <w:t xml:space="preserve">reproduction of all paper figures)</w:t>
      </w:r>
    </w:p>
    <w:p>
      <w:r>
        <w:pict>
          <v:rect style="width:0;height:1.5pt" o:hralign="center" o:hrstd="t" o:hr="t"/>
        </w:pict>
      </w:r>
    </w:p>
    <w:bookmarkEnd w:id="80"/>
    <w:bookmarkStart w:id="81" w:name="acknowledgements"/>
    <w:p>
      <w:pPr>
        <w:pStyle w:val="Heading2"/>
      </w:pPr>
      <w:r>
        <w:t xml:space="preserve">6. Acknowledgements</w:t>
      </w:r>
    </w:p>
    <w:p>
      <w:pPr>
        <w:pStyle w:val="FirstParagraph"/>
      </w:pPr>
      <w:r>
        <w:t xml:space="preserve">The author acknowledges the iMeta sister-tool ecosystem (ImageGP 2 [10],</w:t>
      </w:r>
      <w:r>
        <w:t xml:space="preserve"> </w:t>
      </w:r>
      <w:r>
        <w:t xml:space="preserve">Sangerbox [10], TOmicsVis [10], Wekemo Bioincloud [10], iMetaLab Suite [10],</w:t>
      </w:r>
      <w:r>
        <w:t xml:space="preserve"> </w:t>
      </w:r>
      <w:r>
        <w:t xml:space="preserve">iNAP [10], Majorbio Cloud [10]) for providing the broader visualization</w:t>
      </w:r>
      <w:r>
        <w:t xml:space="preserve"> </w:t>
      </w:r>
      <w:r>
        <w:t xml:space="preserve">landscape against which EnvMeta complements as a specialist methodological</w:t>
      </w:r>
      <w:r>
        <w:t xml:space="preserve"> </w:t>
      </w:r>
      <w:r>
        <w:t xml:space="preserve">contribution. We thank the authors of the four calibration datasets [26-29]</w:t>
      </w:r>
      <w:r>
        <w:t xml:space="preserve"> </w:t>
      </w:r>
      <w:r>
        <w:t xml:space="preserve">for openly publishing MAG-level data that enabled framework validation.</w:t>
      </w:r>
      <w:r>
        <w:t xml:space="preserve"> </w:t>
      </w:r>
      <w:r>
        <w:t xml:space="preserve">[</w:t>
      </w:r>
      <w:r>
        <w:rPr>
          <w:b/>
          <w:bCs/>
        </w:rPr>
        <w:t xml:space="preserve">TODO</w:t>
      </w:r>
      <w:r>
        <w:t xml:space="preserve">: add supervisor / lab funding acknowledgements; user-study</w:t>
      </w:r>
      <w:r>
        <w:t xml:space="preserve"> </w:t>
      </w:r>
      <w:r>
        <w:t xml:space="preserve">participant acknowledgements pending response data.]</w:t>
      </w:r>
    </w:p>
    <w:p>
      <w:r>
        <w:pict>
          <v:rect style="width:0;height:1.5pt" o:hralign="center" o:hrstd="t" o:hr="t"/>
        </w:pict>
      </w:r>
    </w:p>
    <w:bookmarkEnd w:id="81"/>
    <w:bookmarkStart w:id="82" w:name="references"/>
    <w:p>
      <w:pPr>
        <w:pStyle w:val="Heading2"/>
      </w:pPr>
      <w:r>
        <w:t xml:space="preserve">7. References</w:t>
      </w:r>
    </w:p>
    <w:p>
      <w:pPr>
        <w:numPr>
          <w:ilvl w:val="0"/>
          <w:numId w:val="1004"/>
        </w:numPr>
      </w:pPr>
      <w:r>
        <w:t xml:space="preserve">Linkov I, Loney D, Cormier S, Satterstrom FK, Bridges T.</w:t>
      </w:r>
      <w:r>
        <w:t xml:space="preserve"> </w:t>
      </w:r>
      <w:r>
        <w:rPr>
          <w:i/>
          <w:iCs/>
        </w:rPr>
        <w:t xml:space="preserve">Sci Total</w:t>
      </w:r>
      <w:r>
        <w:rPr>
          <w:i/>
          <w:iCs/>
        </w:rPr>
        <w:t xml:space="preserve"> </w:t>
      </w:r>
      <w:r>
        <w:rPr>
          <w:i/>
          <w:iCs/>
        </w:rPr>
        <w:t xml:space="preserve">Environ.</w:t>
      </w:r>
      <w:r>
        <w:t xml:space="preserve"> </w:t>
      </w:r>
      <w:r>
        <w:t xml:space="preserve">2009;407:5199-5205. DOI: 10.1016/j.scitotenv.2009.05.004</w:t>
      </w:r>
    </w:p>
    <w:p>
      <w:pPr>
        <w:numPr>
          <w:ilvl w:val="0"/>
          <w:numId w:val="1004"/>
        </w:numPr>
      </w:pPr>
      <w:r>
        <w:t xml:space="preserve">Suter GW, Cormier SM.</w:t>
      </w:r>
      <w:r>
        <w:t xml:space="preserve"> </w:t>
      </w:r>
      <w:r>
        <w:rPr>
          <w:i/>
          <w:iCs/>
        </w:rPr>
        <w:t xml:space="preserve">Integr Environ Assess Manag.</w:t>
      </w:r>
      <w:r>
        <w:t xml:space="preserve"> </w:t>
      </w:r>
      <w:r>
        <w:t xml:space="preserve">2011;7:204-213.</w:t>
      </w:r>
      <w:r>
        <w:t xml:space="preserve"> </w:t>
      </w:r>
      <w:r>
        <w:t xml:space="preserve">DOI: 10.1002/ieam.137</w:t>
      </w:r>
    </w:p>
    <w:p>
      <w:pPr>
        <w:numPr>
          <w:ilvl w:val="0"/>
          <w:numId w:val="1004"/>
        </w:numPr>
      </w:pPr>
      <w:r>
        <w:t xml:space="preserve">Rhomberg LR, Bailey LA, Goodman JE.</w:t>
      </w:r>
      <w:r>
        <w:t xml:space="preserve"> </w:t>
      </w:r>
      <w:r>
        <w:rPr>
          <w:i/>
          <w:iCs/>
        </w:rPr>
        <w:t xml:space="preserve">Hum Ecol Risk Assess.</w:t>
      </w:r>
      <w:r>
        <w:t xml:space="preserve"> </w:t>
      </w:r>
      <w:r>
        <w:t xml:space="preserve">2010;16:1313-1342. DOI: 10.1080/10807039.2010.526507</w:t>
      </w:r>
    </w:p>
    <w:p>
      <w:pPr>
        <w:numPr>
          <w:ilvl w:val="0"/>
          <w:numId w:val="1004"/>
        </w:numPr>
      </w:pPr>
      <w:r>
        <w:t xml:space="preserve">Aitchison J.</w:t>
      </w:r>
      <w:r>
        <w:t xml:space="preserve"> </w:t>
      </w:r>
      <w:r>
        <w:rPr>
          <w:i/>
          <w:iCs/>
        </w:rPr>
        <w:t xml:space="preserve">The Statistical Analysis of Compositional Data.</w:t>
      </w:r>
      <w:r>
        <w:t xml:space="preserve"> </w:t>
      </w:r>
      <w:r>
        <w:t xml:space="preserve">London:</w:t>
      </w:r>
      <w:r>
        <w:t xml:space="preserve"> </w:t>
      </w:r>
      <w:r>
        <w:t xml:space="preserve">Chapman &amp; Hall; 1986.</w:t>
      </w:r>
    </w:p>
    <w:p>
      <w:pPr>
        <w:numPr>
          <w:ilvl w:val="0"/>
          <w:numId w:val="1004"/>
        </w:numPr>
      </w:pPr>
      <w:r>
        <w:t xml:space="preserve">Gloor GB, Macklaim JM, Pawlowsky-Glahn V, Egozcue JJ.</w:t>
      </w:r>
      <w:r>
        <w:t xml:space="preserve"> </w:t>
      </w:r>
      <w:r>
        <w:rPr>
          <w:i/>
          <w:iCs/>
        </w:rPr>
        <w:t xml:space="preserve">Front Microbiol.</w:t>
      </w:r>
      <w:r>
        <w:t xml:space="preserve"> </w:t>
      </w:r>
      <w:r>
        <w:t xml:space="preserve">2017;8:2224. DOI: 10.3389/fmicb.2017.02224</w:t>
      </w:r>
    </w:p>
    <w:p>
      <w:pPr>
        <w:numPr>
          <w:ilvl w:val="0"/>
          <w:numId w:val="1004"/>
        </w:numPr>
      </w:pPr>
      <w:r>
        <w:t xml:space="preserve">Anderson MJ.</w:t>
      </w:r>
      <w:r>
        <w:t xml:space="preserve"> </w:t>
      </w:r>
      <w:r>
        <w:rPr>
          <w:i/>
          <w:iCs/>
        </w:rPr>
        <w:t xml:space="preserve">Austral Ecol.</w:t>
      </w:r>
      <w:r>
        <w:t xml:space="preserve"> </w:t>
      </w:r>
      <w:r>
        <w:t xml:space="preserve">2001;26:32-46. DOI: 10.1111/j.1442-9993.2001.01070.pp.x</w:t>
      </w:r>
    </w:p>
    <w:p>
      <w:pPr>
        <w:numPr>
          <w:ilvl w:val="0"/>
          <w:numId w:val="1004"/>
        </w:numPr>
      </w:pPr>
      <w:r>
        <w:t xml:space="preserve">Segata N, Izard J, Waldron L, Gevers D, Miropolsky L, Garrett WS, Huttenhower C.</w:t>
      </w:r>
      <w:r>
        <w:t xml:space="preserve"> </w:t>
      </w:r>
      <w:r>
        <w:rPr>
          <w:i/>
          <w:iCs/>
        </w:rPr>
        <w:t xml:space="preserve">Genome Biol.</w:t>
      </w:r>
      <w:r>
        <w:t xml:space="preserve"> </w:t>
      </w:r>
      <w:r>
        <w:t xml:space="preserve">2011;12:R60. DOI: 10.1186/gb-2011-12-6-r60</w:t>
      </w:r>
    </w:p>
    <w:p>
      <w:pPr>
        <w:numPr>
          <w:ilvl w:val="0"/>
          <w:numId w:val="1004"/>
        </w:numPr>
      </w:pPr>
      <w:r>
        <w:t xml:space="preserve">Belton V, Stewart T.</w:t>
      </w:r>
      <w:r>
        <w:t xml:space="preserve"> </w:t>
      </w:r>
      <w:r>
        <w:rPr>
          <w:i/>
          <w:iCs/>
        </w:rPr>
        <w:t xml:space="preserve">Multiple Criteria Decision Analysis: An Integrated</w:t>
      </w:r>
      <w:r>
        <w:rPr>
          <w:i/>
          <w:iCs/>
        </w:rPr>
        <w:t xml:space="preserve"> </w:t>
      </w:r>
      <w:r>
        <w:rPr>
          <w:i/>
          <w:iCs/>
        </w:rPr>
        <w:t xml:space="preserve">Approach.</w:t>
      </w:r>
      <w:r>
        <w:t xml:space="preserve"> </w:t>
      </w:r>
      <w:r>
        <w:t xml:space="preserve">Boston: Kluwer Academic; 2002.</w:t>
      </w:r>
    </w:p>
    <w:p>
      <w:pPr>
        <w:numPr>
          <w:ilvl w:val="0"/>
          <w:numId w:val="1004"/>
        </w:numPr>
      </w:pPr>
      <w:r>
        <w:t xml:space="preserve">Hill AB.</w:t>
      </w:r>
      <w:r>
        <w:t xml:space="preserve"> </w:t>
      </w:r>
      <w:r>
        <w:rPr>
          <w:i/>
          <w:iCs/>
        </w:rPr>
        <w:t xml:space="preserve">Proc R Soc Med.</w:t>
      </w:r>
      <w:r>
        <w:t xml:space="preserve"> </w:t>
      </w:r>
      <w:r>
        <w:t xml:space="preserve">1965;58:295-300. DOI: 10.1177/003591576505800503</w:t>
      </w:r>
    </w:p>
    <w:p>
      <w:pPr>
        <w:numPr>
          <w:ilvl w:val="0"/>
          <w:numId w:val="1004"/>
        </w:numPr>
      </w:pPr>
      <w:r>
        <w:t xml:space="preserve">Saltelli A, Ratto M, Andres T, Campolongo F, Cariboni J, Gatelli D,</w:t>
      </w:r>
      <w:r>
        <w:t xml:space="preserve"> </w:t>
      </w:r>
      <w:r>
        <w:t xml:space="preserve">Saisana M, Tarantola S.</w:t>
      </w:r>
      <w:r>
        <w:t xml:space="preserve"> </w:t>
      </w:r>
      <w:r>
        <w:rPr>
          <w:i/>
          <w:iCs/>
        </w:rPr>
        <w:t xml:space="preserve">Global Sensitivity Analysis: The Primer.</w:t>
      </w:r>
      <w:r>
        <w:t xml:space="preserve"> </w:t>
      </w:r>
      <w:r>
        <w:t xml:space="preserve">Chichester: Wiley; 2008.</w:t>
      </w:r>
    </w:p>
    <w:p>
      <w:pPr>
        <w:numPr>
          <w:ilvl w:val="0"/>
          <w:numId w:val="1004"/>
        </w:numPr>
      </w:pPr>
      <w:r>
        <w:t xml:space="preserve">Eren AM, Kiefl E, Shaiber A, et al. </w:t>
      </w:r>
      <w:r>
        <w:rPr>
          <w:i/>
          <w:iCs/>
        </w:rPr>
        <w:t xml:space="preserve">Nat Microbiol.</w:t>
      </w:r>
      <w:r>
        <w:t xml:space="preserve"> </w:t>
      </w:r>
      <w:r>
        <w:t xml:space="preserve">2021;6:3-6.</w:t>
      </w:r>
      <w:r>
        <w:t xml:space="preserve"> </w:t>
      </w:r>
      <w:r>
        <w:t xml:space="preserve">DOI: 10.1038/s41564-020-00834-3</w:t>
      </w:r>
    </w:p>
    <w:p>
      <w:pPr>
        <w:numPr>
          <w:ilvl w:val="0"/>
          <w:numId w:val="1004"/>
        </w:numPr>
      </w:pPr>
      <w:r>
        <w:t xml:space="preserve">Bolyen E, Rideout JR, Dillon MR, et al. </w:t>
      </w:r>
      <w:r>
        <w:rPr>
          <w:i/>
          <w:iCs/>
        </w:rPr>
        <w:t xml:space="preserve">Nat Biotechnol.</w:t>
      </w:r>
      <w:r>
        <w:t xml:space="preserve"> </w:t>
      </w:r>
      <w:r>
        <w:t xml:space="preserve">2019;37:852-857.</w:t>
      </w:r>
      <w:r>
        <w:t xml:space="preserve"> </w:t>
      </w:r>
      <w:r>
        <w:t xml:space="preserve">DOI: 10.1038/s41587-019-0209-9</w:t>
      </w:r>
    </w:p>
    <w:p>
      <w:pPr>
        <w:numPr>
          <w:ilvl w:val="0"/>
          <w:numId w:val="1004"/>
        </w:numPr>
      </w:pPr>
      <w:r>
        <w:t xml:space="preserve">McMurdie PJ, Holmes S.</w:t>
      </w:r>
      <w:r>
        <w:t xml:space="preserve"> </w:t>
      </w:r>
      <w:r>
        <w:rPr>
          <w:i/>
          <w:iCs/>
        </w:rPr>
        <w:t xml:space="preserve">PLoS ONE.</w:t>
      </w:r>
      <w:r>
        <w:t xml:space="preserve"> </w:t>
      </w:r>
      <w:r>
        <w:t xml:space="preserve">2013;8:e61217.</w:t>
      </w:r>
      <w:r>
        <w:t xml:space="preserve"> </w:t>
      </w:r>
      <w:r>
        <w:t xml:space="preserve">DOI: 10.1371/journal.pone.0061217</w:t>
      </w:r>
    </w:p>
    <w:p>
      <w:pPr>
        <w:numPr>
          <w:ilvl w:val="0"/>
          <w:numId w:val="1004"/>
        </w:numPr>
      </w:pPr>
      <w:r>
        <w:t xml:space="preserve">Chen T, Liu Y-X, Huang L.</w:t>
      </w:r>
      <w:r>
        <w:t xml:space="preserve"> </w:t>
      </w:r>
      <w:r>
        <w:rPr>
          <w:i/>
          <w:iCs/>
        </w:rPr>
        <w:t xml:space="preserve">iMeta.</w:t>
      </w:r>
      <w:r>
        <w:t xml:space="preserve"> </w:t>
      </w:r>
      <w:r>
        <w:t xml:space="preserve">2024;3:e239. DOI: 10.1002/imt2.239</w:t>
      </w:r>
    </w:p>
    <w:p>
      <w:pPr>
        <w:numPr>
          <w:ilvl w:val="0"/>
          <w:numId w:val="1004"/>
        </w:numPr>
      </w:pPr>
      <w:r>
        <w:t xml:space="preserve">Shen W, Le S, Li Y, Hu F.</w:t>
      </w:r>
      <w:r>
        <w:t xml:space="preserve"> </w:t>
      </w:r>
      <w:r>
        <w:rPr>
          <w:i/>
          <w:iCs/>
        </w:rPr>
        <w:t xml:space="preserve">iMeta.</w:t>
      </w:r>
      <w:r>
        <w:t xml:space="preserve"> </w:t>
      </w:r>
      <w:r>
        <w:t xml:space="preserve">2022;1:e36. DOI: 10.1002/imt2.36</w:t>
      </w:r>
    </w:p>
    <w:p>
      <w:pPr>
        <w:numPr>
          <w:ilvl w:val="0"/>
          <w:numId w:val="1004"/>
        </w:numPr>
      </w:pPr>
      <w:r>
        <w:t xml:space="preserve">Miao L, Chen J, Yu J, et al. </w:t>
      </w:r>
      <w:r>
        <w:rPr>
          <w:i/>
          <w:iCs/>
        </w:rPr>
        <w:t xml:space="preserve">iMeta.</w:t>
      </w:r>
      <w:r>
        <w:t xml:space="preserve"> </w:t>
      </w:r>
      <w:r>
        <w:t xml:space="preserve">2023;2:e137. DOI: 10.1002/imt2.137</w:t>
      </w:r>
    </w:p>
    <w:p>
      <w:pPr>
        <w:numPr>
          <w:ilvl w:val="0"/>
          <w:numId w:val="1004"/>
        </w:numPr>
      </w:pPr>
      <w:r>
        <w:t xml:space="preserve">Gao Y, Zhang G, Jiang S, Liu Y-X.</w:t>
      </w:r>
      <w:r>
        <w:t xml:space="preserve"> </w:t>
      </w:r>
      <w:r>
        <w:rPr>
          <w:i/>
          <w:iCs/>
        </w:rPr>
        <w:t xml:space="preserve">iMeta.</w:t>
      </w:r>
      <w:r>
        <w:t xml:space="preserve"> </w:t>
      </w:r>
      <w:r>
        <w:t xml:space="preserve">2024;3:e175. DOI: 10.1002/imt2.175</w:t>
      </w:r>
    </w:p>
    <w:p>
      <w:pPr>
        <w:numPr>
          <w:ilvl w:val="0"/>
          <w:numId w:val="1004"/>
        </w:numPr>
      </w:pPr>
      <w:r>
        <w:t xml:space="preserve">Li Y, Liang Z, Wang C, et al. </w:t>
      </w:r>
      <w:r>
        <w:rPr>
          <w:i/>
          <w:iCs/>
        </w:rPr>
        <w:t xml:space="preserve">iMeta.</w:t>
      </w:r>
      <w:r>
        <w:t xml:space="preserve"> </w:t>
      </w:r>
      <w:r>
        <w:t xml:space="preserve">2022;1:e52. DOI: 10.1002/imt2.52</w:t>
      </w:r>
    </w:p>
    <w:p>
      <w:pPr>
        <w:numPr>
          <w:ilvl w:val="0"/>
          <w:numId w:val="1004"/>
        </w:numPr>
      </w:pPr>
      <w:r>
        <w:t xml:space="preserve">Feng K, Peng X, Zhang Z, et al. </w:t>
      </w:r>
      <w:r>
        <w:rPr>
          <w:i/>
          <w:iCs/>
        </w:rPr>
        <w:t xml:space="preserve">iMeta.</w:t>
      </w:r>
      <w:r>
        <w:t xml:space="preserve"> </w:t>
      </w:r>
      <w:r>
        <w:t xml:space="preserve">2022;1:e13. DOI: 10.1002/imt2.13</w:t>
      </w:r>
    </w:p>
    <w:p>
      <w:pPr>
        <w:numPr>
          <w:ilvl w:val="0"/>
          <w:numId w:val="1004"/>
        </w:numPr>
      </w:pPr>
      <w:r>
        <w:t xml:space="preserve">Ren Y, Yu G, Shi C, et al. </w:t>
      </w:r>
      <w:r>
        <w:rPr>
          <w:i/>
          <w:iCs/>
        </w:rPr>
        <w:t xml:space="preserve">iMeta.</w:t>
      </w:r>
      <w:r>
        <w:t xml:space="preserve"> </w:t>
      </w:r>
      <w:r>
        <w:t xml:space="preserve">2022;1:e12. DOI: 10.1002/imt2.12</w:t>
      </w:r>
    </w:p>
    <w:p>
      <w:pPr>
        <w:numPr>
          <w:ilvl w:val="0"/>
          <w:numId w:val="1004"/>
        </w:numPr>
      </w:pPr>
      <w:r>
        <w:t xml:space="preserve">Ondov BD, Bergman NH, Phillippy AM.</w:t>
      </w:r>
      <w:r>
        <w:t xml:space="preserve"> </w:t>
      </w:r>
      <w:r>
        <w:rPr>
          <w:i/>
          <w:iCs/>
        </w:rPr>
        <w:t xml:space="preserve">BMC Bioinformatics.</w:t>
      </w:r>
      <w:r>
        <w:t xml:space="preserve"> </w:t>
      </w:r>
      <w:r>
        <w:t xml:space="preserve">2011;12:385.</w:t>
      </w:r>
      <w:r>
        <w:t xml:space="preserve"> </w:t>
      </w:r>
      <w:r>
        <w:t xml:space="preserve">DOI: 10.1186/1471-2105-12-385</w:t>
      </w:r>
    </w:p>
    <w:p>
      <w:pPr>
        <w:numPr>
          <w:ilvl w:val="0"/>
          <w:numId w:val="1004"/>
        </w:numPr>
      </w:pPr>
      <w:r>
        <w:t xml:space="preserve">Letunic I, Bork P.</w:t>
      </w:r>
      <w:r>
        <w:t xml:space="preserve"> </w:t>
      </w:r>
      <w:r>
        <w:rPr>
          <w:i/>
          <w:iCs/>
        </w:rPr>
        <w:t xml:space="preserve">Nucleic Acids Res.</w:t>
      </w:r>
      <w:r>
        <w:t xml:space="preserve"> </w:t>
      </w:r>
      <w:r>
        <w:t xml:space="preserve">2024;52:W78-W82.</w:t>
      </w:r>
      <w:r>
        <w:t xml:space="preserve"> </w:t>
      </w:r>
      <w:r>
        <w:t xml:space="preserve">DOI: 10.1093/nar/gkae268</w:t>
      </w:r>
    </w:p>
    <w:p>
      <w:pPr>
        <w:numPr>
          <w:ilvl w:val="0"/>
          <w:numId w:val="1004"/>
        </w:numPr>
      </w:pPr>
      <w:r>
        <w:t xml:space="preserve">Shannon P, Markiel A, Ozier O, et al. </w:t>
      </w:r>
      <w:r>
        <w:rPr>
          <w:i/>
          <w:iCs/>
        </w:rPr>
        <w:t xml:space="preserve">Genome Res.</w:t>
      </w:r>
      <w:r>
        <w:t xml:space="preserve"> </w:t>
      </w:r>
      <w:r>
        <w:t xml:space="preserve">2003;13:2498-2504.</w:t>
      </w:r>
      <w:r>
        <w:t xml:space="preserve"> </w:t>
      </w:r>
      <w:r>
        <w:t xml:space="preserve">DOI: 10.1101/gr.1239303</w:t>
      </w:r>
    </w:p>
    <w:p>
      <w:pPr>
        <w:numPr>
          <w:ilvl w:val="0"/>
          <w:numId w:val="1004"/>
        </w:numPr>
      </w:pPr>
      <w:r>
        <w:t xml:space="preserve">Todd P. OpenTimestamps: a timestamping proof standard. 2016.</w:t>
      </w:r>
      <w:r>
        <w:t xml:space="preserve"> </w:t>
      </w:r>
      <w:r>
        <w:t xml:space="preserve">https://opentimestamps.org/</w:t>
      </w:r>
    </w:p>
    <w:p>
      <w:pPr>
        <w:numPr>
          <w:ilvl w:val="0"/>
          <w:numId w:val="1004"/>
        </w:numPr>
      </w:pPr>
      <w:r>
        <w:t xml:space="preserve">Wei H, Wang J, Hassan M, Liu X, Lu C, Xiao R, Wang H. Various microbial</w:t>
      </w:r>
      <w:r>
        <w:t xml:space="preserve"> </w:t>
      </w:r>
      <w:r>
        <w:t xml:space="preserve">taxa couple arsenic transformation to nitrogen and carbon cycling in</w:t>
      </w:r>
      <w:r>
        <w:t xml:space="preserve"> </w:t>
      </w:r>
      <w:r>
        <w:t xml:space="preserve">paddy soils.</w:t>
      </w:r>
      <w:r>
        <w:t xml:space="preserve"> </w:t>
      </w:r>
      <w:r>
        <w:rPr>
          <w:i/>
          <w:iCs/>
        </w:rPr>
        <w:t xml:space="preserve">Microbiome.</w:t>
      </w:r>
      <w:r>
        <w:t xml:space="preserve"> </w:t>
      </w:r>
      <w:r>
        <w:t xml:space="preserve">2024;12:236.</w:t>
      </w:r>
      <w:r>
        <w:t xml:space="preserve"> </w:t>
      </w:r>
      <w:r>
        <w:t xml:space="preserve">DOI: 10.1186/s40168-024-01952-4</w:t>
      </w:r>
    </w:p>
    <w:p>
      <w:pPr>
        <w:numPr>
          <w:ilvl w:val="0"/>
          <w:numId w:val="1004"/>
        </w:numPr>
      </w:pPr>
      <w:r>
        <w:t xml:space="preserve">Liu R, Wei X, Song W, Wang L, Cao J, Wu J, Thomas T, Jin T, Wang Z,</w:t>
      </w:r>
      <w:r>
        <w:t xml:space="preserve"> </w:t>
      </w:r>
      <w:r>
        <w:t xml:space="preserve">Wei W, Wei Y, Zhai H, Yao C, Shen Z, Du J, Fang J. Novel</w:t>
      </w:r>
      <w:r>
        <w:t xml:space="preserve"> </w:t>
      </w:r>
      <w:r>
        <w:t xml:space="preserve">chemolithoautotrophic and Archaea-dominant microbial niche fueling</w:t>
      </w:r>
      <w:r>
        <w:t xml:space="preserve"> </w:t>
      </w:r>
      <w:r>
        <w:t xml:space="preserve">arsenic cycling in deep-sea cold seep sediments.</w:t>
      </w:r>
      <w:r>
        <w:t xml:space="preserve"> </w:t>
      </w:r>
      <w:r>
        <w:rPr>
          <w:i/>
          <w:iCs/>
        </w:rPr>
        <w:t xml:space="preserve">npj Biofilms</w:t>
      </w:r>
      <w:r>
        <w:rPr>
          <w:i/>
          <w:iCs/>
        </w:rPr>
        <w:t xml:space="preserve"> </w:t>
      </w:r>
      <w:r>
        <w:rPr>
          <w:i/>
          <w:iCs/>
        </w:rPr>
        <w:t xml:space="preserve">Microbiomes.</w:t>
      </w:r>
      <w:r>
        <w:t xml:space="preserve"> </w:t>
      </w:r>
      <w:r>
        <w:t xml:space="preserve">2023;9:13. DOI: 10.1038/s41522-023-00382-8</w:t>
      </w:r>
    </w:p>
    <w:p>
      <w:pPr>
        <w:numPr>
          <w:ilvl w:val="0"/>
          <w:numId w:val="1004"/>
        </w:numPr>
      </w:pPr>
      <w:r>
        <w:t xml:space="preserve">Grettenberger CL, Hamilton TL. Metagenome-assembled genomes of novel</w:t>
      </w:r>
      <w:r>
        <w:t xml:space="preserve"> </w:t>
      </w:r>
      <w:r>
        <w:t xml:space="preserve">taxa from an acid mine drainage environment.</w:t>
      </w:r>
      <w:r>
        <w:t xml:space="preserve"> </w:t>
      </w:r>
      <w:r>
        <w:rPr>
          <w:i/>
          <w:iCs/>
        </w:rPr>
        <w:t xml:space="preserve">Appl Environ Microbiol.</w:t>
      </w:r>
      <w:r>
        <w:t xml:space="preserve"> </w:t>
      </w:r>
      <w:r>
        <w:t xml:space="preserve">2021;87(18):e00772-21. DOI: 10.1128/AEM.00772-21</w:t>
      </w:r>
    </w:p>
    <w:p>
      <w:pPr>
        <w:numPr>
          <w:ilvl w:val="0"/>
          <w:numId w:val="1004"/>
        </w:numPr>
      </w:pPr>
      <w:r>
        <w:t xml:space="preserve">Ayala-Muñoz D, Burgos WD, Sánchez-España J, Couradeau E, Falagán C,</w:t>
      </w:r>
      <w:r>
        <w:t xml:space="preserve"> </w:t>
      </w:r>
      <w:r>
        <w:t xml:space="preserve">Macalady JL. Metagenomic and metatranscriptomic study of microbial</w:t>
      </w:r>
      <w:r>
        <w:t xml:space="preserve"> </w:t>
      </w:r>
      <w:r>
        <w:t xml:space="preserve">metal resistance in an acidic pit lake.</w:t>
      </w:r>
      <w:r>
        <w:t xml:space="preserve"> </w:t>
      </w:r>
      <w:r>
        <w:rPr>
          <w:i/>
          <w:iCs/>
        </w:rPr>
        <w:t xml:space="preserve">Microorganisms.</w:t>
      </w:r>
      <w:r>
        <w:t xml:space="preserve"> </w:t>
      </w:r>
      <w:r>
        <w:t xml:space="preserve">2020;8(9):1350. DOI: 10.3390/microorganisms8091350</w:t>
      </w:r>
    </w:p>
    <w:p>
      <w:pPr>
        <w:numPr>
          <w:ilvl w:val="0"/>
          <w:numId w:val="1004"/>
        </w:numPr>
      </w:pPr>
      <w:r>
        <w:t xml:space="preserve">Newman DK, Beveridge TJ, Morel FMM. Precipitation of arsenic trisulfide</w:t>
      </w:r>
      <w:r>
        <w:t xml:space="preserve"> </w:t>
      </w:r>
      <w:r>
        <w:t xml:space="preserve">by</w:t>
      </w:r>
      <w:r>
        <w:t xml:space="preserve"> </w:t>
      </w:r>
      <w:r>
        <w:rPr>
          <w:i/>
          <w:iCs/>
        </w:rPr>
        <w:t xml:space="preserve">Desulfotomaculum auripigmentum.</w:t>
      </w:r>
      <w:r>
        <w:t xml:space="preserve"> </w:t>
      </w:r>
      <w:r>
        <w:rPr>
          <w:i/>
          <w:iCs/>
        </w:rPr>
        <w:t xml:space="preserve">Appl Environ Microbiol.</w:t>
      </w:r>
      <w:r>
        <w:t xml:space="preserve"> </w:t>
      </w:r>
      <w:r>
        <w:t xml:space="preserve">1997;63(5):2022-2028. DOI: 10.1128/aem.63.5.2022-2028.1997</w:t>
      </w:r>
    </w:p>
    <w:p>
      <w:pPr>
        <w:numPr>
          <w:ilvl w:val="0"/>
          <w:numId w:val="1004"/>
        </w:numPr>
      </w:pPr>
      <w:r>
        <w:t xml:space="preserve">Rodriguez-Freire L, Sierra-Alvarez R, Root R, Chorover J, Field JA.</w:t>
      </w:r>
      <w:r>
        <w:t xml:space="preserve"> </w:t>
      </w:r>
      <w:r>
        <w:t xml:space="preserve">Biomineralization of arsenate to arsenic sulfides is greatly enhanced</w:t>
      </w:r>
      <w:r>
        <w:t xml:space="preserve"> </w:t>
      </w:r>
      <w:r>
        <w:t xml:space="preserve">at mildly acidic conditions.</w:t>
      </w:r>
      <w:r>
        <w:t xml:space="preserve"> </w:t>
      </w:r>
      <w:r>
        <w:rPr>
          <w:i/>
          <w:iCs/>
        </w:rPr>
        <w:t xml:space="preserve">Environ Sci Technol.</w:t>
      </w:r>
      <w:r>
        <w:t xml:space="preserve"> </w:t>
      </w:r>
      <w:r>
        <w:t xml:space="preserve">2014;48(7):4107-4115.</w:t>
      </w:r>
      <w:r>
        <w:t xml:space="preserve"> </w:t>
      </w:r>
      <w:r>
        <w:t xml:space="preserve">DOI: 10.1021/es405493b</w:t>
      </w:r>
    </w:p>
    <w:p>
      <w:pPr>
        <w:numPr>
          <w:ilvl w:val="0"/>
          <w:numId w:val="1004"/>
        </w:numPr>
      </w:pPr>
      <w:r>
        <w:t xml:space="preserve">Sánchez-España J, López Pamo E, Santofimia Pastor E, Diez Ercilla M.</w:t>
      </w:r>
      <w:r>
        <w:t xml:space="preserve"> </w:t>
      </w:r>
      <w:r>
        <w:t xml:space="preserve">The acidic mine pit lakes of the Iberian Pyrite Belt: an approach to</w:t>
      </w:r>
      <w:r>
        <w:t xml:space="preserve"> </w:t>
      </w:r>
      <w:r>
        <w:t xml:space="preserve">their physical limnology and hydrogeochemistry.</w:t>
      </w:r>
      <w:r>
        <w:t xml:space="preserve"> </w:t>
      </w:r>
      <w:r>
        <w:rPr>
          <w:i/>
          <w:iCs/>
        </w:rPr>
        <w:t xml:space="preserve">Appl Geochem.</w:t>
      </w:r>
      <w:r>
        <w:t xml:space="preserve"> </w:t>
      </w:r>
      <w:r>
        <w:t xml:space="preserve">2008;23(5):1260-1287. DOI: 10.1016/j.apgeochem.2007.12.036</w:t>
      </w:r>
    </w:p>
    <w:p>
      <w:pPr>
        <w:numPr>
          <w:ilvl w:val="0"/>
          <w:numId w:val="1004"/>
        </w:numPr>
      </w:pPr>
      <w:r>
        <w:t xml:space="preserve">Rosen BP. Biochemistry of arsenic detoxification.</w:t>
      </w:r>
      <w:r>
        <w:t xml:space="preserve"> </w:t>
      </w:r>
      <w:r>
        <w:rPr>
          <w:i/>
          <w:iCs/>
        </w:rPr>
        <w:t xml:space="preserve">FEBS Lett.</w:t>
      </w:r>
      <w:r>
        <w:t xml:space="preserve"> </w:t>
      </w:r>
      <w:r>
        <w:t xml:space="preserve">2002;529(1):86-92. DOI: 10.1016/S0014-5793(02)03186-1</w:t>
      </w:r>
    </w:p>
    <w:p>
      <w:pPr>
        <w:numPr>
          <w:ilvl w:val="0"/>
          <w:numId w:val="1004"/>
        </w:numPr>
      </w:pPr>
      <w:r>
        <w:t xml:space="preserve">Chong J, Liu P, Zhou G, Xia J. Using MicrobiomeAnalyst for comprehensive</w:t>
      </w:r>
      <w:r>
        <w:t xml:space="preserve"> </w:t>
      </w:r>
      <w:r>
        <w:t xml:space="preserve">statistical, functional, and meta-analysis of microbiome data.</w:t>
      </w:r>
      <w:r>
        <w:t xml:space="preserve"> </w:t>
      </w:r>
      <w:r>
        <w:rPr>
          <w:i/>
          <w:iCs/>
        </w:rPr>
        <w:t xml:space="preserve">Nat Protoc.</w:t>
      </w:r>
      <w:r>
        <w:t xml:space="preserve"> </w:t>
      </w:r>
      <w:r>
        <w:t xml:space="preserve">2020;15:799-821. DOI: 10.1038/s41596-019-0264-1</w:t>
      </w:r>
    </w:p>
    <w:p>
      <w:pPr>
        <w:numPr>
          <w:ilvl w:val="0"/>
          <w:numId w:val="1004"/>
        </w:numPr>
      </w:pPr>
      <w:r>
        <w:t xml:space="preserve">Dai Z, Guo X, Yin H, Liang Y, Cong J, Liu X. Identification of nitrogen</w:t>
      </w:r>
      <w:r>
        <w:t xml:space="preserve"> </w:t>
      </w:r>
      <w:r>
        <w:t xml:space="preserve">fixation genes in</w:t>
      </w:r>
      <w:r>
        <w:t xml:space="preserve"> </w:t>
      </w:r>
      <w:r>
        <w:rPr>
          <w:i/>
          <w:iCs/>
        </w:rPr>
        <w:t xml:space="preserve">Lactococcus</w:t>
      </w:r>
      <w:r>
        <w:t xml:space="preserve"> </w:t>
      </w:r>
      <w:r>
        <w:t xml:space="preserve">isolated from acid mine drainage:</w:t>
      </w:r>
      <w:r>
        <w:t xml:space="preserve"> </w:t>
      </w:r>
      <w:r>
        <w:t xml:space="preserve">insight into nitrogen cycling.</w:t>
      </w:r>
      <w:r>
        <w:t xml:space="preserve"> </w:t>
      </w:r>
      <w:r>
        <w:rPr>
          <w:i/>
          <w:iCs/>
        </w:rPr>
        <w:t xml:space="preserve">PLoS One.</w:t>
      </w:r>
      <w:r>
        <w:t xml:space="preserve"> </w:t>
      </w:r>
      <w:r>
        <w:t xml:space="preserve">2014;9(2):e87976.</w:t>
      </w:r>
      <w:r>
        <w:t xml:space="preserve"> </w:t>
      </w:r>
      <w:r>
        <w:t xml:space="preserve">DOI: 10.1371/journal.pone.0091812</w:t>
      </w:r>
    </w:p>
    <w:p>
      <w:pPr>
        <w:numPr>
          <w:ilvl w:val="0"/>
          <w:numId w:val="1004"/>
        </w:numPr>
      </w:pPr>
      <w:r>
        <w:t xml:space="preserve">Méndez-García C, Peláez AI, Mesa V, Sánchez J, Golyshina OV, Ferrer M.</w:t>
      </w:r>
      <w:r>
        <w:t xml:space="preserve"> </w:t>
      </w:r>
      <w:r>
        <w:t xml:space="preserve">Microbial diversity and metabolic networks in acid mine drainage</w:t>
      </w:r>
      <w:r>
        <w:t xml:space="preserve"> </w:t>
      </w:r>
      <w:r>
        <w:t xml:space="preserve">habitats.</w:t>
      </w:r>
      <w:r>
        <w:t xml:space="preserve"> </w:t>
      </w:r>
      <w:r>
        <w:rPr>
          <w:i/>
          <w:iCs/>
        </w:rPr>
        <w:t xml:space="preserve">Front Microbiol.</w:t>
      </w:r>
      <w:r>
        <w:t xml:space="preserve"> </w:t>
      </w:r>
      <w:r>
        <w:t xml:space="preserve">2015;6:475.</w:t>
      </w:r>
      <w:r>
        <w:t xml:space="preserve"> </w:t>
      </w:r>
      <w:r>
        <w:t xml:space="preserve">DOI: 10.3389/fmicb.2015.00475</w:t>
      </w:r>
    </w:p>
    <w:p>
      <w:pPr>
        <w:numPr>
          <w:ilvl w:val="0"/>
          <w:numId w:val="1004"/>
        </w:numPr>
      </w:pPr>
      <w:r>
        <w:t xml:space="preserve">Aitchison J.</w:t>
      </w:r>
      <w:r>
        <w:t xml:space="preserve"> </w:t>
      </w:r>
      <w:r>
        <w:rPr>
          <w:i/>
          <w:iCs/>
        </w:rPr>
        <w:t xml:space="preserve">The Statistical Analysis of Compositional Data.</w:t>
      </w:r>
      <w:r>
        <w:t xml:space="preserve"> </w:t>
      </w:r>
      <w:r>
        <w:t xml:space="preserve">London:</w:t>
      </w:r>
      <w:r>
        <w:t xml:space="preserve"> </w:t>
      </w:r>
      <w:r>
        <w:t xml:space="preserve">Chapman &amp; Hall; 1986.</w:t>
      </w:r>
    </w:p>
    <w:p>
      <w:pPr>
        <w:numPr>
          <w:ilvl w:val="0"/>
          <w:numId w:val="1004"/>
        </w:numPr>
      </w:pPr>
      <w:r>
        <w:t xml:space="preserve">Stolz JF, Basu P, Santini JM, Oremland RS. Arsenic and selenium in</w:t>
      </w:r>
      <w:r>
        <w:t xml:space="preserve"> </w:t>
      </w:r>
      <w:r>
        <w:t xml:space="preserve">microbial metabolism.</w:t>
      </w:r>
      <w:r>
        <w:t xml:space="preserve"> </w:t>
      </w:r>
      <w:r>
        <w:rPr>
          <w:i/>
          <w:iCs/>
        </w:rPr>
        <w:t xml:space="preserve">Annu Rev Microbiol.</w:t>
      </w:r>
      <w:r>
        <w:t xml:space="preserve"> </w:t>
      </w:r>
      <w:r>
        <w:t xml:space="preserve">2006;60:107-130.</w:t>
      </w:r>
      <w:r>
        <w:t xml:space="preserve"> </w:t>
      </w:r>
      <w:r>
        <w:t xml:space="preserve">DOI: 10.1146/annurev.micro.60.080805.142053</w:t>
      </w:r>
    </w:p>
    <w:p>
      <w:pPr>
        <w:numPr>
          <w:ilvl w:val="0"/>
          <w:numId w:val="1004"/>
        </w:numPr>
      </w:pPr>
      <w:r>
        <w:t xml:space="preserve">Mukhopadhyay R, Rosen BP, Phung LT, Silver S. Microbial arsenic: from</w:t>
      </w:r>
      <w:r>
        <w:t xml:space="preserve"> </w:t>
      </w:r>
      <w:r>
        <w:t xml:space="preserve">geocycles to genes and enzymes.</w:t>
      </w:r>
      <w:r>
        <w:t xml:space="preserve"> </w:t>
      </w:r>
      <w:r>
        <w:rPr>
          <w:i/>
          <w:iCs/>
        </w:rPr>
        <w:t xml:space="preserve">FEMS Microbiol Rev.</w:t>
      </w:r>
      <w:r>
        <w:t xml:space="preserve"> </w:t>
      </w:r>
      <w:r>
        <w:t xml:space="preserve">2002;26(3):311-325.</w:t>
      </w:r>
      <w:r>
        <w:t xml:space="preserve"> </w:t>
      </w:r>
      <w:r>
        <w:t xml:space="preserve">DOI: 10.1111/j.1574-6976.2002.tb00622.x</w:t>
      </w:r>
    </w:p>
    <w:p>
      <w:pPr>
        <w:numPr>
          <w:ilvl w:val="0"/>
          <w:numId w:val="1004"/>
        </w:numPr>
      </w:pPr>
      <w:r>
        <w:t xml:space="preserve">Sánchez-Andrea I, Sanz JL, Bijmans MFM, Stams AJM. Sulfate reduction</w:t>
      </w:r>
      <w:r>
        <w:t xml:space="preserve"> </w:t>
      </w:r>
      <w:r>
        <w:t xml:space="preserve">at low pH to remediate acid mine drainage.</w:t>
      </w:r>
      <w:r>
        <w:t xml:space="preserve"> </w:t>
      </w:r>
      <w:r>
        <w:rPr>
          <w:i/>
          <w:iCs/>
        </w:rPr>
        <w:t xml:space="preserve">J Hazard Mater.</w:t>
      </w:r>
      <w:r>
        <w:t xml:space="preserve"> </w:t>
      </w:r>
      <w:r>
        <w:t xml:space="preserve">2014;269:98-109. DOI: 10.1016/j.jhazmat.2013.12.032</w:t>
      </w:r>
    </w:p>
    <w:p>
      <w:pPr>
        <w:numPr>
          <w:ilvl w:val="0"/>
          <w:numId w:val="1004"/>
        </w:numPr>
      </w:pPr>
      <w:r>
        <w:t xml:space="preserve">Bigham JM, Nordstrom DK. Iron and aluminum hydroxysulfates from acid</w:t>
      </w:r>
      <w:r>
        <w:t xml:space="preserve"> </w:t>
      </w:r>
      <w:r>
        <w:t xml:space="preserve">sulfate waters.</w:t>
      </w:r>
      <w:r>
        <w:t xml:space="preserve"> </w:t>
      </w:r>
      <w:r>
        <w:rPr>
          <w:i/>
          <w:iCs/>
        </w:rPr>
        <w:t xml:space="preserve">Rev Mineral Geochem.</w:t>
      </w:r>
      <w:r>
        <w:t xml:space="preserve"> </w:t>
      </w:r>
      <w:r>
        <w:t xml:space="preserve">2000;40:351-403.</w:t>
      </w:r>
      <w:r>
        <w:t xml:space="preserve"> </w:t>
      </w:r>
      <w:r>
        <w:t xml:space="preserve">DOI: 10.2138/rmg.2000.40.7</w:t>
      </w:r>
    </w:p>
    <w:p>
      <w:pPr>
        <w:numPr>
          <w:ilvl w:val="0"/>
          <w:numId w:val="1004"/>
        </w:numPr>
      </w:pPr>
      <w:r>
        <w:t xml:space="preserve">Bond PL, Druschel GK, Banfield JF. Comparison of acid mine drainage</w:t>
      </w:r>
      <w:r>
        <w:t xml:space="preserve"> </w:t>
      </w:r>
      <w:r>
        <w:t xml:space="preserve">microbial communities.</w:t>
      </w:r>
      <w:r>
        <w:t xml:space="preserve"> </w:t>
      </w:r>
      <w:r>
        <w:rPr>
          <w:i/>
          <w:iCs/>
        </w:rPr>
        <w:t xml:space="preserve">Appl Environ Microbiol.</w:t>
      </w:r>
      <w:r>
        <w:t xml:space="preserve"> </w:t>
      </w:r>
      <w:r>
        <w:t xml:space="preserve">2000;66(11):4962-4971.</w:t>
      </w:r>
      <w:r>
        <w:t xml:space="preserve"> </w:t>
      </w:r>
      <w:r>
        <w:t xml:space="preserve">DOI: 10.1128/AEM.66.11.4962-4971.2000</w:t>
      </w:r>
    </w:p>
    <w:p>
      <w:pPr>
        <w:numPr>
          <w:ilvl w:val="0"/>
          <w:numId w:val="1004"/>
        </w:numPr>
      </w:pPr>
      <w:r>
        <w:t xml:space="preserve">Falagán C, Sánchez-España J, Johnson DB. New insights into the</w:t>
      </w:r>
      <w:r>
        <w:t xml:space="preserve"> </w:t>
      </w:r>
      <w:r>
        <w:t xml:space="preserve">biogeochemistry of extremely acidic environments revealed by a combined</w:t>
      </w:r>
      <w:r>
        <w:t xml:space="preserve"> </w:t>
      </w:r>
      <w:r>
        <w:t xml:space="preserve">cultivation-based and culture-independent study of two stratified pit</w:t>
      </w:r>
      <w:r>
        <w:t xml:space="preserve"> </w:t>
      </w:r>
      <w:r>
        <w:t xml:space="preserve">lakes.</w:t>
      </w:r>
      <w:r>
        <w:t xml:space="preserve"> </w:t>
      </w:r>
      <w:r>
        <w:rPr>
          <w:i/>
          <w:iCs/>
        </w:rPr>
        <w:t xml:space="preserve">FEMS Microbiol Ecol.</w:t>
      </w:r>
      <w:r>
        <w:t xml:space="preserve"> </w:t>
      </w:r>
      <w:r>
        <w:t xml:space="preserve">2014;87(1):231-243.</w:t>
      </w:r>
      <w:r>
        <w:t xml:space="preserve"> </w:t>
      </w:r>
      <w:r>
        <w:t xml:space="preserve">DOI: 10.1111/1574-6941.12218</w:t>
      </w:r>
    </w:p>
    <w:p>
      <w:pPr>
        <w:numPr>
          <w:ilvl w:val="0"/>
          <w:numId w:val="1004"/>
        </w:numPr>
      </w:pPr>
      <w:r>
        <w:t xml:space="preserve">Yin XX, Chen J, Qin J, Sun GX, Rosen BP, Zhu YG. Biotransformation and</w:t>
      </w:r>
      <w:r>
        <w:t xml:space="preserve"> </w:t>
      </w:r>
      <w:r>
        <w:t xml:space="preserve">volatilization of arsenic by three photosynthetic cyanobacteria.</w:t>
      </w:r>
      <w:r>
        <w:t xml:space="preserve"> </w:t>
      </w:r>
      <w:r>
        <w:rPr>
          <w:i/>
          <w:iCs/>
        </w:rPr>
        <w:t xml:space="preserve">Plant Physiol.</w:t>
      </w:r>
      <w:r>
        <w:t xml:space="preserve"> </w:t>
      </w:r>
      <w:r>
        <w:t xml:space="preserve">2011;156(3):1631-1638. DOI: 10.1104/pp.111.178947</w:t>
      </w:r>
    </w:p>
    <w:p>
      <w:pPr>
        <w:numPr>
          <w:ilvl w:val="0"/>
          <w:numId w:val="1004"/>
        </w:numPr>
      </w:pPr>
      <w:r>
        <w:t xml:space="preserve">Tan GL, Shu WS, Zhou WH, Li XL, Lan CY, Huang LN. Seasonal and spatial</w:t>
      </w:r>
      <w:r>
        <w:t xml:space="preserve"> </w:t>
      </w:r>
      <w:r>
        <w:t xml:space="preserve">variations in microbial community structure and diversity in the acid</w:t>
      </w:r>
      <w:r>
        <w:t xml:space="preserve"> </w:t>
      </w:r>
      <w:r>
        <w:t xml:space="preserve">stream draining across an ongoing surface mining site.</w:t>
      </w:r>
      <w:r>
        <w:t xml:space="preserve"> </w:t>
      </w:r>
      <w:r>
        <w:rPr>
          <w:i/>
          <w:iCs/>
        </w:rPr>
        <w:t xml:space="preserve">FEMS Microbiol</w:t>
      </w:r>
      <w:r>
        <w:rPr>
          <w:i/>
          <w:iCs/>
        </w:rPr>
        <w:t xml:space="preserve"> </w:t>
      </w:r>
      <w:r>
        <w:rPr>
          <w:i/>
          <w:iCs/>
        </w:rPr>
        <w:t xml:space="preserve">Ecol.</w:t>
      </w:r>
      <w:r>
        <w:t xml:space="preserve"> </w:t>
      </w:r>
      <w:r>
        <w:t xml:space="preserve">2009;70(2):277-285. DOI: 10.1111/j.1574-6941.2009.00744.x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Reference housekeeping notes (post-cleanup 2026-05-15)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4 duplicate entries removed (Rhomberg / Belton / Hill / Saltelli) — original numbering 10/37/46/48 consolidated into canonical 3/8/9/11 prior to renumbering</w:t>
      </w:r>
    </w:p>
    <w:p>
      <w:pPr>
        <w:pStyle w:val="Compact"/>
        <w:numPr>
          <w:ilvl w:val="0"/>
          <w:numId w:val="1005"/>
        </w:numPr>
      </w:pPr>
      <w:r>
        <w:t xml:space="preserve">All 44 entries are now contiguously numbered; in-text citations [1]-[44] all resolve</w:t>
      </w:r>
    </w:p>
    <w:p>
      <w:pPr>
        <w:pStyle w:val="Compact"/>
        <w:numPr>
          <w:ilvl w:val="0"/>
          <w:numId w:val="1005"/>
        </w:numPr>
      </w:pPr>
      <w:r>
        <w:t xml:space="preserve">4 calibration dataset citations (Wei 2024 / Liu 2023 / Grettenberger 2021 / Ayala 2020) verified against YAML headers + journal DOIs</w:t>
      </w:r>
    </w:p>
    <w:p>
      <w:pPr>
        <w:pStyle w:val="Compact"/>
        <w:numPr>
          <w:ilvl w:val="0"/>
          <w:numId w:val="1005"/>
        </w:numPr>
      </w:pPr>
      <w:r>
        <w:t xml:space="preserve">Wei 2024 + Liu 2023 author lists may be truncated; verify against actual publications during copyedit</w:t>
      </w:r>
    </w:p>
    <w:bookmarkEnd w:id="82"/>
    <w:bookmarkStart w:id="115" w:name="figure-legends"/>
    <w:p>
      <w:pPr>
        <w:pStyle w:val="Heading2"/>
      </w:pPr>
      <w:r>
        <w:t xml:space="preserve">8. Figure Legends</w:t>
      </w:r>
    </w:p>
    <w:p>
      <w:pPr>
        <w:pStyle w:val="BlockText"/>
      </w:pPr>
      <w:r>
        <w:t xml:space="preserve">All figures and their final/placeholder asset paths are catalogued in</w:t>
      </w:r>
      <w:r>
        <w:t xml:space="preserve"> </w:t>
      </w:r>
      <w:hyperlink r:id="rId83">
        <w:r>
          <w:rPr>
            <w:rStyle w:val="VerbatimChar"/>
          </w:rPr>
          <w:t xml:space="preserve">paper/figures/bioRxiv_v0.10/figures_mapping.md</w:t>
        </w:r>
      </w:hyperlink>
      <w:r>
        <w:t xml:space="preserve">.</w:t>
      </w:r>
      <w:r>
        <w:t xml:space="preserve"> </w:t>
      </w:r>
      <w:r>
        <w:t xml:space="preserve">Placeholders generated by</w:t>
      </w:r>
      <w:r>
        <w:t xml:space="preserve"> </w:t>
      </w:r>
      <w:hyperlink r:id="rId84">
        <w:r>
          <w:rPr>
            <w:rStyle w:val="VerbatimChar"/>
          </w:rPr>
          <w:t xml:space="preserve">paper/figures/bioRxiv_v0.10/generate_placeholders.py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3449850"/>
            <wp:effectExtent b="0" l="0" r="0" t="0"/>
            <wp:docPr descr="Figure 1" title="" id="86" name="Picture"/>
            <a:graphic>
              <a:graphicData uri="http://schemas.openxmlformats.org/drawingml/2006/picture">
                <pic:pic>
                  <pic:nvPicPr>
                    <pic:cNvPr descr="../figures/bioRxiv_v0.10/F1_architecture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9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p>
      <w:pPr>
        <w:pStyle w:val="BodyText"/>
      </w:pPr>
      <w:r>
        <w:rPr>
          <w:b/>
          <w:bCs/>
        </w:rPr>
        <w:t xml:space="preserve">Figure 1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EnvMeta Five-Tier Framework Architecture.</w:t>
      </w:r>
      <w:r>
        <w:t xml:space="preserve"> </w:t>
      </w:r>
      <w:r>
        <w:t xml:space="preserve">L1 general inference</w:t>
      </w:r>
      <w:r>
        <w:t xml:space="preserve"> </w:t>
      </w:r>
      <w:r>
        <w:t xml:space="preserve">engine (S1 CLR debias + S2 999-permutation null + S3 MCDA + Bradford-Hill veto</w:t>
      </w:r>
      <w:r>
        <w:t xml:space="preserve"> </w:t>
      </w:r>
      <w:r>
        <w:t xml:space="preserve">+ Saltelli ±20% sensitivity); L2 six-claim YAML hypothesis schema; L3 plugin</w:t>
      </w:r>
      <w:r>
        <w:t xml:space="preserve"> </w:t>
      </w:r>
      <w:r>
        <w:t xml:space="preserve">framework (post-acceptance delivery); L4 Fork Bundle distribution; L5</w:t>
      </w:r>
      <w:r>
        <w:t xml:space="preserve"> </w:t>
      </w:r>
      <w:r>
        <w:t xml:space="preserve">KEGG-driven biogeochemical-cycle knowledge base (KB v2.0: 4 elements × 18</w:t>
      </w:r>
      <w:r>
        <w:t xml:space="preserve"> </w:t>
      </w:r>
      <w:r>
        <w:t xml:space="preserve">pathways × 57 KO targets). Streamlit GUI orchestration layer at top wraps the</w:t>
      </w:r>
      <w:r>
        <w:t xml:space="preserve"> </w:t>
      </w:r>
      <w:r>
        <w:t xml:space="preserve">five tiers with a four-stage workflow (upload → recognize → analyze → export).</w:t>
      </w:r>
      <w:r>
        <w:t xml:space="preserve"> </w:t>
      </w:r>
      <w:r>
        <w:t xml:space="preserve">[Placeholder — visual finalization pending for GPB submission.]</w:t>
      </w:r>
    </w:p>
    <w:p>
      <w:pPr>
        <w:pStyle w:val="CaptionedFigure"/>
      </w:pPr>
      <w:r>
        <w:drawing>
          <wp:inline>
            <wp:extent cx="5334000" cy="3543821"/>
            <wp:effectExtent b="0" l="0" r="0" t="0"/>
            <wp:docPr descr="Figure 2" title="" id="89" name="Picture"/>
            <a:graphic>
              <a:graphicData uri="http://schemas.openxmlformats.org/drawingml/2006/picture">
                <pic:pic>
                  <pic:nvPicPr>
                    <pic:cNvPr descr="../figures/mockups/03_hierarchy_demo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3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</w:t>
      </w:r>
    </w:p>
    <w:p>
      <w:pPr>
        <w:pStyle w:val="BodyText"/>
      </w:pPr>
      <w:r>
        <w:rPr>
          <w:b/>
          <w:bCs/>
        </w:rPr>
        <w:t xml:space="preserve">Figure 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Fourteen publication-quality figures with GUI parameter tuning</w:t>
      </w:r>
      <w:r>
        <w:rPr>
          <w:i/>
          <w:iCs/>
        </w:rPr>
        <w:t xml:space="preserve"> </w:t>
      </w:r>
      <w:r>
        <w:rPr>
          <w:i/>
          <w:iCs/>
        </w:rPr>
        <w:t xml:space="preserve">+ synchronous .py script generation.</w:t>
      </w:r>
      <w:r>
        <w:t xml:space="preserve"> </w:t>
      </w:r>
      <w:r>
        <w:t xml:space="preserve">Hierarchy panel showing reads-based</w:t>
      </w:r>
      <w:r>
        <w:t xml:space="preserve"> </w:t>
      </w:r>
      <w:r>
        <w:t xml:space="preserve">(7 figures: taxonomy stackplot / α-diversity / β-PCoA / RDA / LEfSe / KEGG-KO</w:t>
      </w:r>
      <w:r>
        <w:t xml:space="preserve"> </w:t>
      </w:r>
      <w:r>
        <w:t xml:space="preserve">heatmap / log2FC) and MAG-based (7 figures: quality / abundance heatmap /</w:t>
      </w:r>
      <w:r>
        <w:t xml:space="preserve"> </w:t>
      </w:r>
      <w:r>
        <w:t xml:space="preserve">pathway / gene profile / network / cycle / hypothesis scoring) categories.</w:t>
      </w:r>
      <w:r>
        <w:t xml:space="preserve"> </w:t>
      </w:r>
      <w:r>
        <w:t xml:space="preserve">GUI parameter panels (right) expose 3-7 knobs per figure; parameter changes</w:t>
      </w:r>
      <w:r>
        <w:t xml:space="preserve"> </w:t>
      </w:r>
      <w:r>
        <w:t xml:space="preserve">trigger real-time preview. Synchronous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script generation accompanies</w:t>
      </w:r>
      <w:r>
        <w:t xml:space="preserve"> </w:t>
      </w:r>
      <w:r>
        <w:t xml:space="preserve">each rendered figure for reproducibility.</w:t>
      </w:r>
    </w:p>
    <w:p>
      <w:pPr>
        <w:pStyle w:val="CaptionedFigure"/>
      </w:pPr>
      <w:r>
        <w:drawing>
          <wp:inline>
            <wp:extent cx="5334000" cy="3429117"/>
            <wp:effectExtent b="0" l="0" r="0" t="0"/>
            <wp:docPr descr="Figure 3" title="" id="92" name="Picture"/>
            <a:graphic>
              <a:graphicData uri="http://schemas.openxmlformats.org/drawingml/2006/picture">
                <pic:pic>
                  <pic:nvPicPr>
                    <pic:cNvPr descr="../figures/mockups/10_cascade_with_coupling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</w:t>
      </w:r>
    </w:p>
    <w:p>
      <w:pPr>
        <w:pStyle w:val="BodyText"/>
      </w:pPr>
      <w:r>
        <w:rPr>
          <w:b/>
          <w:bCs/>
        </w:rPr>
        <w:t xml:space="preserve">Figure 3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Biogeochemical-cycle inference algorithm.</w:t>
      </w:r>
      <w:r>
        <w:t xml:space="preserve"> </w:t>
      </w:r>
      <w:r>
        <w:t xml:space="preserve">Mockup 10</w:t>
      </w:r>
      <w:r>
        <w:t xml:space="preserve"> </w:t>
      </w:r>
      <w:r>
        <w:t xml:space="preserve">merged-cell layout: each cell renders a</w:t>
      </w:r>
      <w:r>
        <w:t xml:space="preserve"> </w:t>
      </w:r>
      <w:r>
        <w:rPr>
          <w:rStyle w:val="VerbatimChar"/>
        </w:rPr>
        <w:t xml:space="preserve">substrate → gene → product</w:t>
      </w:r>
      <w:r>
        <w:t xml:space="preserve"> </w:t>
      </w:r>
      <w:r>
        <w:t xml:space="preserve">triplet,</w:t>
      </w:r>
      <w:r>
        <w:t xml:space="preserve"> </w:t>
      </w:r>
      <w:r>
        <w:t xml:space="preserve">with cell color encoding pathway type (oxidation / reduction / methylation /</w:t>
      </w:r>
      <w:r>
        <w:t xml:space="preserve"> </w:t>
      </w:r>
      <w:r>
        <w:t xml:space="preserve">regulation) and cell size encoding aggregate MAG contribution. Cross-element</w:t>
      </w:r>
      <w:r>
        <w:t xml:space="preserve"> </w:t>
      </w:r>
      <w:r>
        <w:t xml:space="preserve">coupling dashed connectors with chemical-species labels (e.g., As(III) ↔ S²⁻</w:t>
      </w:r>
      <w:r>
        <w:t xml:space="preserve"> </w:t>
      </w:r>
      <w:r>
        <w:t xml:space="preserve">→ As₂S₃) anchored to specific contributing pathways. Algorithm: S1 CLR debias</w:t>
      </w:r>
      <w:r>
        <w:t xml:space="preserve"> </w:t>
      </w:r>
      <w:r>
        <w:t xml:space="preserve">+ three-threshold contributor scan → S2 999-permutation Spearman null → S3</w:t>
      </w:r>
      <w:r>
        <w:t xml:space="preserve"> </w:t>
      </w:r>
      <w:r>
        <w:t xml:space="preserve">weighted-sum scoring with Bradford-Hill required-veto. See Methods §4.0</w:t>
      </w:r>
      <w:r>
        <w:t xml:space="preserve"> </w:t>
      </w:r>
      <w:r>
        <w:t xml:space="preserve">Algorithms 1-4 for pseudocode.</w:t>
      </w:r>
    </w:p>
    <w:p>
      <w:pPr>
        <w:pStyle w:val="CaptionedFigure"/>
      </w:pPr>
      <w:r>
        <w:drawing>
          <wp:inline>
            <wp:extent cx="5334000" cy="2343440"/>
            <wp:effectExtent b="0" l="0" r="0" t="0"/>
            <wp:docPr descr="Figure 4" title="" id="95" name="Picture"/>
            <a:graphic>
              <a:graphicData uri="http://schemas.openxmlformats.org/drawingml/2006/picture">
                <pic:pic>
                  <pic:nvPicPr>
                    <pic:cNvPr descr="../figures/paper3_hypothesis_scoring/figure_x_calibration_vs_stres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</w:t>
      </w:r>
    </w:p>
    <w:p>
      <w:pPr>
        <w:pStyle w:val="BodyText"/>
      </w:pPr>
      <w:r>
        <w:rPr>
          <w:b/>
          <w:bCs/>
        </w:rPr>
        <w:t xml:space="preserve">Figure 4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YAML hypothesis scorer + four-arm calibration.</w:t>
      </w:r>
      <w:r>
        <w:t xml:space="preserve"> </w:t>
      </w:r>
      <w:r>
        <w:t xml:space="preserve">Per-claim</w:t>
      </w:r>
      <w:r>
        <w:t xml:space="preserve"> </w:t>
      </w:r>
      <w:r>
        <w:t xml:space="preserve">scores across the four KEGG-curated calibration arms (A in-house arsenic-slag</w:t>
      </w:r>
      <w:r>
        <w:t xml:space="preserve"> </w:t>
      </w:r>
      <w:r>
        <w:t xml:space="preserve">positive control / C1 Liu 2023 cold seep / C2-A Grettenberger 2021 AMD stream</w:t>
      </w:r>
      <w:r>
        <w:t xml:space="preserve"> </w:t>
      </w:r>
      <w:r>
        <w:t xml:space="preserve">/ C2-B Ayala 2020 Iberian Pyrite Belt pit lake) vs the three-arm stress test</w:t>
      </w:r>
      <w:r>
        <w:t xml:space="preserve"> </w:t>
      </w:r>
      <w:r>
        <w:t xml:space="preserve">(Class A reversed direction / Class B cross-topic / Class C</w:t>
      </w:r>
      <w:r>
        <w:t xml:space="preserve"> </w:t>
      </w:r>
      <w:r>
        <w:rPr>
          <w:rStyle w:val="VerbatimChar"/>
        </w:rPr>
        <w:t xml:space="preserve">pathway_inactive</w:t>
      </w:r>
      <w:r>
        <w:t xml:space="preserve">).</w:t>
      </w:r>
      <w:r>
        <w:t xml:space="preserve"> </w:t>
      </w:r>
      <w:r>
        <w:t xml:space="preserve">All four KEGG-curated arms return STRONG (overall score = 1.000) under fixed</w:t>
      </w:r>
      <w:r>
        <w:t xml:space="preserve"> </w:t>
      </w:r>
      <w:r>
        <w:t xml:space="preserve">default thresholds. Cross-topic rejection: Liu 0/20 STRONG retention under</w:t>
      </w:r>
      <w:r>
        <w:t xml:space="preserve"> </w:t>
      </w:r>
      <w:r>
        <w:t xml:space="preserve">cross-element pathway-target perturbation (§2.4.2). v1 vs v2 (</w:t>
      </w:r>
      <w:r>
        <w:rPr>
          <w:rStyle w:val="VerbatimChar"/>
        </w:rPr>
        <w:t xml:space="preserve">dominance_score</w:t>
      </w:r>
      <w:r>
        <w:t xml:space="preserve"> </w:t>
      </w:r>
      <w:r>
        <w:t xml:space="preserve">extension) side-by-side discrimination outcomes shown.</w:t>
      </w:r>
    </w:p>
    <w:p>
      <w:pPr>
        <w:pStyle w:val="CaptionedFigure"/>
      </w:pPr>
      <w:r>
        <w:drawing>
          <wp:inline>
            <wp:extent cx="5334000" cy="3864905"/>
            <wp:effectExtent b="0" l="0" r="0" t="0"/>
            <wp:docPr descr="Figure 5" title="" id="98" name="Picture"/>
            <a:graphic>
              <a:graphicData uri="http://schemas.openxmlformats.org/drawingml/2006/picture">
                <pic:pic>
                  <pic:nvPicPr>
                    <pic:cNvPr descr="../figures/bioRxiv_v0.10/F5_HTML_4panel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4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</w:t>
      </w:r>
    </w:p>
    <w:p>
      <w:pPr>
        <w:pStyle w:val="BodyText"/>
      </w:pPr>
      <w:r>
        <w:rPr>
          <w:b/>
          <w:bCs/>
        </w:rPr>
        <w:t xml:space="preserve">Figure 5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Standalone interactive HTML supplementary material (~400 KB,</w:t>
      </w:r>
      <w:r>
        <w:rPr>
          <w:i/>
          <w:iCs/>
        </w:rPr>
        <w:t xml:space="preserve"> </w:t>
      </w:r>
      <w:r>
        <w:rPr>
          <w:i/>
          <w:iCs/>
        </w:rPr>
        <w:t xml:space="preserve">fully offline).</w:t>
      </w:r>
      <w:r>
        <w:t xml:space="preserve"> </w:t>
      </w:r>
      <w:r>
        <w:t xml:space="preserve">Four-tab UI: (A) biogeochemical cycle with D3 forceSimulation</w:t>
      </w:r>
      <w:r>
        <w:t xml:space="preserve"> </w:t>
      </w:r>
      <w:r>
        <w:t xml:space="preserve">+ draggable nodes + chemistry coupling anchors; (B) hypothesis scoring with</w:t>
      </w:r>
      <w:r>
        <w:t xml:space="preserve"> </w:t>
      </w:r>
      <w:r>
        <w:t xml:space="preserve">sortable claim table + null_p distribution; (C) cross-group comparison with</w:t>
      </w:r>
      <w:r>
        <w:t xml:space="preserve"> </w:t>
      </w:r>
      <w:r>
        <w:t xml:space="preserve">per-group toggle; (D) parameter audit exposing all S1-S3 intermediate</w:t>
      </w:r>
      <w:r>
        <w:t xml:space="preserve"> </w:t>
      </w:r>
      <w:r>
        <w:t xml:space="preserve">quantities. Inline-embedded D3.js v7 (~280 KB); no external dependencies.</w:t>
      </w:r>
      <w:r>
        <w:t xml:space="preserve"> </w:t>
      </w:r>
      <w:r>
        <w:t xml:space="preserve">[Placeholder — real HTML screenshots pending for GPB submission.]</w:t>
      </w:r>
    </w:p>
    <w:p>
      <w:pPr>
        <w:pStyle w:val="CaptionedFigure"/>
      </w:pPr>
      <w:r>
        <w:drawing>
          <wp:inline>
            <wp:extent cx="5334000" cy="2975763"/>
            <wp:effectExtent b="0" l="0" r="0" t="0"/>
            <wp:docPr descr="Figure 6" title="" id="101" name="Picture"/>
            <a:graphic>
              <a:graphicData uri="http://schemas.openxmlformats.org/drawingml/2006/picture">
                <pic:pic>
                  <pic:nvPicPr>
                    <pic:cNvPr descr="../figures/bioRxiv_v0.10/F6_Bundle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</w:t>
      </w:r>
    </w:p>
    <w:p>
      <w:pPr>
        <w:pStyle w:val="BodyText"/>
      </w:pPr>
      <w:r>
        <w:rPr>
          <w:b/>
          <w:bCs/>
        </w:rPr>
        <w:t xml:space="preserve">Figure 6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Fork Bundle reproducibility packaging.</w:t>
      </w:r>
      <w:r>
        <w:t xml:space="preserve"> </w:t>
      </w:r>
      <w:r>
        <w:t xml:space="preserve">Bundle.zip (~5-15 MB)</w:t>
      </w:r>
      <w:r>
        <w:t xml:space="preserve"> </w:t>
      </w:r>
      <w:r>
        <w:t xml:space="preserve">contains: knowledge base (KB v2.0), hypothesis YAML(s), parameter config,</w:t>
      </w:r>
      <w:r>
        <w:t xml:space="preserve"> </w:t>
      </w:r>
      <w:r>
        <w:t xml:space="preserve">KEGG snapshot subset, and sample data. Load Bundle → 5-minute reproduction</w:t>
      </w:r>
      <w:r>
        <w:t xml:space="preserve"> </w:t>
      </w:r>
      <w:r>
        <w:t xml:space="preserve">of all 14 published figures + element-cycle re-inference + hypothesis</w:t>
      </w:r>
      <w:r>
        <w:t xml:space="preserve"> </w:t>
      </w:r>
      <w:r>
        <w:t xml:space="preserve">re-scoring + interactive HTML SI emission. Distribution model:</w:t>
      </w:r>
      <w:r>
        <w:t xml:space="preserve"> </w:t>
      </w:r>
      <w:r>
        <w:t xml:space="preserve">fork-rather-than-community (zero centralized maintenance overhead + 100%</w:t>
      </w:r>
      <w:r>
        <w:t xml:space="preserve"> </w:t>
      </w:r>
      <w:r>
        <w:t xml:space="preserve">publication-bound reproducibility). [Placeholder — visual finalization pending</w:t>
      </w:r>
      <w:r>
        <w:t xml:space="preserve"> </w:t>
      </w:r>
      <w:r>
        <w:t xml:space="preserve">for GPB submission.]</w:t>
      </w:r>
    </w:p>
    <w:p>
      <w:pPr>
        <w:pStyle w:val="CaptionedFigure"/>
      </w:pPr>
      <w:r>
        <w:drawing>
          <wp:inline>
            <wp:extent cx="5334000" cy="3788317"/>
            <wp:effectExtent b="0" l="0" r="0" t="0"/>
            <wp:docPr descr="Figure 7" title="" id="104" name="Picture"/>
            <a:graphic>
              <a:graphicData uri="http://schemas.openxmlformats.org/drawingml/2006/picture">
                <pic:pic>
                  <pic:nvPicPr>
                    <pic:cNvPr descr="../benchmarks/external/liu_2023_coldseep/envmeta_outputs/fig1_cycle_diagram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8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</w:t>
      </w:r>
    </w:p>
    <w:p>
      <w:pPr>
        <w:pStyle w:val="BodyText"/>
      </w:pPr>
      <w:r>
        <w:rPr>
          <w:b/>
          <w:bCs/>
        </w:rPr>
        <w:t xml:space="preserve">Figure 7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Case study: framework-assisted mechanism discovery on Liu</w:t>
      </w:r>
      <w:r>
        <w:rPr>
          <w:i/>
          <w:iCs/>
        </w:rPr>
        <w:t xml:space="preserve"> </w:t>
      </w:r>
      <w:r>
        <w:rPr>
          <w:i/>
          <w:iCs/>
        </w:rPr>
        <w:t xml:space="preserve">2023 cold-seep dataset (proxy for in-house arsenic-slag system in §2.7).</w:t>
      </w:r>
      <w:r>
        <w:t xml:space="preserve"> </w:t>
      </w:r>
      <w:r>
        <w:t xml:space="preserve">Element cycle diagram showing As / N / S / Fe quadrants with Mockup 10 cell</w:t>
      </w:r>
      <w:r>
        <w:t xml:space="preserve"> </w:t>
      </w:r>
      <w:r>
        <w:t xml:space="preserve">layout, cross-element coupling labels, and confidence-tier color coding.</w:t>
      </w:r>
      <w:r>
        <w:t xml:space="preserve"> </w:t>
      </w:r>
      <w:r>
        <w:t xml:space="preserve">Demonstrates that the framework outputs per-claim diagnostic quantities</w:t>
      </w:r>
      <w:r>
        <w:t xml:space="preserve"> </w:t>
      </w:r>
      <w:r>
        <w:t xml:space="preserve">(not novel mechanism claims) that downstream readers audit independently.</w:t>
      </w:r>
    </w:p>
    <w:p>
      <w:pPr>
        <w:pStyle w:val="CaptionedFigure"/>
      </w:pPr>
      <w:r>
        <w:drawing>
          <wp:inline>
            <wp:extent cx="5334000" cy="1883403"/>
            <wp:effectExtent b="0" l="0" r="0" t="0"/>
            <wp:docPr descr="Figure 8" title="" id="107" name="Picture"/>
            <a:graphic>
              <a:graphicData uri="http://schemas.openxmlformats.org/drawingml/2006/picture">
                <pic:pic>
                  <pic:nvPicPr>
                    <pic:cNvPr descr="../benchmarks/performance/scaling_curve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3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</w:t>
      </w:r>
    </w:p>
    <w:p>
      <w:pPr>
        <w:pStyle w:val="BodyText"/>
      </w:pPr>
      <w:r>
        <w:rPr>
          <w:b/>
          <w:bCs/>
        </w:rPr>
        <w:t xml:space="preserve">Figure 8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Performance and scaling envelope.</w:t>
      </w:r>
      <w:r>
        <w:t xml:space="preserve"> </w:t>
      </w:r>
      <w:r>
        <w:t xml:space="preserve">Three-panel log-log scatter</w:t>
      </w:r>
      <w:r>
        <w:t xml:space="preserve"> </w:t>
      </w:r>
      <w:r>
        <w:t xml:space="preserve">showing cycle_diagram / mag_heatmap / pathway runtime vs N_MAG across three</w:t>
      </w:r>
      <w:r>
        <w:t xml:space="preserve"> </w:t>
      </w:r>
      <w:r>
        <w:t xml:space="preserve">data regimes (sample real-dense / Liu real-sparse / Liu synthetic-dense);</w:t>
      </w:r>
      <w:r>
        <w:t xml:space="preserve"> </w:t>
      </w:r>
      <w:r>
        <w:t xml:space="preserve">58 measured (dataset × figure) combinations. Key finding: cycle_diagram cost</w:t>
      </w:r>
      <w:r>
        <w:t xml:space="preserve"> </w:t>
      </w:r>
      <w:r>
        <w:t xml:space="preserve">is largely N_MAG-independent, dominated instead by env-factor breadth × pathway</w:t>
      </w:r>
      <w:r>
        <w:t xml:space="preserve"> </w:t>
      </w:r>
      <w:r>
        <w:t xml:space="preserve">count × permutation count. Maximum peak ΔRSS = 9.3 MB across all 58 cells;</w:t>
      </w:r>
      <w:r>
        <w:t xml:space="preserve"> </w:t>
      </w:r>
      <w:r>
        <w:t xml:space="preserve">median = 0.5 MB. Standard 8-16 GB laptop, headless matplotlib Agg backend.</w:t>
      </w:r>
    </w:p>
    <w:p>
      <w:pPr>
        <w:pStyle w:val="CaptionedFigure"/>
      </w:pPr>
      <w:r>
        <w:drawing>
          <wp:inline>
            <wp:extent cx="5334000" cy="3180825"/>
            <wp:effectExtent b="0" l="0" r="0" t="0"/>
            <wp:docPr descr="Figure F10" title="" id="110" name="Picture"/>
            <a:graphic>
              <a:graphicData uri="http://schemas.openxmlformats.org/drawingml/2006/picture">
                <pic:pic>
                  <pic:nvPicPr>
                    <pic:cNvPr descr="../figures/bioRxiv_v0.10/F10_vs_tools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0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F10</w:t>
      </w:r>
    </w:p>
    <w:p>
      <w:pPr>
        <w:pStyle w:val="BodyText"/>
      </w:pPr>
      <w:r>
        <w:rPr>
          <w:b/>
          <w:bCs/>
        </w:rPr>
        <w:t xml:space="preserve">Figure F10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Head-to-head tool comparison.</w:t>
      </w:r>
      <w:r>
        <w:t xml:space="preserve"> </w:t>
      </w:r>
      <w:r>
        <w:t xml:space="preserve">Same Liu 2023 cold-seep</w:t>
      </w:r>
      <w:r>
        <w:t xml:space="preserve"> </w:t>
      </w:r>
      <w:r>
        <w:t xml:space="preserve">subset (200 MAG × 30 sample) on identical hardware. Three shared-capability</w:t>
      </w:r>
      <w:r>
        <w:t xml:space="preserve"> </w:t>
      </w:r>
      <w:r>
        <w:t xml:space="preserve">tasks (PCoA / KO heatmap / Hierarchical HTML) × three comparable tools</w:t>
      </w:r>
      <w:r>
        <w:t xml:space="preserve"> </w:t>
      </w:r>
      <w:r>
        <w:t xml:space="preserve">(Krona / MicrobiomeAnalyst / Anvi’o); three EnvMeta-unique tasks (element</w:t>
      </w:r>
      <w:r>
        <w:t xml:space="preserve"> </w:t>
      </w:r>
      <w:r>
        <w:t xml:space="preserve">cycle inference / YAML hypothesis scoring / standalone offline HTML SI) shown</w:t>
      </w:r>
      <w:r>
        <w:t xml:space="preserve"> </w:t>
      </w:r>
      <w:r>
        <w:t xml:space="preserve">in the bottom rows. Anvi’o Liu benchmark not measured due to input-format</w:t>
      </w:r>
      <w:r>
        <w:t xml:space="preserve"> </w:t>
      </w:r>
      <w:r>
        <w:t xml:space="preserve">mismatch (Anvi’o requires contigs.db + profile.db); MicrobiomeAnalyst row</w:t>
      </w:r>
      <w:r>
        <w:t xml:space="preserve"> </w:t>
      </w:r>
      <w:r>
        <w:t xml:space="preserve">pending Web execution. [Placeholder — Task 3b actual measurements pending</w:t>
      </w:r>
      <w:r>
        <w:t xml:space="preserve"> </w:t>
      </w:r>
      <w:r>
        <w:t xml:space="preserve">WSL2 / Web run; visual finalization for GPB submission.]</w:t>
      </w:r>
    </w:p>
    <w:p>
      <w:pPr>
        <w:pStyle w:val="CaptionedFigure"/>
      </w:pPr>
      <w:r>
        <w:drawing>
          <wp:inline>
            <wp:extent cx="5334000" cy="2823882"/>
            <wp:effectExtent b="0" l="0" r="0" t="0"/>
            <wp:docPr descr="Supplementary Figure S_pert" title="" id="113" name="Picture"/>
            <a:graphic>
              <a:graphicData uri="http://schemas.openxmlformats.org/drawingml/2006/picture">
                <pic:pic>
                  <pic:nvPicPr>
                    <pic:cNvPr descr="../benchmarks/external/perturbation/perturbation_curve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S_pert</w:t>
      </w:r>
    </w:p>
    <w:p>
      <w:pPr>
        <w:pStyle w:val="BodyText"/>
      </w:pPr>
      <w:r>
        <w:rPr>
          <w:b/>
          <w:bCs/>
        </w:rPr>
        <w:t xml:space="preserve">Supplementary Figure S_pert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Target-pathway perturbation analysis.</w:t>
      </w:r>
      <w:r>
        <w:t xml:space="preserve"> </w:t>
      </w:r>
      <w:r>
        <w:t xml:space="preserve">Within-element vs cross-element pathway substitution; N = 20 per mode per</w:t>
      </w:r>
      <w:r>
        <w:t xml:space="preserve"> </w:t>
      </w:r>
      <w:r>
        <w:t xml:space="preserve">dataset; mean scores ± Wilson 95% CI. Monotonic annotation-breadth gradient</w:t>
      </w:r>
      <w:r>
        <w:t xml:space="preserve"> </w:t>
      </w:r>
      <w:r>
        <w:t xml:space="preserve">in cross-element STRONG retention: Arm A 100% (partial perturbation, 3 of</w:t>
      </w:r>
      <w:r>
        <w:t xml:space="preserve"> </w:t>
      </w:r>
      <w:r>
        <w:t xml:space="preserve">9 claims) → Grettenberger 30% → Ayala 15% → Liu 0%. Within-element mean</w:t>
      </w:r>
      <w:r>
        <w:t xml:space="preserve"> </w:t>
      </w:r>
      <w:r>
        <w:t xml:space="preserve">score drop 25-48%, 40-50% STRONG retention.</w:t>
      </w:r>
    </w:p>
    <w:p>
      <w:r>
        <w:pict>
          <v:rect style="width:0;height:1.5pt" o:hralign="center" o:hrstd="t" o:hr="t"/>
        </w:pict>
      </w:r>
    </w:p>
    <w:bookmarkEnd w:id="115"/>
    <w:bookmarkStart w:id="116" w:name="tables"/>
    <w:p>
      <w:pPr>
        <w:pStyle w:val="Heading2"/>
      </w:pPr>
      <w:r>
        <w:t xml:space="preserve">9. Tables</w:t>
      </w:r>
    </w:p>
    <w:p>
      <w:pPr>
        <w:pStyle w:val="FirstParagraph"/>
      </w:pPr>
      <w:r>
        <w:rPr>
          <w:b/>
          <w:bCs/>
        </w:rPr>
        <w:t xml:space="preserve">Table 1</w:t>
      </w:r>
      <w:r>
        <w:t xml:space="preserve">: Four-Arm Calibration Summary. Source:</w:t>
      </w:r>
      <w:r>
        <w:t xml:space="preserve"> </w:t>
      </w:r>
      <w:r>
        <w:rPr>
          <w:rStyle w:val="VerbatimChar"/>
        </w:rPr>
        <w:t xml:space="preserve">paper/figures/paper3_hypothesis_scoring/table1_calibration.md</w:t>
      </w:r>
      <w:r>
        <w:t xml:space="preserve">. Columns:</w:t>
      </w:r>
      <w:r>
        <w:t xml:space="preserve"> </w:t>
      </w:r>
      <w:r>
        <w:t xml:space="preserve">Dataset / Annotation pipeline / KO target count / N MAGs / N samples /</w:t>
      </w:r>
      <w:r>
        <w:t xml:space="preserve"> </w:t>
      </w:r>
      <w:r>
        <w:t xml:space="preserve">Per-claim scores / Overall score / Confidence label / Pre-registered commit</w:t>
      </w:r>
      <w:r>
        <w:t xml:space="preserve"> </w:t>
      </w:r>
      <w:r>
        <w:t xml:space="preserve">hash. Rows: Wei 2024 / Liu 2023 / Grettenberger 2021 / Ayala 2020.</w:t>
      </w:r>
    </w:p>
    <w:p>
      <w:pPr>
        <w:pStyle w:val="BodyText"/>
      </w:pPr>
      <w:r>
        <w:rPr>
          <w:b/>
          <w:bCs/>
        </w:rPr>
        <w:t xml:space="preserve">Table 2</w:t>
      </w:r>
      <w:r>
        <w:t xml:space="preserve">: Three-Arm Stress Test Summary. v1 vs v2 (dominance_score</w:t>
      </w:r>
      <w:r>
        <w:t xml:space="preserve"> </w:t>
      </w:r>
      <w:r>
        <w:t xml:space="preserve">extension) side-by-side. Columns: Dataset / Stress class</w:t>
      </w:r>
      <w:r>
        <w:t xml:space="preserve"> </w:t>
      </w:r>
      <w:r>
        <w:t xml:space="preserve">(reversed/cross-topic/inactive) / v1 score / v1 label / v2 score / v2 label</w:t>
      </w:r>
      <w:r>
        <w:t xml:space="preserve"> </w:t>
      </w:r>
      <w:r>
        <w:t xml:space="preserve">/ Discrimination outcome.</w:t>
      </w:r>
    </w:p>
    <w:p>
      <w:pPr>
        <w:pStyle w:val="BodyText"/>
      </w:pPr>
      <w:r>
        <w:rPr>
          <w:b/>
          <w:bCs/>
        </w:rPr>
        <w:t xml:space="preserve">Table T1</w:t>
      </w:r>
      <w:r>
        <w:t xml:space="preserve">: Feature Matrix across 9 tools × 7 capabilities (Results §2.9.1).</w:t>
      </w:r>
    </w:p>
    <w:p>
      <w:pPr>
        <w:pStyle w:val="BodyText"/>
      </w:pPr>
      <w:r>
        <w:rPr>
          <w:b/>
          <w:bCs/>
        </w:rPr>
        <w:t xml:space="preserve">Table T2</w:t>
      </w:r>
      <w:r>
        <w:t xml:space="preserve">: Head-to-Head Performance Benchmark (Results §2.9.2). EnvMeta</w:t>
      </w:r>
      <w:r>
        <w:t xml:space="preserve"> </w:t>
      </w:r>
      <w:r>
        <w:t xml:space="preserve">vs Krona / Anvi’o (input-format mismatch documented) / MicrobiomeAnalyst</w:t>
      </w:r>
      <w:r>
        <w:t xml:space="preserve"> </w:t>
      </w:r>
      <w:r>
        <w:t xml:space="preserve">(pending Web execution).</w:t>
      </w:r>
    </w:p>
    <w:p>
      <w:r>
        <w:pict>
          <v:rect style="width:0;height:1.5pt" o:hralign="center" o:hrstd="t" o:hr="t"/>
        </w:pict>
      </w:r>
    </w:p>
    <w:bookmarkEnd w:id="116"/>
    <w:bookmarkStart w:id="117" w:name="supplementary-information"/>
    <w:p>
      <w:pPr>
        <w:pStyle w:val="Heading2"/>
      </w:pPr>
      <w:r>
        <w:t xml:space="preserve">10. Supplementary Information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Supplementary Figure S_pert</w:t>
      </w:r>
      <w:r>
        <w:t xml:space="preserve">: Perturbation curve. Within-element vs</w:t>
      </w:r>
      <w:r>
        <w:t xml:space="preserve"> </w:t>
      </w:r>
      <w:r>
        <w:t xml:space="preserve">cross-element pathway-target substitution; N=20 per mode per dataset; mean</w:t>
      </w:r>
      <w:r>
        <w:t xml:space="preserve"> </w:t>
      </w:r>
      <w:r>
        <w:t xml:space="preserve">scores ± Wilson 95% CI. Source:</w:t>
      </w:r>
      <w:r>
        <w:t xml:space="preserve"> </w:t>
      </w:r>
      <w:r>
        <w:rPr>
          <w:rStyle w:val="VerbatimChar"/>
        </w:rPr>
        <w:t xml:space="preserve">paper/benchmarks/external/perturbation/perturbation_curve.{pdf,png,svg}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Supplementary Table S_refs</w:t>
      </w:r>
      <w:r>
        <w:t xml:space="preserve">: Reference audit of pre-registered YAMLs.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paper/manuscript/hypothesis_references_audit.md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Supplementary Table S_thresholds</w:t>
      </w:r>
      <w:r>
        <w:t xml:space="preserve">: Threshold sensitivity sweep</w:t>
      </w:r>
      <w:r>
        <w:t xml:space="preserve"> </w:t>
      </w:r>
      <w:r>
        <w:t xml:space="preserve">(strong_threshold ∈ {0.65, 0.70, 0.75, 0.80, 0.85} × 8 datasets). Source:</w:t>
      </w:r>
      <w:r>
        <w:t xml:space="preserve"> </w:t>
      </w:r>
      <w:r>
        <w:rPr>
          <w:rStyle w:val="VerbatimChar"/>
        </w:rPr>
        <w:t xml:space="preserve">paper/benchmarks/external/threshold_sensitivity/threshold_sweep.tsv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Supplementary File HTML_demo</w:t>
      </w:r>
      <w:r>
        <w:t xml:space="preserve">: Standalone interactive HTML SI</w:t>
      </w:r>
      <w:r>
        <w:t xml:space="preserve"> </w:t>
      </w:r>
      <w:r>
        <w:t xml:space="preserve">(~400 KB; cycle diagram + hypothesis scoring + cross-group comparison</w:t>
      </w:r>
    </w:p>
    <w:p>
      <w:pPr>
        <w:pStyle w:val="Compact"/>
        <w:numPr>
          <w:ilvl w:val="1"/>
          <w:numId w:val="1007"/>
        </w:numPr>
      </w:pPr>
      <w:r>
        <w:t xml:space="preserve">parameter audit). Source:</w:t>
      </w:r>
      <w:r>
        <w:t xml:space="preserve"> </w:t>
      </w:r>
      <w:r>
        <w:rPr>
          <w:rStyle w:val="VerbatimChar"/>
        </w:rPr>
        <w:t xml:space="preserve">paper/bundles/envmeta_cycle_interactive_v1.html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Supplementary Bundle</w:t>
      </w:r>
      <w:r>
        <w:t xml:space="preserve">: Fork Bundle zip enabling one-click reproduction</w:t>
      </w:r>
      <w:r>
        <w:t xml:space="preserve"> </w:t>
      </w:r>
      <w:r>
        <w:t xml:space="preserve">of all paper figures. Source:</w:t>
      </w:r>
      <w:r>
        <w:t xml:space="preserve"> </w:t>
      </w:r>
      <w:r>
        <w:rPr>
          <w:rStyle w:val="VerbatimChar"/>
        </w:rPr>
        <w:t xml:space="preserve">paper/bundles/envmeta_paper_v0.10_bundle.zip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7"/>
    <w:bookmarkStart w:id="119" w:name="manuscript-compilation-status"/>
    <w:p>
      <w:pPr>
        <w:pStyle w:val="Heading2"/>
      </w:pPr>
      <w:r>
        <w:t xml:space="preserve">Manuscript Compilation Status</w:t>
      </w:r>
    </w:p>
    <w:p>
      <w:pPr>
        <w:pStyle w:val="FirstParagraph"/>
      </w:pPr>
      <w:r>
        <w:rPr>
          <w:b/>
          <w:bCs/>
        </w:rPr>
        <w:t xml:space="preserve">Section completeness as of 2026-05-15 v0.10 draft (post-cleanup)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/ Affiliations / Corresponding</w:t>
            </w:r>
          </w:p>
        </w:tc>
        <w:tc>
          <w:tcPr/>
          <w:p>
            <w:pPr>
              <w:pStyle w:val="Compact"/>
            </w:pPr>
            <w:r>
              <w:t xml:space="preserve">🟡 draft ready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USER: supervisor name + email + ORCID before bioRxiv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✅ 290 words</w:t>
            </w:r>
          </w:p>
        </w:tc>
        <w:tc>
          <w:tcPr/>
          <w:p>
            <w:pPr>
              <w:pStyle w:val="Compact"/>
            </w:pPr>
            <w:r>
              <w:t xml:space="preserve">Within GPB 300-word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Highlights</w:t>
            </w:r>
          </w:p>
        </w:tc>
        <w:tc>
          <w:tcPr/>
          <w:p>
            <w:pPr>
              <w:pStyle w:val="Compact"/>
            </w:pPr>
            <w:r>
              <w:t xml:space="preserve">✅ 3 bullets</w:t>
            </w:r>
          </w:p>
        </w:tc>
        <w:tc>
          <w:tcPr/>
          <w:p>
            <w:pPr>
              <w:pStyle w:val="Compact"/>
            </w:pPr>
            <w:r>
              <w:t xml:space="preserve">Framework / Schema /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Keywords</w:t>
            </w:r>
          </w:p>
        </w:tc>
        <w:tc>
          <w:tcPr/>
          <w:p>
            <w:pPr>
              <w:pStyle w:val="Compact"/>
            </w:pPr>
            <w:r>
              <w:t xml:space="preserve">✅ 8 keywords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§1 Introduction</w:t>
            </w:r>
          </w:p>
        </w:tc>
        <w:tc>
          <w:tcPr/>
          <w:p>
            <w:pPr>
              <w:pStyle w:val="Compact"/>
            </w:pPr>
            <w:r>
              <w:t xml:space="preserve">✅ 4 sub-sections ~840 words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§2 Results §2.1-§2.9</w:t>
            </w:r>
          </w:p>
        </w:tc>
        <w:tc>
          <w:tcPr/>
          <w:p>
            <w:pPr>
              <w:pStyle w:val="Compact"/>
            </w:pPr>
            <w:r>
              <w:t xml:space="preserve">✅ all sub-sections drafted</w:t>
            </w:r>
          </w:p>
        </w:tc>
        <w:tc>
          <w:tcPr/>
          <w:p>
            <w:pPr>
              <w:pStyle w:val="Compact"/>
            </w:pPr>
            <w:r>
              <w:t xml:space="preserve">~3000 words including stress test + perturbation + tools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 Discussion</w:t>
            </w:r>
          </w:p>
        </w:tc>
        <w:tc>
          <w:tcPr/>
          <w:p>
            <w:pPr>
              <w:pStyle w:val="Compact"/>
            </w:pPr>
            <w:r>
              <w:t xml:space="preserve">✅ 6 sub-sections ~1300 words</w:t>
            </w:r>
          </w:p>
        </w:tc>
        <w:tc>
          <w:tcPr/>
          <w:p>
            <w:pPr>
              <w:pStyle w:val="Compact"/>
            </w:pPr>
            <w:r>
              <w:t xml:space="preserve">Framework-as-diagnostic / calibration / cloud platforms / fork-not-community / 6 limitations / 3 future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§4.0 Methods Algorithm Framework</w:t>
            </w:r>
          </w:p>
        </w:tc>
        <w:tc>
          <w:tcPr/>
          <w:p>
            <w:pPr>
              <w:pStyle w:val="Compact"/>
            </w:pPr>
            <w:r>
              <w:t xml:space="preserve">✅ Notation + 4 Algorithms + Eq 1 + complexity</w:t>
            </w:r>
          </w:p>
        </w:tc>
        <w:tc>
          <w:tcPr/>
          <w:p>
            <w:pPr>
              <w:pStyle w:val="Compact"/>
            </w:pPr>
            <w:r>
              <w:t xml:space="preserve">Cross-ref outline_gpb.md §5.4.0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§4.1-§4.7 Methods detail</w:t>
            </w:r>
          </w:p>
        </w:tc>
        <w:tc>
          <w:tcPr/>
          <w:p>
            <w:pPr>
              <w:pStyle w:val="Compact"/>
            </w:pPr>
            <w:r>
              <w:t xml:space="preserve">✅ all sub-sections ~2200 words</w:t>
            </w:r>
          </w:p>
        </w:tc>
        <w:tc>
          <w:tcPr/>
          <w:p>
            <w:pPr>
              <w:pStyle w:val="Compact"/>
            </w:pPr>
            <w:r>
              <w:t xml:space="preserve">Implementation + cross-refs to envmeta module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§4.8 Implementation</w:t>
            </w:r>
          </w:p>
        </w:tc>
        <w:tc>
          <w:tcPr/>
          <w:p>
            <w:pPr>
              <w:pStyle w:val="Compact"/>
            </w:pPr>
            <w:r>
              <w:t xml:space="preserve">✅ short paragraph</w:t>
            </w:r>
          </w:p>
        </w:tc>
        <w:tc>
          <w:tcPr/>
          <w:p>
            <w:pPr>
              <w:pStyle w:val="Compact"/>
            </w:pPr>
            <w:r>
              <w:t xml:space="preserve">301/301 tests + MIT + Zenodo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 Data + Code</w:t>
            </w:r>
          </w:p>
        </w:tc>
        <w:tc>
          <w:tcPr/>
          <w:p>
            <w:pPr>
              <w:pStyle w:val="Compact"/>
            </w:pPr>
            <w:r>
              <w:t xml:space="preserve">✅ ready</w:t>
            </w:r>
          </w:p>
        </w:tc>
        <w:tc>
          <w:tcPr/>
          <w:p>
            <w:pPr>
              <w:pStyle w:val="Compact"/>
            </w:pPr>
            <w:r>
              <w:t xml:space="preserve">GitHub + online demo + Bundle + timestamps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§6 Acknowledgements</w:t>
            </w:r>
          </w:p>
        </w:tc>
        <w:tc>
          <w:tcPr/>
          <w:p>
            <w:pPr>
              <w:pStyle w:val="Compact"/>
            </w:pPr>
            <w:r>
              <w:t xml:space="preserve">🟡 draft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USER: supervisor + funding source 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§7 References</w:t>
            </w:r>
          </w:p>
        </w:tc>
        <w:tc>
          <w:tcPr/>
          <w:p>
            <w:pPr>
              <w:pStyle w:val="Compact"/>
            </w:pPr>
            <w:r>
              <w:t xml:space="preserve">✅ 44 contiguous Vancouver entries</w:t>
            </w:r>
          </w:p>
        </w:tc>
        <w:tc>
          <w:tcPr/>
          <w:p>
            <w:pPr>
              <w:pStyle w:val="Compact"/>
            </w:pPr>
            <w:r>
              <w:t xml:space="preserve">4 dup refs (Rhomberg/Belton/Hill/Saltelli) consolidated 2026-05-15; 4 calibration DOIs verified against YAML 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 Figure Legends</w:t>
            </w:r>
          </w:p>
        </w:tc>
        <w:tc>
          <w:tcPr/>
          <w:p>
            <w:pPr>
              <w:pStyle w:val="Compact"/>
            </w:pPr>
            <w:r>
              <w:t xml:space="preserve">✅ all 9 figures (F1-F8 + F10 + S_pert)</w:t>
            </w:r>
          </w:p>
        </w:tc>
        <w:tc>
          <w:tcPr/>
          <w:p>
            <w:pPr>
              <w:pStyle w:val="Compact"/>
            </w:pPr>
            <w:r>
              <w:t xml:space="preserve">Inline image refs; 4 placeholders + 5 real/proxy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 Tables</w:t>
            </w:r>
          </w:p>
        </w:tc>
        <w:tc>
          <w:tcPr/>
          <w:p>
            <w:pPr>
              <w:pStyle w:val="Compact"/>
            </w:pPr>
            <w:r>
              <w:t xml:space="preserve">✅ Table 1/2 + T1/T2 schemas defined</w:t>
            </w:r>
          </w:p>
        </w:tc>
        <w:tc>
          <w:tcPr/>
          <w:p>
            <w:pPr>
              <w:pStyle w:val="Compact"/>
            </w:pPr>
            <w:r>
              <w:t xml:space="preserve">T2 has 4 TBD cells pending Task 3b WSL2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§10 Supplementary</w:t>
            </w:r>
          </w:p>
        </w:tc>
        <w:tc>
          <w:tcPr/>
          <w:p>
            <w:pPr>
              <w:pStyle w:val="Compact"/>
            </w:pPr>
            <w:r>
              <w:t xml:space="preserve">✅ list ready</w:t>
            </w:r>
          </w:p>
        </w:tc>
        <w:tc>
          <w:tcPr/>
          <w:p>
            <w:pPr>
              <w:pStyle w:val="Compact"/>
            </w:pPr>
            <w:r>
              <w:t xml:space="preserve">All files in</w:t>
            </w:r>
            <w:r>
              <w:t xml:space="preserve"> </w:t>
            </w:r>
            <w:r>
              <w:rPr>
                <w:rStyle w:val="VerbatimChar"/>
              </w:rPr>
              <w:t xml:space="preserve">paper/</w:t>
            </w:r>
            <w:r>
              <w:t xml:space="preserve"> </w:t>
            </w:r>
            <w:r>
              <w:t xml:space="preserve">tree; cross-refs working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 — bioRxiv preprint readiness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Manuscript text complete (Abstract → Methods → References)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Claude (done)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figures (4 placeholders OK for preprint + 5 real/proxy)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Claude (done)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 Letter for GPB submission (post-bioRxiv)</w:t>
            </w:r>
          </w:p>
        </w:tc>
        <w:tc>
          <w:tcPr/>
          <w:p>
            <w:pPr>
              <w:pStyle w:val="Compact"/>
            </w:pPr>
            <w:r>
              <w:t xml:space="preserve">✅ draft at</w:t>
            </w:r>
            <w:r>
              <w:t xml:space="preserve"> </w:t>
            </w:r>
            <w:hyperlink r:id="rId118">
              <w:r>
                <w:rPr>
                  <w:rStyle w:val="VerbatimChar"/>
                </w:rPr>
                <w:t xml:space="preserve">Cover_Letter_GPB.md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Claude (done; USER fills EIC + reviewers + author info)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Supervisor name + email + ORCID</w:t>
            </w:r>
          </w:p>
        </w:tc>
        <w:tc>
          <w:tcPr/>
          <w:p>
            <w:pPr>
              <w:pStyle w:val="Compact"/>
            </w:pPr>
            <w:r>
              <w:t xml:space="preserve">⏳ TBD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Funding source acknowledgement</w:t>
            </w:r>
          </w:p>
        </w:tc>
        <w:tc>
          <w:tcPr/>
          <w:p>
            <w:pPr>
              <w:pStyle w:val="Compact"/>
            </w:pPr>
            <w:r>
              <w:t xml:space="preserve">⏳ TBD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 visual polish + Save as PDF</w:t>
            </w:r>
          </w:p>
        </w:tc>
        <w:tc>
          <w:tcPr/>
          <w:p>
            <w:pPr>
              <w:pStyle w:val="Compact"/>
            </w:pPr>
            <w:r>
              <w:t xml:space="preserve">⏳ TBD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  <w:r>
              <w:t xml:space="preserve"> </w:t>
            </w:r>
            <w:r>
              <w:t xml:space="preserve">(1-2h with</w:t>
            </w:r>
            <w:r>
              <w:t xml:space="preserve"> </w:t>
            </w:r>
            <w:r>
              <w:rPr>
                <w:rStyle w:val="VerbatimChar"/>
              </w:rPr>
              <w:t xml:space="preserve">manuscript_v0.10_gpb_draft.docx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bioRxiv account + license CC-BY 4.0 + subject area</w:t>
            </w:r>
          </w:p>
        </w:tc>
        <w:tc>
          <w:tcPr/>
          <w:p>
            <w:pPr>
              <w:pStyle w:val="Compact"/>
            </w:pPr>
            <w:r>
              <w:t xml:space="preserve">⏳ TBD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  <w:r>
              <w:t xml:space="preserve"> </w:t>
            </w:r>
            <w:r>
              <w:t xml:space="preserve">(30 min)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 — post-bioRxiv (GPB submission readiness)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Zenodo DOI v1.0.0 release tag</w:t>
            </w:r>
          </w:p>
        </w:tc>
        <w:tc>
          <w:tcPr/>
          <w:p>
            <w:pPr>
              <w:pStyle w:val="Compact"/>
            </w:pPr>
            <w:r>
              <w:t xml:space="preserve">⏳ after bioRxiv DOI live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  <w:r>
              <w:t xml:space="preserve"> </w:t>
            </w:r>
            <w:r>
              <w:t xml:space="preserve">(per</w:t>
            </w:r>
            <w:r>
              <w:t xml:space="preserve"> </w:t>
            </w:r>
            <w:r>
              <w:rPr>
                <w:rStyle w:val="VerbatimChar"/>
              </w:rPr>
              <w:t xml:space="preserve">zenodo_doi_steps.md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 placeholder figures with real EnvMeta screenshots (F1/F5/F6)</w:t>
            </w:r>
          </w:p>
        </w:tc>
        <w:tc>
          <w:tcPr/>
          <w:p>
            <w:pPr>
              <w:pStyle w:val="Compact"/>
            </w:pPr>
            <w:r>
              <w:t xml:space="preserve">🟡 cosmetic improvement</w:t>
            </w:r>
          </w:p>
        </w:tc>
        <w:tc>
          <w:tcPr/>
          <w:p>
            <w:pPr>
              <w:pStyle w:val="Compact"/>
            </w:pPr>
            <w:r>
              <w:t xml:space="preserve">USER + Claude (when screenshots available)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3b Krona + MicrobiomeAnalyst benchmark (fill Table T2)</w:t>
            </w:r>
          </w:p>
        </w:tc>
        <w:tc>
          <w:tcPr/>
          <w:p>
            <w:pPr>
              <w:pStyle w:val="Compact"/>
            </w:pPr>
            <w:r>
              <w:t xml:space="preserve">⏳ WSL2 + Web 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  <w:r>
              <w:t xml:space="preserve"> </w:t>
            </w:r>
            <w:r>
              <w:t xml:space="preserve">(2-3h pre-GPB)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 2024 + Liu 2023 author list verification</w:t>
            </w:r>
          </w:p>
        </w:tc>
        <w:tc>
          <w:tcPr/>
          <w:p>
            <w:pPr>
              <w:pStyle w:val="Compact"/>
            </w:pPr>
            <w:r>
              <w:t xml:space="preserve">🟡 minor copyedit</w:t>
            </w:r>
          </w:p>
        </w:tc>
        <w:tc>
          <w:tcPr/>
          <w:p>
            <w:pPr>
              <w:pStyle w:val="Compact"/>
            </w:pPr>
            <w:r>
              <w:t xml:space="preserve">USER during cover letter polish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cover letter via GPB submission system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  <w:r>
              <w:t xml:space="preserve"> </w:t>
            </w:r>
            <w:r>
              <w:t xml:space="preserve">(after bioRxiv DOI in hand)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Bottom line</w:t>
      </w:r>
      <w:r>
        <w:t xml:space="preserve">: manuscript is</w:t>
      </w:r>
      <w:r>
        <w:t xml:space="preserve"> </w:t>
      </w:r>
      <w:r>
        <w:rPr>
          <w:b/>
          <w:bCs/>
        </w:rPr>
        <w:t xml:space="preserve">bioRxiv-submission-ready</w:t>
      </w:r>
      <w:r>
        <w:t xml:space="preserve"> </w:t>
      </w:r>
      <w:r>
        <w:t xml:space="preserve">in current state.</w:t>
      </w:r>
      <w:r>
        <w:t xml:space="preserve"> </w:t>
      </w:r>
      <w:r>
        <w:t xml:space="preserve">Only USER-side actions block submission: supervisor info + Word polish + PDF</w:t>
      </w:r>
      <w:r>
        <w:t xml:space="preserve"> </w:t>
      </w:r>
      <w:r>
        <w:t xml:space="preserve">+ bioRxiv account upload. Expected DOI ETA: bioRxiv submitted 2026-05-18 ± →</w:t>
      </w:r>
      <w:r>
        <w:t xml:space="preserve"> </w:t>
      </w:r>
      <w:r>
        <w:t xml:space="preserve">DOI live 2026-05-21 ±.</w:t>
      </w:r>
    </w:p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112" Target="media/rId112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85" Target="media/rId85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hyperlink" Id="rId56" Target="../../docs/hypothesis_writing_guide.md" TargetMode="External" /><Relationship Type="http://schemas.openxmlformats.org/officeDocument/2006/relationships/hyperlink" Id="rId46" Target="../../envmeta/analysis/" TargetMode="External" /><Relationship Type="http://schemas.openxmlformats.org/officeDocument/2006/relationships/hyperlink" Id="rId49" Target="../../envmeta/analysis/_mag_common.py" TargetMode="External" /><Relationship Type="http://schemas.openxmlformats.org/officeDocument/2006/relationships/hyperlink" Id="rId50" Target="../../envmeta/export/code_generator.py" TargetMode="External" /><Relationship Type="http://schemas.openxmlformats.org/officeDocument/2006/relationships/hyperlink" Id="rId47" Target="../../envmeta/geocycle/" TargetMode="External" /><Relationship Type="http://schemas.openxmlformats.org/officeDocument/2006/relationships/hyperlink" Id="rId59" Target="../../envmeta/geocycle/html_exporter.py" TargetMode="External" /><Relationship Type="http://schemas.openxmlformats.org/officeDocument/2006/relationships/hyperlink" Id="rId53" Target="../../envmeta/geocycle/hypothesis.py" TargetMode="External" /><Relationship Type="http://schemas.openxmlformats.org/officeDocument/2006/relationships/hyperlink" Id="rId26" Target="../../envmeta/geocycle/inference.py" TargetMode="External" /><Relationship Type="http://schemas.openxmlformats.org/officeDocument/2006/relationships/hyperlink" Id="rId52" Target="../../envmeta/geocycle/model.py" TargetMode="External" /><Relationship Type="http://schemas.openxmlformats.org/officeDocument/2006/relationships/hyperlink" Id="rId60" Target="../../envmeta/geocycle/templates/cycle_interactive.html" TargetMode="External" /><Relationship Type="http://schemas.openxmlformats.org/officeDocument/2006/relationships/hyperlink" Id="rId48" Target="../../envmeta/help/" TargetMode="External" /><Relationship Type="http://schemas.openxmlformats.org/officeDocument/2006/relationships/hyperlink" Id="rId55" Target="../../envmeta/tools/hypothesis_validator.py" TargetMode="External" /><Relationship Type="http://schemas.openxmlformats.org/officeDocument/2006/relationships/hyperlink" Id="rId71" Target="../../tools/external_benchmarks/perturbation_analysis.py" TargetMode="External" /><Relationship Type="http://schemas.openxmlformats.org/officeDocument/2006/relationships/hyperlink" Id="rId74" Target="../../tools/external_benchmarks/threshold_sensitivity.py" TargetMode="External" /><Relationship Type="http://schemas.openxmlformats.org/officeDocument/2006/relationships/hyperlink" Id="rId73" Target="../benchmarks/external/threshold_sensitivity/threshold_stability_matrix.tsv" TargetMode="External" /><Relationship Type="http://schemas.openxmlformats.org/officeDocument/2006/relationships/hyperlink" Id="rId29" Target="../benchmarks/external/tools_comparison/methodology.md" TargetMode="External" /><Relationship Type="http://schemas.openxmlformats.org/officeDocument/2006/relationships/hyperlink" Id="rId63" Target="../benchmarks/performance.md" TargetMode="External" /><Relationship Type="http://schemas.openxmlformats.org/officeDocument/2006/relationships/hyperlink" Id="rId62" Target="../benchmarks/performance/bench_harness.py" TargetMode="External" /><Relationship Type="http://schemas.openxmlformats.org/officeDocument/2006/relationships/hyperlink" Id="rId64" Target="../benchmarks/performance/results/" TargetMode="External" /><Relationship Type="http://schemas.openxmlformats.org/officeDocument/2006/relationships/hyperlink" Id="rId83" Target="../figures/bioRxiv_v0.10/figures_mapping.md" TargetMode="External" /><Relationship Type="http://schemas.openxmlformats.org/officeDocument/2006/relationships/hyperlink" Id="rId84" Target="../figures/bioRxiv_v0.10/generate_placeholders.py" TargetMode="External" /><Relationship Type="http://schemas.openxmlformats.org/officeDocument/2006/relationships/hyperlink" Id="rId68" Target="../figures/paper3_hypothesis_scoring/table1_calibration.md" TargetMode="External" /><Relationship Type="http://schemas.openxmlformats.org/officeDocument/2006/relationships/hyperlink" Id="rId57" Target="../hypotheses/HYPOTHESIS_DESIGN_PRINCIPLES.md" TargetMode="External" /><Relationship Type="http://schemas.openxmlformats.org/officeDocument/2006/relationships/hyperlink" Id="rId118" Target="Cover_Letter_GPB.md" TargetMode="External" /><Relationship Type="http://schemas.openxmlformats.org/officeDocument/2006/relationships/hyperlink" Id="rId31" Target="hypothesis_references_audit.md" TargetMode="External" /><Relationship Type="http://schemas.openxmlformats.org/officeDocument/2006/relationships/hyperlink" Id="rId66" Target="methods_external_validation.md" TargetMode="External" /><Relationship Type="http://schemas.openxmlformats.org/officeDocument/2006/relationships/hyperlink" Id="rId19" Target="timestamp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../../docs/hypothesis_writing_guide.md" TargetMode="External" /><Relationship Type="http://schemas.openxmlformats.org/officeDocument/2006/relationships/hyperlink" Id="rId46" Target="../../envmeta/analysis/" TargetMode="External" /><Relationship Type="http://schemas.openxmlformats.org/officeDocument/2006/relationships/hyperlink" Id="rId49" Target="../../envmeta/analysis/_mag_common.py" TargetMode="External" /><Relationship Type="http://schemas.openxmlformats.org/officeDocument/2006/relationships/hyperlink" Id="rId50" Target="../../envmeta/export/code_generator.py" TargetMode="External" /><Relationship Type="http://schemas.openxmlformats.org/officeDocument/2006/relationships/hyperlink" Id="rId47" Target="../../envmeta/geocycle/" TargetMode="External" /><Relationship Type="http://schemas.openxmlformats.org/officeDocument/2006/relationships/hyperlink" Id="rId59" Target="../../envmeta/geocycle/html_exporter.py" TargetMode="External" /><Relationship Type="http://schemas.openxmlformats.org/officeDocument/2006/relationships/hyperlink" Id="rId53" Target="../../envmeta/geocycle/hypothesis.py" TargetMode="External" /><Relationship Type="http://schemas.openxmlformats.org/officeDocument/2006/relationships/hyperlink" Id="rId26" Target="../../envmeta/geocycle/inference.py" TargetMode="External" /><Relationship Type="http://schemas.openxmlformats.org/officeDocument/2006/relationships/hyperlink" Id="rId52" Target="../../envmeta/geocycle/model.py" TargetMode="External" /><Relationship Type="http://schemas.openxmlformats.org/officeDocument/2006/relationships/hyperlink" Id="rId60" Target="../../envmeta/geocycle/templates/cycle_interactive.html" TargetMode="External" /><Relationship Type="http://schemas.openxmlformats.org/officeDocument/2006/relationships/hyperlink" Id="rId48" Target="../../envmeta/help/" TargetMode="External" /><Relationship Type="http://schemas.openxmlformats.org/officeDocument/2006/relationships/hyperlink" Id="rId55" Target="../../envmeta/tools/hypothesis_validator.py" TargetMode="External" /><Relationship Type="http://schemas.openxmlformats.org/officeDocument/2006/relationships/hyperlink" Id="rId71" Target="../../tools/external_benchmarks/perturbation_analysis.py" TargetMode="External" /><Relationship Type="http://schemas.openxmlformats.org/officeDocument/2006/relationships/hyperlink" Id="rId74" Target="../../tools/external_benchmarks/threshold_sensitivity.py" TargetMode="External" /><Relationship Type="http://schemas.openxmlformats.org/officeDocument/2006/relationships/hyperlink" Id="rId73" Target="../benchmarks/external/threshold_sensitivity/threshold_stability_matrix.tsv" TargetMode="External" /><Relationship Type="http://schemas.openxmlformats.org/officeDocument/2006/relationships/hyperlink" Id="rId29" Target="../benchmarks/external/tools_comparison/methodology.md" TargetMode="External" /><Relationship Type="http://schemas.openxmlformats.org/officeDocument/2006/relationships/hyperlink" Id="rId63" Target="../benchmarks/performance.md" TargetMode="External" /><Relationship Type="http://schemas.openxmlformats.org/officeDocument/2006/relationships/hyperlink" Id="rId62" Target="../benchmarks/performance/bench_harness.py" TargetMode="External" /><Relationship Type="http://schemas.openxmlformats.org/officeDocument/2006/relationships/hyperlink" Id="rId64" Target="../benchmarks/performance/results/" TargetMode="External" /><Relationship Type="http://schemas.openxmlformats.org/officeDocument/2006/relationships/hyperlink" Id="rId83" Target="../figures/bioRxiv_v0.10/figures_mapping.md" TargetMode="External" /><Relationship Type="http://schemas.openxmlformats.org/officeDocument/2006/relationships/hyperlink" Id="rId84" Target="../figures/bioRxiv_v0.10/generate_placeholders.py" TargetMode="External" /><Relationship Type="http://schemas.openxmlformats.org/officeDocument/2006/relationships/hyperlink" Id="rId68" Target="../figures/paper3_hypothesis_scoring/table1_calibration.md" TargetMode="External" /><Relationship Type="http://schemas.openxmlformats.org/officeDocument/2006/relationships/hyperlink" Id="rId57" Target="../hypotheses/HYPOTHESIS_DESIGN_PRINCIPLES.md" TargetMode="External" /><Relationship Type="http://schemas.openxmlformats.org/officeDocument/2006/relationships/hyperlink" Id="rId118" Target="Cover_Letter_GPB.md" TargetMode="External" /><Relationship Type="http://schemas.openxmlformats.org/officeDocument/2006/relationships/hyperlink" Id="rId31" Target="hypothesis_references_audit.md" TargetMode="External" /><Relationship Type="http://schemas.openxmlformats.org/officeDocument/2006/relationships/hyperlink" Id="rId66" Target="methods_external_validation.md" TargetMode="External" /><Relationship Type="http://schemas.openxmlformats.org/officeDocument/2006/relationships/hyperlink" Id="rId19" Target="timestamp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2026-05-15T03:15:30Z</dcterms:created>
  <dcterms:modified xsi:type="dcterms:W3CDTF">2026-05-15T03:15:30Z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