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419" w:rsidRPr="008B098B" w:rsidRDefault="008B098B">
      <w:pPr>
        <w:rPr>
          <w:b/>
          <w:u w:val="single"/>
        </w:rPr>
      </w:pPr>
      <w:r w:rsidRPr="008B098B">
        <w:rPr>
          <w:b/>
          <w:u w:val="single"/>
        </w:rPr>
        <w:t>Thermal Break End Cap RFA</w:t>
      </w:r>
    </w:p>
    <w:p w:rsidR="008B098B" w:rsidRPr="008B098B" w:rsidRDefault="008B098B">
      <w:pPr>
        <w:rPr>
          <w:b/>
          <w:u w:val="single"/>
        </w:rPr>
      </w:pPr>
      <w:r w:rsidRPr="008B098B">
        <w:rPr>
          <w:b/>
          <w:u w:val="single"/>
        </w:rPr>
        <w:t>Product</w:t>
      </w:r>
    </w:p>
    <w:p w:rsidR="00240AD1" w:rsidRDefault="000276BC" w:rsidP="008B098B">
      <w:pPr>
        <w:pStyle w:val="ListParagraph"/>
        <w:numPr>
          <w:ilvl w:val="0"/>
          <w:numId w:val="1"/>
        </w:numPr>
      </w:pPr>
      <w:r>
        <w:t>Thermal break e</w:t>
      </w:r>
      <w:r w:rsidR="008B098B" w:rsidRPr="008B098B">
        <w:t>nd cap</w:t>
      </w:r>
      <w:r>
        <w:t>s for Stellar Doors and All Seasons thermal extrusions</w:t>
      </w:r>
      <w:r w:rsidR="00453880">
        <w:t>.</w:t>
      </w:r>
    </w:p>
    <w:p w:rsidR="00453880" w:rsidRDefault="00240AD1" w:rsidP="008B098B">
      <w:pPr>
        <w:pStyle w:val="ListParagraph"/>
        <w:numPr>
          <w:ilvl w:val="0"/>
          <w:numId w:val="1"/>
        </w:numPr>
      </w:pPr>
      <w:r>
        <w:t>Replaces the taping process.</w:t>
      </w:r>
      <w:r w:rsidR="00453880">
        <w:t xml:space="preserve"> </w:t>
      </w:r>
    </w:p>
    <w:p w:rsidR="008B098B" w:rsidRDefault="00240AD1" w:rsidP="008B098B">
      <w:pPr>
        <w:pStyle w:val="ListParagraph"/>
        <w:numPr>
          <w:ilvl w:val="0"/>
          <w:numId w:val="1"/>
        </w:numPr>
      </w:pPr>
      <w:r>
        <w:t>Faster than tape</w:t>
      </w:r>
      <w:r w:rsidR="00453880">
        <w:t xml:space="preserve"> by 69.73%</w:t>
      </w:r>
      <w:r>
        <w:t xml:space="preserve"> and can be assembled at any point after powder coating</w:t>
      </w:r>
      <w:r w:rsidR="00BA1B15">
        <w:t>.</w:t>
      </w:r>
    </w:p>
    <w:p w:rsidR="008B098B" w:rsidRDefault="008B098B" w:rsidP="008B098B">
      <w:pPr>
        <w:rPr>
          <w:b/>
        </w:rPr>
      </w:pPr>
      <w:r w:rsidRPr="008B098B">
        <w:rPr>
          <w:b/>
        </w:rPr>
        <w:t>Reason</w:t>
      </w:r>
    </w:p>
    <w:p w:rsidR="00792CF3" w:rsidRDefault="0057560C" w:rsidP="00792CF3">
      <w:r>
        <w:t>A time study o</w:t>
      </w:r>
      <w:r w:rsidR="008B098B">
        <w:t>n</w:t>
      </w:r>
      <w:r>
        <w:t xml:space="preserve"> the</w:t>
      </w:r>
      <w:r w:rsidR="008B098B">
        <w:t xml:space="preserve"> </w:t>
      </w:r>
      <w:proofErr w:type="spellStart"/>
      <w:r w:rsidR="008B098B">
        <w:t>Te</w:t>
      </w:r>
      <w:proofErr w:type="spellEnd"/>
      <w:r w:rsidR="008B098B">
        <w:t>-</w:t>
      </w:r>
      <w:r w:rsidR="00B5018F">
        <w:t>R</w:t>
      </w:r>
      <w:r w:rsidR="008B098B">
        <w:t>apa</w:t>
      </w:r>
      <w:r>
        <w:t xml:space="preserve"> Thermal Break</w:t>
      </w:r>
      <w:r w:rsidR="008B098B">
        <w:t xml:space="preserve"> found that </w:t>
      </w:r>
      <w:r>
        <w:t xml:space="preserve">27% of the time </w:t>
      </w:r>
      <w:r>
        <w:rPr>
          <w:rFonts w:ascii="Calibri" w:hAnsi="Calibri" w:cs="Calibri"/>
          <w:color w:val="000000"/>
          <w:shd w:val="clear" w:color="auto" w:fill="FFFFFF"/>
        </w:rPr>
        <w:t xml:space="preserve">goes into machine preparation such as purging, taping, prepping metal, manually loosening rollers, setting the computer, holding the buttons, releasing the buttons, setting rollers, setting the nozzle, test fitting the first piece, lifting it back, and then pouring the first piece. During this time the machine is cleared generally till the table is full. </w:t>
      </w:r>
      <w:r w:rsidR="00792CF3">
        <w:t xml:space="preserve">The thermal team spend on average 10 minutes preparing the batches of metal. This is because the team leader has to vacate the machine and get on a forklift to sort out the next batch of metal. Because they have metal drying on the conveyor table getting ready to be cut, </w:t>
      </w:r>
      <w:r w:rsidR="008F217B">
        <w:t>it</w:t>
      </w:r>
      <w:r w:rsidR="00792CF3">
        <w:t xml:space="preserve"> is seen as a productive to sort the metal out while the thermal is curing. </w:t>
      </w:r>
    </w:p>
    <w:p w:rsidR="0057560C" w:rsidRDefault="00792CF3" w:rsidP="00792CF3">
      <w:pPr>
        <w:rPr>
          <w:rFonts w:ascii="Calibri" w:hAnsi="Calibri" w:cs="Calibri"/>
          <w:color w:val="000000"/>
          <w:shd w:val="clear" w:color="auto" w:fill="FFFFFF"/>
        </w:rPr>
      </w:pPr>
      <w:r>
        <w:t>Once the metal has been prepared, the machine is able to process 10.3 metres per minute of metal. What delays the process is the frequency the machine has to be set up. During 5 hours and 10 minutes and 46 seconds, the machine was set up 28 times. The machine on average spend 4 minutes and 41 seconds getting set up which is an average of 2:11:8 over this duration. The machine was working for a total of 46:37 which tells us that the machine is not fully being utilized. The team spend 3:0:14 sorting the metal and 1:23:54 preparing the machine.</w:t>
      </w:r>
    </w:p>
    <w:p w:rsidR="0057560C" w:rsidRDefault="0057560C" w:rsidP="0057560C">
      <w:pPr>
        <w:jc w:val="center"/>
        <w:rPr>
          <w:rFonts w:ascii="Calibri" w:hAnsi="Calibri" w:cs="Calibri"/>
          <w:color w:val="000000"/>
          <w:shd w:val="clear" w:color="auto" w:fill="FFFFFF"/>
        </w:rPr>
      </w:pPr>
      <w:r>
        <w:rPr>
          <w:noProof/>
        </w:rPr>
        <w:drawing>
          <wp:inline distT="0" distB="0" distL="0" distR="0" wp14:anchorId="25C8CA23" wp14:editId="22FF79E2">
            <wp:extent cx="4031312" cy="283925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9017" cy="2844685"/>
                    </a:xfrm>
                    <a:prstGeom prst="rect">
                      <a:avLst/>
                    </a:prstGeom>
                  </pic:spPr>
                </pic:pic>
              </a:graphicData>
            </a:graphic>
          </wp:inline>
        </w:drawing>
      </w:r>
    </w:p>
    <w:p w:rsidR="0057560C" w:rsidRDefault="0057560C" w:rsidP="0057560C">
      <w:pPr>
        <w:rPr>
          <w:rFonts w:ascii="Calibri" w:hAnsi="Calibri" w:cs="Calibri"/>
          <w:color w:val="000000"/>
          <w:shd w:val="clear" w:color="auto" w:fill="FFFFFF"/>
        </w:rPr>
      </w:pPr>
      <w:r>
        <w:rPr>
          <w:rFonts w:ascii="Calibri" w:hAnsi="Calibri" w:cs="Calibri"/>
          <w:color w:val="000000"/>
          <w:shd w:val="clear" w:color="auto" w:fill="FFFFFF"/>
        </w:rPr>
        <w:t>A</w:t>
      </w:r>
      <w:r w:rsidR="00792CF3">
        <w:rPr>
          <w:rFonts w:ascii="Calibri" w:hAnsi="Calibri" w:cs="Calibri"/>
          <w:color w:val="000000"/>
          <w:shd w:val="clear" w:color="auto" w:fill="FFFFFF"/>
        </w:rPr>
        <w:t xml:space="preserve"> </w:t>
      </w:r>
      <w:r>
        <w:rPr>
          <w:rFonts w:ascii="Calibri" w:hAnsi="Calibri" w:cs="Calibri"/>
          <w:color w:val="000000"/>
          <w:shd w:val="clear" w:color="auto" w:fill="FFFFFF"/>
        </w:rPr>
        <w:t>task which was found to be inefficient was the taping process.</w:t>
      </w:r>
      <w:r w:rsidR="00792CF3">
        <w:rPr>
          <w:rFonts w:ascii="Calibri" w:hAnsi="Calibri" w:cs="Calibri"/>
          <w:color w:val="000000"/>
          <w:shd w:val="clear" w:color="auto" w:fill="FFFFFF"/>
        </w:rPr>
        <w:t xml:space="preserve"> The variation of metal make it time consuming to place tape onto every single extrusion and add to the machine prep time.</w:t>
      </w:r>
      <w:r>
        <w:rPr>
          <w:rFonts w:ascii="Calibri" w:hAnsi="Calibri" w:cs="Calibri"/>
          <w:color w:val="000000"/>
          <w:shd w:val="clear" w:color="auto" w:fill="FFFFFF"/>
        </w:rPr>
        <w:t xml:space="preserve"> The taping process involves a</w:t>
      </w:r>
      <w:r w:rsidR="00792CF3">
        <w:rPr>
          <w:rFonts w:ascii="Calibri" w:hAnsi="Calibri" w:cs="Calibri"/>
          <w:color w:val="000000"/>
          <w:shd w:val="clear" w:color="auto" w:fill="FFFFFF"/>
        </w:rPr>
        <w:t xml:space="preserve"> medium</w:t>
      </w:r>
      <w:r>
        <w:rPr>
          <w:rFonts w:ascii="Calibri" w:hAnsi="Calibri" w:cs="Calibri"/>
          <w:color w:val="000000"/>
          <w:shd w:val="clear" w:color="auto" w:fill="FFFFFF"/>
        </w:rPr>
        <w:t xml:space="preserve"> knowledgeable skill level on where and how to apply the tape in preparation for the thermal break. The solution proposed is to make end caps which can be inserted by anyon</w:t>
      </w:r>
      <w:r w:rsidR="00442A4E">
        <w:rPr>
          <w:rFonts w:ascii="Calibri" w:hAnsi="Calibri" w:cs="Calibri"/>
          <w:color w:val="000000"/>
          <w:shd w:val="clear" w:color="auto" w:fill="FFFFFF"/>
        </w:rPr>
        <w:t xml:space="preserve">e no matter the skill level in order to </w:t>
      </w:r>
      <w:r w:rsidR="000276BC">
        <w:rPr>
          <w:rFonts w:ascii="Calibri" w:hAnsi="Calibri" w:cs="Calibri"/>
          <w:color w:val="000000"/>
          <w:shd w:val="clear" w:color="auto" w:fill="FFFFFF"/>
        </w:rPr>
        <w:t>increase</w:t>
      </w:r>
      <w:r w:rsidR="00B5018F">
        <w:rPr>
          <w:rFonts w:ascii="Calibri" w:hAnsi="Calibri" w:cs="Calibri"/>
          <w:color w:val="000000"/>
          <w:shd w:val="clear" w:color="auto" w:fill="FFFFFF"/>
        </w:rPr>
        <w:t xml:space="preserve"> the speed and</w:t>
      </w:r>
      <w:r w:rsidR="00FB1493">
        <w:rPr>
          <w:rFonts w:ascii="Calibri" w:hAnsi="Calibri" w:cs="Calibri"/>
          <w:color w:val="000000"/>
          <w:shd w:val="clear" w:color="auto" w:fill="FFFFFF"/>
        </w:rPr>
        <w:t xml:space="preserve"> efficiency of</w:t>
      </w:r>
      <w:r w:rsidR="000276BC">
        <w:rPr>
          <w:rFonts w:ascii="Calibri" w:hAnsi="Calibri" w:cs="Calibri"/>
          <w:color w:val="000000"/>
          <w:shd w:val="clear" w:color="auto" w:fill="FFFFFF"/>
        </w:rPr>
        <w:t xml:space="preserve"> the process.</w:t>
      </w:r>
      <w:r w:rsidR="00973A3C">
        <w:rPr>
          <w:rFonts w:ascii="Calibri" w:hAnsi="Calibri" w:cs="Calibri"/>
          <w:color w:val="000000"/>
          <w:shd w:val="clear" w:color="auto" w:fill="FFFFFF"/>
        </w:rPr>
        <w:br/>
      </w:r>
      <w:r w:rsidR="00973A3C">
        <w:rPr>
          <w:rFonts w:ascii="Calibri" w:hAnsi="Calibri" w:cs="Calibri"/>
          <w:color w:val="000000"/>
          <w:shd w:val="clear" w:color="auto" w:fill="FFFFFF"/>
        </w:rPr>
        <w:br/>
      </w:r>
    </w:p>
    <w:p w:rsidR="0068671C" w:rsidRDefault="0068671C" w:rsidP="008B098B">
      <w:pPr>
        <w:rPr>
          <w:b/>
          <w:u w:val="single"/>
        </w:rPr>
      </w:pPr>
    </w:p>
    <w:p w:rsidR="0068671C" w:rsidRDefault="0068671C" w:rsidP="008B098B">
      <w:pPr>
        <w:rPr>
          <w:b/>
          <w:u w:val="single"/>
        </w:rPr>
      </w:pPr>
    </w:p>
    <w:p w:rsidR="00B5018F" w:rsidRDefault="005C70BB" w:rsidP="008B098B">
      <w:pPr>
        <w:rPr>
          <w:b/>
          <w:u w:val="single"/>
        </w:rPr>
      </w:pPr>
      <w:r w:rsidRPr="005C70BB">
        <w:rPr>
          <w:b/>
          <w:u w:val="single"/>
        </w:rPr>
        <w:t>Options considered:</w:t>
      </w:r>
    </w:p>
    <w:p w:rsidR="00174316" w:rsidRDefault="00174316" w:rsidP="00174316">
      <w:pPr>
        <w:jc w:val="center"/>
      </w:pPr>
      <w:r>
        <w:rPr>
          <w:noProof/>
        </w:rPr>
        <w:drawing>
          <wp:inline distT="0" distB="0" distL="0" distR="0" wp14:anchorId="2C42661E" wp14:editId="0A546338">
            <wp:extent cx="2419350" cy="2924070"/>
            <wp:effectExtent l="0" t="0" r="0" b="101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626F1869" wp14:editId="5B084F68">
            <wp:extent cx="3048000" cy="2923994"/>
            <wp:effectExtent l="0" t="0" r="0" b="1016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74316" w:rsidRDefault="00174316" w:rsidP="00174316">
      <w:r>
        <w:t>The channel sizes for stellar doors have 5 different variations. The majority being 10.8 mm x 7 mm. All seasons Thermal channel sizes make up 10.8mm x 7mm and 10.8x6.8mm.</w:t>
      </w:r>
    </w:p>
    <w:p w:rsidR="00174316" w:rsidRDefault="00174316" w:rsidP="00174316">
      <w:pPr>
        <w:jc w:val="center"/>
      </w:pPr>
      <w:r>
        <w:rPr>
          <w:noProof/>
        </w:rPr>
        <w:drawing>
          <wp:inline distT="0" distB="0" distL="0" distR="0" wp14:anchorId="68DB2BC2" wp14:editId="3B2AAFA8">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74316" w:rsidRPr="00F96876" w:rsidRDefault="00174316" w:rsidP="008B098B">
      <w:r>
        <w:t xml:space="preserve">The two most common sizes make up to 77.53% of </w:t>
      </w:r>
      <w:proofErr w:type="spellStart"/>
      <w:r>
        <w:t>Te</w:t>
      </w:r>
      <w:proofErr w:type="spellEnd"/>
      <w:r>
        <w:t>-Rapa thermal break sizes.</w:t>
      </w:r>
    </w:p>
    <w:p w:rsidR="0068671C" w:rsidRDefault="0051491B" w:rsidP="008B098B">
      <w:pPr>
        <w:rPr>
          <w:u w:val="single"/>
        </w:rPr>
      </w:pPr>
      <w:r>
        <w:rPr>
          <w:u w:val="single"/>
        </w:rPr>
        <w:t xml:space="preserve">Proof of Concept </w:t>
      </w:r>
      <w:r w:rsidR="0068671C" w:rsidRPr="0068671C">
        <w:rPr>
          <w:u w:val="single"/>
        </w:rPr>
        <w:t>Trials:</w:t>
      </w:r>
    </w:p>
    <w:p w:rsidR="0068671C" w:rsidRDefault="0051491B" w:rsidP="008B098B">
      <w:r>
        <w:t>As a proof of concept the contour of the E13400 profile was traced and 3-D printed</w:t>
      </w:r>
      <w:r w:rsidRPr="000E1B68">
        <w:t xml:space="preserve"> </w:t>
      </w:r>
      <w:r>
        <w:t xml:space="preserve">using </w:t>
      </w:r>
      <w:r w:rsidR="00AE627F">
        <w:t>ABS</w:t>
      </w:r>
      <w:r>
        <w:t xml:space="preserve">. </w:t>
      </w:r>
      <w:r w:rsidR="000E1B68" w:rsidRPr="000E1B68">
        <w:t xml:space="preserve">10 x E13400 pieces were extruded for a </w:t>
      </w:r>
      <w:r w:rsidR="000E1B68">
        <w:t xml:space="preserve">thermal cap </w:t>
      </w:r>
      <w:r w:rsidR="000E1B68" w:rsidRPr="000E1B68">
        <w:t>trial</w:t>
      </w:r>
      <w:r>
        <w:t xml:space="preserve"> using thermal caps for the specific profile. The pieced were powder coated</w:t>
      </w:r>
      <w:r w:rsidR="00AE627F">
        <w:t xml:space="preserve"> and the plugs were inserted. Thermal paste was poured in the cavity.</w:t>
      </w:r>
    </w:p>
    <w:p w:rsidR="0051491B" w:rsidRDefault="0051491B" w:rsidP="0051491B">
      <w:pPr>
        <w:jc w:val="center"/>
      </w:pPr>
      <w:r>
        <w:rPr>
          <w:noProof/>
        </w:rPr>
        <w:lastRenderedPageBreak/>
        <w:drawing>
          <wp:inline distT="0" distB="0" distL="0" distR="0" wp14:anchorId="5CC865D1" wp14:editId="0FDB021F">
            <wp:extent cx="3605842" cy="25012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6912" cy="2508918"/>
                    </a:xfrm>
                    <a:prstGeom prst="rect">
                      <a:avLst/>
                    </a:prstGeom>
                  </pic:spPr>
                </pic:pic>
              </a:graphicData>
            </a:graphic>
          </wp:inline>
        </w:drawing>
      </w:r>
    </w:p>
    <w:p w:rsidR="00F96876" w:rsidRDefault="0051491B" w:rsidP="00F96876">
      <w:r>
        <w:t xml:space="preserve">As a proof of concept trial it was successful but what was found is that </w:t>
      </w:r>
      <w:r w:rsidR="00AE627F">
        <w:t>there is a large variety of contours</w:t>
      </w:r>
      <w:r>
        <w:t>. If we were to go into full production then a universal cap that fit every stellar doors an</w:t>
      </w:r>
      <w:r w:rsidR="00AE627F">
        <w:t>d All Seasons thermal cavity contours would be</w:t>
      </w:r>
      <w:r>
        <w:t xml:space="preserve"> needed. </w:t>
      </w:r>
    </w:p>
    <w:p w:rsidR="0051491B" w:rsidRDefault="00F96876" w:rsidP="00F96876">
      <w:pPr>
        <w:jc w:val="center"/>
      </w:pPr>
      <w:r>
        <w:rPr>
          <w:noProof/>
        </w:rPr>
        <w:drawing>
          <wp:inline distT="0" distB="0" distL="0" distR="0">
            <wp:extent cx="3571335" cy="2678501"/>
            <wp:effectExtent l="0" t="0" r="0" b="7620"/>
            <wp:docPr id="9" name="Picture 9" descr="C:\Users\marco.wells\Downloads\20210705_1042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co.wells\Downloads\20210705_104257.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72174" cy="2679130"/>
                    </a:xfrm>
                    <a:prstGeom prst="rect">
                      <a:avLst/>
                    </a:prstGeom>
                    <a:noFill/>
                    <a:ln>
                      <a:noFill/>
                    </a:ln>
                  </pic:spPr>
                </pic:pic>
              </a:graphicData>
            </a:graphic>
          </wp:inline>
        </w:drawing>
      </w:r>
      <w:r w:rsidR="00C80FDA">
        <w:br/>
      </w:r>
      <w:r w:rsidR="00C80FDA" w:rsidRPr="00C80FDA">
        <w:rPr>
          <w:i/>
        </w:rPr>
        <w:t>Extrusions trialled on E13400.</w:t>
      </w:r>
    </w:p>
    <w:p w:rsidR="00174316" w:rsidRDefault="00174316" w:rsidP="008B098B">
      <w:r>
        <w:rPr>
          <w:u w:val="single"/>
        </w:rPr>
        <w:t>Plastic</w:t>
      </w:r>
      <w:r w:rsidR="002F5223" w:rsidRPr="005C70BB">
        <w:rPr>
          <w:u w:val="single"/>
        </w:rPr>
        <w:t xml:space="preserve">: </w:t>
      </w:r>
      <w:r w:rsidR="005C70BB">
        <w:br/>
        <w:t>Due to the extrusion being cut and powder coated</w:t>
      </w:r>
      <w:r w:rsidR="002F5223">
        <w:t xml:space="preserve"> the thermal cavity has a wide variety of tolerances.</w:t>
      </w:r>
      <w:r w:rsidR="005C70BB">
        <w:t xml:space="preserve"> </w:t>
      </w:r>
      <w:r w:rsidR="002F5223">
        <w:t>P</w:t>
      </w:r>
      <w:r w:rsidR="005C70BB">
        <w:t>lastic is</w:t>
      </w:r>
      <w:r w:rsidR="002F5223">
        <w:t xml:space="preserve"> generally</w:t>
      </w:r>
      <w:r w:rsidR="005C70BB">
        <w:t xml:space="preserve"> hard and </w:t>
      </w:r>
      <w:r w:rsidR="002F5223">
        <w:t>has a high friction coefficient which requires more force inserting them. Plastic is not the best solution for this application.</w:t>
      </w:r>
      <w:r>
        <w:t xml:space="preserve"> When 10 pieces were poured, the time taken to assemble the plug compared to the tape was taken. </w:t>
      </w:r>
    </w:p>
    <w:p w:rsidR="0068671C" w:rsidRDefault="00174316" w:rsidP="008B098B">
      <w:r>
        <w:t>The tape took an average of 4.79 seconds to assemble when the plastic PPE took 5.05 seconds to assemble.</w:t>
      </w:r>
      <w:r w:rsidR="001263A2">
        <w:t xml:space="preserve"> This design is 5.15% slower because the design depends on the tolerance of the metal and the powder coat finish. As a proof of con</w:t>
      </w:r>
      <w:r w:rsidR="00453880">
        <w:t>cept it works and is successful. Ideally a universal piece made out of a more flexible material would be better.</w:t>
      </w:r>
    </w:p>
    <w:p w:rsidR="002F5223" w:rsidRDefault="002F5223" w:rsidP="008B098B">
      <w:pPr>
        <w:rPr>
          <w:u w:val="single"/>
        </w:rPr>
      </w:pPr>
      <w:r w:rsidRPr="002F5223">
        <w:rPr>
          <w:u w:val="single"/>
        </w:rPr>
        <w:t>Rubber – Santoprene</w:t>
      </w:r>
      <w:r>
        <w:rPr>
          <w:u w:val="single"/>
        </w:rPr>
        <w:t>:</w:t>
      </w:r>
    </w:p>
    <w:p w:rsidR="00174316" w:rsidRDefault="002F5223" w:rsidP="008B098B">
      <w:r w:rsidRPr="002F5223">
        <w:t xml:space="preserve">Rubber happens to be more forgiving and able to meet the tolerance that </w:t>
      </w:r>
      <w:r>
        <w:t xml:space="preserve">thermal cavity </w:t>
      </w:r>
      <w:r w:rsidR="00213FF1">
        <w:t xml:space="preserve">has. Santoprene behaves like a rubber but can be processed like a thermoplastic. Santoprene has a cost </w:t>
      </w:r>
      <w:r w:rsidR="00213FF1">
        <w:lastRenderedPageBreak/>
        <w:t>reduction through manufacturing simplification, part weight reduction and has potential for recycling at the end of its life.</w:t>
      </w:r>
      <w:r w:rsidR="00A13F4D">
        <w:t xml:space="preserve"> Since the part is a one off application and </w:t>
      </w:r>
      <w:r w:rsidR="00882C05">
        <w:t>non-re-</w:t>
      </w:r>
      <w:r w:rsidR="00A13F4D">
        <w:t xml:space="preserve">usable due to the </w:t>
      </w:r>
      <w:r w:rsidR="00882C05">
        <w:t>thermal paste being able to bond to the thermal cap, a cheaper solution will do.</w:t>
      </w:r>
    </w:p>
    <w:p w:rsidR="00453880" w:rsidRDefault="00174316" w:rsidP="008B098B">
      <w:pPr>
        <w:rPr>
          <w:u w:val="single"/>
        </w:rPr>
      </w:pPr>
      <w:r>
        <w:t xml:space="preserve">A trial was undergone with pieces designed by </w:t>
      </w:r>
      <w:proofErr w:type="spellStart"/>
      <w:r>
        <w:t>Azon</w:t>
      </w:r>
      <w:proofErr w:type="spellEnd"/>
      <w:r>
        <w:t xml:space="preserve"> th</w:t>
      </w:r>
      <w:r w:rsidR="00453880">
        <w:t xml:space="preserve">at had been previously used in </w:t>
      </w:r>
      <w:proofErr w:type="spellStart"/>
      <w:r w:rsidR="00453880">
        <w:t>Te</w:t>
      </w:r>
      <w:proofErr w:type="spellEnd"/>
      <w:r w:rsidR="00453880">
        <w:t>-R</w:t>
      </w:r>
      <w:r>
        <w:t xml:space="preserve">apa but stopped due to unknown reasons. The tape took an average of 4.79 seconds to assemble when the </w:t>
      </w:r>
      <w:proofErr w:type="spellStart"/>
      <w:r w:rsidR="00F96876">
        <w:t>Azons</w:t>
      </w:r>
      <w:proofErr w:type="spellEnd"/>
      <w:r w:rsidR="00F96876">
        <w:t xml:space="preserve">’ </w:t>
      </w:r>
      <w:proofErr w:type="spellStart"/>
      <w:r w:rsidR="00F96876">
        <w:t>S</w:t>
      </w:r>
      <w:r w:rsidR="00453880">
        <w:t>antoprene</w:t>
      </w:r>
      <w:proofErr w:type="spellEnd"/>
      <w:r w:rsidR="00453880">
        <w:t xml:space="preserve"> piece</w:t>
      </w:r>
      <w:r>
        <w:t xml:space="preserve"> took 1.45 seconds to assemble. </w:t>
      </w:r>
      <w:r w:rsidR="001263A2">
        <w:t>This is a 69.73% reduction in time.</w:t>
      </w:r>
      <w:r w:rsidR="00882C05">
        <w:br/>
      </w:r>
      <w:r w:rsidR="00882C05">
        <w:br/>
      </w:r>
    </w:p>
    <w:p w:rsidR="00453880" w:rsidRDefault="00F96876" w:rsidP="00F96876">
      <w:pPr>
        <w:jc w:val="center"/>
        <w:rPr>
          <w:u w:val="single"/>
        </w:rPr>
      </w:pPr>
      <w:r>
        <w:rPr>
          <w:noProof/>
          <w:u w:val="single"/>
        </w:rPr>
        <w:drawing>
          <wp:inline distT="0" distB="0" distL="0" distR="0">
            <wp:extent cx="3692105" cy="2773076"/>
            <wp:effectExtent l="0" t="0" r="3810" b="8255"/>
            <wp:docPr id="5" name="Picture 5" descr="C:\Users\marco.wells\Downloads\IMG_67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o.wells\Downloads\IMG_673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93752" cy="2774313"/>
                    </a:xfrm>
                    <a:prstGeom prst="rect">
                      <a:avLst/>
                    </a:prstGeom>
                    <a:noFill/>
                    <a:ln>
                      <a:noFill/>
                    </a:ln>
                  </pic:spPr>
                </pic:pic>
              </a:graphicData>
            </a:graphic>
          </wp:inline>
        </w:drawing>
      </w:r>
    </w:p>
    <w:p w:rsidR="00C80FDA" w:rsidRPr="00C80FDA" w:rsidRDefault="00C80FDA" w:rsidP="00F96876">
      <w:pPr>
        <w:jc w:val="center"/>
        <w:rPr>
          <w:i/>
        </w:rPr>
      </w:pPr>
      <w:proofErr w:type="spellStart"/>
      <w:r w:rsidRPr="00C80FDA">
        <w:rPr>
          <w:i/>
        </w:rPr>
        <w:t>Azons</w:t>
      </w:r>
      <w:proofErr w:type="spellEnd"/>
      <w:r w:rsidRPr="00C80FDA">
        <w:rPr>
          <w:i/>
        </w:rPr>
        <w:t xml:space="preserve"> </w:t>
      </w:r>
      <w:proofErr w:type="spellStart"/>
      <w:r w:rsidRPr="00C80FDA">
        <w:rPr>
          <w:i/>
        </w:rPr>
        <w:t>Santoprene</w:t>
      </w:r>
      <w:proofErr w:type="spellEnd"/>
      <w:r w:rsidRPr="00C80FDA">
        <w:rPr>
          <w:i/>
        </w:rPr>
        <w:t xml:space="preserve"> thermal cap previously used</w:t>
      </w:r>
      <w:r>
        <w:rPr>
          <w:i/>
        </w:rPr>
        <w:t>.</w:t>
      </w:r>
    </w:p>
    <w:p w:rsidR="002F5223" w:rsidRDefault="00882C05" w:rsidP="008B098B">
      <w:pPr>
        <w:rPr>
          <w:u w:val="single"/>
        </w:rPr>
      </w:pPr>
      <w:r w:rsidRPr="00882C05">
        <w:rPr>
          <w:u w:val="single"/>
        </w:rPr>
        <w:t>Plastic LDPE:</w:t>
      </w:r>
    </w:p>
    <w:p w:rsidR="00882C05" w:rsidRPr="00882C05" w:rsidRDefault="00882C05" w:rsidP="008B098B">
      <w:r>
        <w:t>LDPE is a cheap alternative because it is able to withstand the temperatures and most chemicals and is easily recyclable.</w:t>
      </w:r>
      <w:r w:rsidR="00AE627F">
        <w:t xml:space="preserve"> It is also forgiving and flexible and able to bend into the cavity. </w:t>
      </w:r>
      <w:r w:rsidR="007D6278">
        <w:t>LDPE</w:t>
      </w:r>
      <w:r w:rsidR="00133B29">
        <w:t xml:space="preserve"> is the material choice and the</w:t>
      </w:r>
      <w:r w:rsidR="007D6278">
        <w:t xml:space="preserve"> option</w:t>
      </w:r>
      <w:r w:rsidR="00133B29">
        <w:t xml:space="preserve"> to peruse for this application</w:t>
      </w:r>
      <w:r w:rsidR="007D6278">
        <w:t>.</w:t>
      </w:r>
    </w:p>
    <w:p w:rsidR="00341868" w:rsidRPr="005D5883" w:rsidRDefault="00213FF1" w:rsidP="005D5883">
      <w:pPr>
        <w:rPr>
          <w:b/>
          <w:u w:val="single"/>
        </w:rPr>
      </w:pPr>
      <w:r w:rsidRPr="00213FF1">
        <w:rPr>
          <w:b/>
          <w:u w:val="single"/>
        </w:rPr>
        <w:t xml:space="preserve">Risk Assessment </w:t>
      </w:r>
    </w:p>
    <w:p w:rsidR="005D5883" w:rsidRDefault="005D5883" w:rsidP="005D5883">
      <w:pPr>
        <w:pStyle w:val="ListParagraph"/>
        <w:numPr>
          <w:ilvl w:val="0"/>
          <w:numId w:val="1"/>
        </w:numPr>
      </w:pPr>
      <w:r>
        <w:t>Tape being used instead of thermal caps – It is important to design</w:t>
      </w:r>
      <w:r w:rsidR="0011432C">
        <w:t xml:space="preserve"> the thermal caps so it</w:t>
      </w:r>
      <w:r>
        <w:t xml:space="preserve"> provides a better alternative to tape and requires a simple understanding of assembly.  </w:t>
      </w:r>
    </w:p>
    <w:p w:rsidR="00453880" w:rsidRPr="00341868" w:rsidRDefault="00453880" w:rsidP="005D5883">
      <w:pPr>
        <w:pStyle w:val="ListParagraph"/>
        <w:numPr>
          <w:ilvl w:val="0"/>
          <w:numId w:val="1"/>
        </w:numPr>
      </w:pPr>
      <w:r>
        <w:t>Tape not assembled the correct way. Tape falls off during travel and vibrations if assembled anywhere else apart from thermal break.</w:t>
      </w:r>
    </w:p>
    <w:p w:rsidR="00213FF1" w:rsidRDefault="00213FF1" w:rsidP="008B098B">
      <w:pPr>
        <w:rPr>
          <w:b/>
          <w:u w:val="single"/>
        </w:rPr>
      </w:pPr>
      <w:r>
        <w:rPr>
          <w:b/>
          <w:u w:val="single"/>
        </w:rPr>
        <w:t>Health &amp; Safety Assessment</w:t>
      </w:r>
    </w:p>
    <w:p w:rsidR="00341868" w:rsidRPr="00E11424" w:rsidRDefault="0011432C" w:rsidP="008B098B">
      <w:pPr>
        <w:pStyle w:val="ListParagraph"/>
        <w:numPr>
          <w:ilvl w:val="0"/>
          <w:numId w:val="1"/>
        </w:numPr>
      </w:pPr>
      <w:r>
        <w:t>Thermal caps difficult to fit – Workers taking of their gloves in order to insert them causing fingerprints and potential injuring from forcing them to fit.</w:t>
      </w:r>
      <w:r w:rsidR="00951985">
        <w:t xml:space="preserve"> It is important to design it correctly for an easy fit for the assembler. </w:t>
      </w:r>
    </w:p>
    <w:p w:rsidR="00F84BA7" w:rsidRDefault="00213FF1" w:rsidP="008B098B">
      <w:pPr>
        <w:rPr>
          <w:b/>
          <w:u w:val="single"/>
        </w:rPr>
      </w:pPr>
      <w:r>
        <w:rPr>
          <w:b/>
          <w:u w:val="single"/>
        </w:rPr>
        <w:t>Customer Driven</w:t>
      </w:r>
    </w:p>
    <w:p w:rsidR="00B10A7C" w:rsidRPr="002A69C6" w:rsidRDefault="00F84BA7" w:rsidP="00B10A7C">
      <w:r>
        <w:t xml:space="preserve">Liquid thermal break offered in the all seasons and stellar doors extrusions is a unique thermally broken extrusion Altus offers its customers. Due to the volume almost doubling in capacity since </w:t>
      </w:r>
      <w:r w:rsidR="00521298">
        <w:t>January</w:t>
      </w:r>
      <w:r>
        <w:t xml:space="preserve"> for stellar and all seasons, there is still a demand for </w:t>
      </w:r>
      <w:r w:rsidR="00521298">
        <w:t xml:space="preserve">it. Fabricators tend not to use the ends </w:t>
      </w:r>
      <w:r w:rsidR="00521298">
        <w:lastRenderedPageBreak/>
        <w:t xml:space="preserve">of extrusions and the last 50mm will be mitre cut and trimmed off having no significant impacts to the customer. </w:t>
      </w:r>
      <w:r>
        <w:t xml:space="preserve"> </w:t>
      </w:r>
      <w:r w:rsidR="00521298">
        <w:t xml:space="preserve">The extrusion will be processed </w:t>
      </w:r>
      <w:r w:rsidR="00973A3C">
        <w:t xml:space="preserve">the same on the customers end. </w:t>
      </w:r>
    </w:p>
    <w:p w:rsidR="002A69C6" w:rsidRPr="00E52D07" w:rsidRDefault="002A69C6" w:rsidP="002A69C6">
      <w:r>
        <w:rPr>
          <w:rFonts w:cs="Times New Roman"/>
          <w:b/>
          <w:sz w:val="24"/>
          <w:szCs w:val="32"/>
          <w:u w:val="single"/>
        </w:rPr>
        <w:t>Capital Expenditure</w:t>
      </w:r>
    </w:p>
    <w:tbl>
      <w:tblPr>
        <w:tblW w:w="9072" w:type="dxa"/>
        <w:tblInd w:w="108" w:type="dxa"/>
        <w:tblLook w:val="04A0" w:firstRow="1" w:lastRow="0" w:firstColumn="1" w:lastColumn="0" w:noHBand="0" w:noVBand="1"/>
      </w:tblPr>
      <w:tblGrid>
        <w:gridCol w:w="5812"/>
        <w:gridCol w:w="1559"/>
        <w:gridCol w:w="1701"/>
      </w:tblGrid>
      <w:tr w:rsidR="008F1CF0" w:rsidRPr="00544815" w:rsidTr="004A7296">
        <w:trPr>
          <w:trHeight w:val="315"/>
        </w:trPr>
        <w:tc>
          <w:tcPr>
            <w:tcW w:w="5812" w:type="dxa"/>
            <w:tcBorders>
              <w:top w:val="single" w:sz="8" w:space="0" w:color="auto"/>
              <w:left w:val="single" w:sz="8" w:space="0" w:color="auto"/>
              <w:bottom w:val="single" w:sz="8" w:space="0" w:color="666666"/>
              <w:right w:val="single" w:sz="8" w:space="0" w:color="666666"/>
            </w:tcBorders>
            <w:shd w:val="clear" w:color="000000" w:fill="CCCCCC"/>
            <w:vAlign w:val="center"/>
            <w:hideMark/>
          </w:tcPr>
          <w:p w:rsidR="002A69C6" w:rsidRPr="00EB4161" w:rsidRDefault="002A69C6" w:rsidP="004A7296">
            <w:pPr>
              <w:spacing w:after="0" w:line="240" w:lineRule="auto"/>
              <w:jc w:val="center"/>
              <w:rPr>
                <w:rFonts w:ascii="Calibri" w:eastAsia="Times New Roman" w:hAnsi="Calibri" w:cs="Calibri"/>
                <w:b/>
                <w:color w:val="000000"/>
                <w:lang w:eastAsia="en-NZ"/>
              </w:rPr>
            </w:pPr>
            <w:r w:rsidRPr="00EB4161">
              <w:rPr>
                <w:rFonts w:ascii="Calibri" w:eastAsia="Times New Roman" w:hAnsi="Calibri" w:cs="Times New Roman"/>
                <w:b/>
                <w:color w:val="000000"/>
                <w:szCs w:val="32"/>
                <w:lang w:eastAsia="en-NZ"/>
              </w:rPr>
              <w:t>Product</w:t>
            </w:r>
          </w:p>
        </w:tc>
        <w:tc>
          <w:tcPr>
            <w:tcW w:w="1559" w:type="dxa"/>
            <w:tcBorders>
              <w:top w:val="single" w:sz="8" w:space="0" w:color="auto"/>
              <w:left w:val="nil"/>
              <w:bottom w:val="single" w:sz="8" w:space="0" w:color="666666"/>
              <w:right w:val="single" w:sz="8" w:space="0" w:color="666666"/>
            </w:tcBorders>
            <w:shd w:val="clear" w:color="000000" w:fill="CCCCCC"/>
            <w:vAlign w:val="center"/>
            <w:hideMark/>
          </w:tcPr>
          <w:p w:rsidR="002A69C6" w:rsidRPr="00EB4161" w:rsidRDefault="002A69C6" w:rsidP="004A7296">
            <w:pPr>
              <w:spacing w:after="0" w:line="240" w:lineRule="auto"/>
              <w:jc w:val="center"/>
              <w:rPr>
                <w:rFonts w:ascii="Calibri" w:eastAsia="Times New Roman" w:hAnsi="Calibri" w:cs="Calibri"/>
                <w:b/>
                <w:color w:val="000000"/>
                <w:lang w:eastAsia="en-NZ"/>
              </w:rPr>
            </w:pPr>
            <w:r w:rsidRPr="00EB4161">
              <w:rPr>
                <w:rFonts w:ascii="Calibri" w:eastAsia="Times New Roman" w:hAnsi="Calibri" w:cs="Times New Roman"/>
                <w:b/>
                <w:color w:val="000000"/>
                <w:szCs w:val="32"/>
                <w:lang w:eastAsia="en-NZ"/>
              </w:rPr>
              <w:t>Company</w:t>
            </w:r>
          </w:p>
        </w:tc>
        <w:tc>
          <w:tcPr>
            <w:tcW w:w="1701" w:type="dxa"/>
            <w:tcBorders>
              <w:top w:val="single" w:sz="8" w:space="0" w:color="auto"/>
              <w:left w:val="nil"/>
              <w:bottom w:val="single" w:sz="8" w:space="0" w:color="666666"/>
              <w:right w:val="single" w:sz="8" w:space="0" w:color="auto"/>
            </w:tcBorders>
            <w:shd w:val="clear" w:color="000000" w:fill="CCCCCC"/>
            <w:vAlign w:val="center"/>
            <w:hideMark/>
          </w:tcPr>
          <w:p w:rsidR="002A69C6" w:rsidRPr="00EB4161" w:rsidRDefault="002A69C6" w:rsidP="004A7296">
            <w:pPr>
              <w:spacing w:after="0" w:line="240" w:lineRule="auto"/>
              <w:jc w:val="center"/>
              <w:rPr>
                <w:rFonts w:ascii="Calibri" w:eastAsia="Times New Roman" w:hAnsi="Calibri" w:cs="Calibri"/>
                <w:b/>
                <w:color w:val="000000"/>
                <w:lang w:eastAsia="en-NZ"/>
              </w:rPr>
            </w:pPr>
            <w:r w:rsidRPr="00EB4161">
              <w:rPr>
                <w:rFonts w:ascii="Calibri" w:eastAsia="Times New Roman" w:hAnsi="Calibri" w:cs="Times New Roman"/>
                <w:b/>
                <w:color w:val="000000"/>
                <w:szCs w:val="32"/>
                <w:lang w:eastAsia="en-NZ"/>
              </w:rPr>
              <w:t>Cost</w:t>
            </w:r>
          </w:p>
        </w:tc>
      </w:tr>
      <w:tr w:rsidR="008F1CF0" w:rsidRPr="00544815" w:rsidTr="004A7296">
        <w:trPr>
          <w:trHeight w:val="315"/>
        </w:trPr>
        <w:tc>
          <w:tcPr>
            <w:tcW w:w="5812" w:type="dxa"/>
            <w:tcBorders>
              <w:top w:val="nil"/>
              <w:left w:val="single" w:sz="8" w:space="0" w:color="auto"/>
              <w:bottom w:val="single" w:sz="8" w:space="0" w:color="666666"/>
              <w:right w:val="single" w:sz="8" w:space="0" w:color="666666"/>
            </w:tcBorders>
            <w:shd w:val="clear" w:color="auto" w:fill="auto"/>
            <w:vAlign w:val="center"/>
            <w:hideMark/>
          </w:tcPr>
          <w:p w:rsidR="002A69C6" w:rsidRPr="00EE578D" w:rsidRDefault="002A69C6" w:rsidP="00402A54">
            <w:r>
              <w:t xml:space="preserve">1 x </w:t>
            </w:r>
            <w:r w:rsidR="00402A54">
              <w:t>T</w:t>
            </w:r>
            <w:r>
              <w:t>ooling cost</w:t>
            </w:r>
          </w:p>
        </w:tc>
        <w:tc>
          <w:tcPr>
            <w:tcW w:w="1559" w:type="dxa"/>
            <w:tcBorders>
              <w:top w:val="nil"/>
              <w:left w:val="nil"/>
              <w:bottom w:val="single" w:sz="8" w:space="0" w:color="666666"/>
              <w:right w:val="single" w:sz="8" w:space="0" w:color="666666"/>
            </w:tcBorders>
            <w:shd w:val="clear" w:color="auto" w:fill="auto"/>
            <w:vAlign w:val="center"/>
            <w:hideMark/>
          </w:tcPr>
          <w:p w:rsidR="002A69C6" w:rsidRPr="00544815" w:rsidRDefault="002A69C6" w:rsidP="004A7296">
            <w:pPr>
              <w:spacing w:after="0" w:line="240" w:lineRule="auto"/>
              <w:jc w:val="center"/>
              <w:rPr>
                <w:rFonts w:ascii="Calibri" w:eastAsia="Times New Roman" w:hAnsi="Calibri" w:cs="Calibri"/>
                <w:color w:val="000000"/>
                <w:lang w:eastAsia="en-NZ"/>
              </w:rPr>
            </w:pPr>
            <w:proofErr w:type="spellStart"/>
            <w:r>
              <w:rPr>
                <w:rFonts w:ascii="Calibri" w:eastAsia="Times New Roman" w:hAnsi="Calibri" w:cs="Calibri"/>
                <w:color w:val="000000"/>
                <w:lang w:eastAsia="en-NZ"/>
              </w:rPr>
              <w:t>Sharpshifter</w:t>
            </w:r>
            <w:proofErr w:type="spellEnd"/>
            <w:r>
              <w:rPr>
                <w:rFonts w:ascii="Calibri" w:eastAsia="Times New Roman" w:hAnsi="Calibri" w:cs="Calibri"/>
                <w:color w:val="000000"/>
                <w:lang w:eastAsia="en-NZ"/>
              </w:rPr>
              <w:t xml:space="preserve"> Engineering</w:t>
            </w:r>
          </w:p>
        </w:tc>
        <w:tc>
          <w:tcPr>
            <w:tcW w:w="1701" w:type="dxa"/>
            <w:tcBorders>
              <w:top w:val="nil"/>
              <w:left w:val="nil"/>
              <w:bottom w:val="single" w:sz="8" w:space="0" w:color="666666"/>
              <w:right w:val="single" w:sz="8" w:space="0" w:color="auto"/>
            </w:tcBorders>
            <w:shd w:val="clear" w:color="auto" w:fill="auto"/>
            <w:vAlign w:val="center"/>
            <w:hideMark/>
          </w:tcPr>
          <w:p w:rsidR="002A69C6" w:rsidRPr="00544815" w:rsidRDefault="0068671C" w:rsidP="004A7296">
            <w:pPr>
              <w:spacing w:after="0" w:line="240" w:lineRule="auto"/>
              <w:jc w:val="right"/>
              <w:rPr>
                <w:rFonts w:ascii="Calibri" w:eastAsia="Times New Roman" w:hAnsi="Calibri" w:cs="Calibri"/>
                <w:color w:val="000000"/>
                <w:lang w:eastAsia="en-NZ"/>
              </w:rPr>
            </w:pPr>
            <w:r>
              <w:rPr>
                <w:rFonts w:ascii="Calibri" w:eastAsia="Times New Roman" w:hAnsi="Calibri" w:cs="Calibri"/>
                <w:color w:val="000000"/>
                <w:lang w:eastAsia="en-NZ"/>
              </w:rPr>
              <w:t>$</w:t>
            </w:r>
          </w:p>
        </w:tc>
      </w:tr>
      <w:tr w:rsidR="008F1CF0" w:rsidRPr="00544815" w:rsidTr="004A7296">
        <w:trPr>
          <w:trHeight w:val="315"/>
        </w:trPr>
        <w:tc>
          <w:tcPr>
            <w:tcW w:w="5812" w:type="dxa"/>
            <w:tcBorders>
              <w:top w:val="nil"/>
              <w:left w:val="single" w:sz="8" w:space="0" w:color="auto"/>
              <w:bottom w:val="single" w:sz="8" w:space="0" w:color="666666"/>
              <w:right w:val="single" w:sz="8" w:space="0" w:color="666666"/>
            </w:tcBorders>
            <w:shd w:val="clear" w:color="auto" w:fill="D0CECE" w:themeFill="background2" w:themeFillShade="E6"/>
            <w:vAlign w:val="center"/>
          </w:tcPr>
          <w:p w:rsidR="002A69C6" w:rsidRDefault="002A69C6" w:rsidP="004A7296"/>
        </w:tc>
        <w:tc>
          <w:tcPr>
            <w:tcW w:w="1559" w:type="dxa"/>
            <w:tcBorders>
              <w:top w:val="nil"/>
              <w:left w:val="nil"/>
              <w:bottom w:val="single" w:sz="8" w:space="0" w:color="666666"/>
              <w:right w:val="single" w:sz="8" w:space="0" w:color="666666"/>
            </w:tcBorders>
            <w:shd w:val="clear" w:color="auto" w:fill="D0CECE" w:themeFill="background2" w:themeFillShade="E6"/>
            <w:vAlign w:val="center"/>
          </w:tcPr>
          <w:p w:rsidR="008F1CF0" w:rsidRDefault="008F1CF0" w:rsidP="004A7296">
            <w:pPr>
              <w:spacing w:after="0" w:line="240" w:lineRule="auto"/>
              <w:jc w:val="center"/>
              <w:rPr>
                <w:rFonts w:ascii="Calibri" w:eastAsia="Times New Roman" w:hAnsi="Calibri" w:cs="Calibri"/>
                <w:color w:val="000000"/>
                <w:lang w:eastAsia="en-NZ"/>
              </w:rPr>
            </w:pPr>
            <w:proofErr w:type="spellStart"/>
            <w:r>
              <w:rPr>
                <w:rFonts w:ascii="Calibri" w:eastAsia="Times New Roman" w:hAnsi="Calibri" w:cs="Calibri"/>
                <w:color w:val="000000"/>
                <w:lang w:eastAsia="en-NZ"/>
              </w:rPr>
              <w:t>Sharpshifter</w:t>
            </w:r>
            <w:proofErr w:type="spellEnd"/>
          </w:p>
          <w:p w:rsidR="002A69C6" w:rsidRPr="00544815" w:rsidRDefault="002A69C6" w:rsidP="004A7296">
            <w:pPr>
              <w:spacing w:after="0" w:line="240" w:lineRule="auto"/>
              <w:jc w:val="center"/>
              <w:rPr>
                <w:rFonts w:ascii="Calibri" w:eastAsia="Times New Roman" w:hAnsi="Calibri" w:cs="Times New Roman"/>
                <w:color w:val="000000"/>
                <w:szCs w:val="32"/>
                <w:lang w:eastAsia="en-NZ"/>
              </w:rPr>
            </w:pPr>
            <w:r>
              <w:rPr>
                <w:rFonts w:ascii="Calibri" w:eastAsia="Times New Roman" w:hAnsi="Calibri" w:cs="Calibri"/>
                <w:color w:val="000000"/>
                <w:lang w:eastAsia="en-NZ"/>
              </w:rPr>
              <w:t>Engineering</w:t>
            </w:r>
          </w:p>
        </w:tc>
        <w:tc>
          <w:tcPr>
            <w:tcW w:w="1701" w:type="dxa"/>
            <w:tcBorders>
              <w:top w:val="nil"/>
              <w:left w:val="nil"/>
              <w:bottom w:val="single" w:sz="8" w:space="0" w:color="666666"/>
              <w:right w:val="single" w:sz="8" w:space="0" w:color="auto"/>
            </w:tcBorders>
            <w:shd w:val="clear" w:color="auto" w:fill="D0CECE" w:themeFill="background2" w:themeFillShade="E6"/>
            <w:vAlign w:val="center"/>
          </w:tcPr>
          <w:p w:rsidR="002A69C6" w:rsidRPr="00544815" w:rsidRDefault="0068671C" w:rsidP="004A7296">
            <w:pPr>
              <w:spacing w:after="0" w:line="240" w:lineRule="auto"/>
              <w:jc w:val="right"/>
              <w:rPr>
                <w:rFonts w:ascii="Calibri" w:eastAsia="Times New Roman" w:hAnsi="Calibri" w:cs="Calibri"/>
                <w:color w:val="000000"/>
                <w:lang w:eastAsia="en-NZ"/>
              </w:rPr>
            </w:pPr>
            <w:r>
              <w:rPr>
                <w:rFonts w:ascii="Calibri" w:eastAsia="Times New Roman" w:hAnsi="Calibri" w:cs="Calibri"/>
                <w:color w:val="000000"/>
                <w:lang w:eastAsia="en-NZ"/>
              </w:rPr>
              <w:t>$</w:t>
            </w:r>
          </w:p>
        </w:tc>
      </w:tr>
      <w:tr w:rsidR="008F1CF0" w:rsidRPr="00544815" w:rsidTr="004A7296">
        <w:trPr>
          <w:trHeight w:val="315"/>
        </w:trPr>
        <w:tc>
          <w:tcPr>
            <w:tcW w:w="5812" w:type="dxa"/>
            <w:tcBorders>
              <w:top w:val="single" w:sz="8" w:space="0" w:color="auto"/>
              <w:left w:val="single" w:sz="8" w:space="0" w:color="auto"/>
              <w:bottom w:val="single" w:sz="8" w:space="0" w:color="auto"/>
              <w:right w:val="nil"/>
            </w:tcBorders>
            <w:shd w:val="clear" w:color="auto" w:fill="D0CECE" w:themeFill="background2" w:themeFillShade="E6"/>
            <w:vAlign w:val="center"/>
            <w:hideMark/>
          </w:tcPr>
          <w:p w:rsidR="002A69C6" w:rsidRPr="00544815" w:rsidRDefault="002A69C6" w:rsidP="004A7296">
            <w:pPr>
              <w:spacing w:after="0" w:line="240" w:lineRule="auto"/>
              <w:jc w:val="both"/>
              <w:rPr>
                <w:rFonts w:ascii="Calibri" w:eastAsia="Times New Roman" w:hAnsi="Calibri" w:cs="Calibri"/>
                <w:b/>
                <w:bCs/>
                <w:color w:val="000000"/>
                <w:lang w:eastAsia="en-NZ"/>
              </w:rPr>
            </w:pPr>
            <w:r w:rsidRPr="00544815">
              <w:rPr>
                <w:rFonts w:ascii="Calibri" w:eastAsia="Times New Roman" w:hAnsi="Calibri" w:cs="Times New Roman"/>
                <w:b/>
                <w:bCs/>
                <w:color w:val="000000"/>
                <w:szCs w:val="32"/>
                <w:lang w:eastAsia="en-NZ"/>
              </w:rPr>
              <w:t>Total</w:t>
            </w:r>
          </w:p>
        </w:tc>
        <w:tc>
          <w:tcPr>
            <w:tcW w:w="1559" w:type="dxa"/>
            <w:tcBorders>
              <w:top w:val="single" w:sz="8" w:space="0" w:color="auto"/>
              <w:left w:val="nil"/>
              <w:bottom w:val="single" w:sz="8" w:space="0" w:color="auto"/>
              <w:right w:val="nil"/>
            </w:tcBorders>
            <w:shd w:val="clear" w:color="auto" w:fill="D0CECE" w:themeFill="background2" w:themeFillShade="E6"/>
            <w:vAlign w:val="center"/>
            <w:hideMark/>
          </w:tcPr>
          <w:p w:rsidR="002A69C6" w:rsidRPr="00544815" w:rsidRDefault="002A69C6" w:rsidP="004A7296">
            <w:pPr>
              <w:spacing w:after="0" w:line="240" w:lineRule="auto"/>
              <w:jc w:val="center"/>
              <w:rPr>
                <w:rFonts w:ascii="Calibri" w:eastAsia="Times New Roman" w:hAnsi="Calibri" w:cs="Calibri"/>
                <w:b/>
                <w:bCs/>
                <w:color w:val="000000"/>
                <w:lang w:eastAsia="en-NZ"/>
              </w:rPr>
            </w:pPr>
            <w:r w:rsidRPr="00544815">
              <w:rPr>
                <w:rFonts w:ascii="Calibri" w:eastAsia="Times New Roman" w:hAnsi="Calibri" w:cs="Times New Roman"/>
                <w:b/>
                <w:bCs/>
                <w:color w:val="000000"/>
                <w:szCs w:val="32"/>
                <w:lang w:eastAsia="en-NZ"/>
              </w:rPr>
              <w:t> </w:t>
            </w:r>
          </w:p>
        </w:tc>
        <w:tc>
          <w:tcPr>
            <w:tcW w:w="1701" w:type="dxa"/>
            <w:tcBorders>
              <w:top w:val="single" w:sz="8" w:space="0" w:color="auto"/>
              <w:left w:val="nil"/>
              <w:bottom w:val="single" w:sz="8" w:space="0" w:color="auto"/>
              <w:right w:val="single" w:sz="8" w:space="0" w:color="auto"/>
            </w:tcBorders>
            <w:shd w:val="clear" w:color="auto" w:fill="D0CECE" w:themeFill="background2" w:themeFillShade="E6"/>
            <w:vAlign w:val="center"/>
            <w:hideMark/>
          </w:tcPr>
          <w:p w:rsidR="002A69C6" w:rsidRPr="00544815" w:rsidRDefault="002A69C6" w:rsidP="004A7296">
            <w:pPr>
              <w:spacing w:after="0" w:line="240" w:lineRule="auto"/>
              <w:jc w:val="right"/>
              <w:rPr>
                <w:rFonts w:ascii="Calibri" w:eastAsia="Times New Roman" w:hAnsi="Calibri" w:cs="Calibri"/>
                <w:b/>
                <w:bCs/>
                <w:color w:val="000000"/>
                <w:lang w:eastAsia="en-NZ"/>
              </w:rPr>
            </w:pPr>
            <w:r>
              <w:rPr>
                <w:rFonts w:ascii="Calibri" w:eastAsia="Times New Roman" w:hAnsi="Calibri" w:cs="Calibri"/>
                <w:b/>
                <w:bCs/>
                <w:color w:val="000000"/>
                <w:lang w:eastAsia="en-NZ"/>
              </w:rPr>
              <w:t>$</w:t>
            </w:r>
          </w:p>
        </w:tc>
      </w:tr>
    </w:tbl>
    <w:p w:rsidR="0068671C" w:rsidRDefault="002A69C6" w:rsidP="002A69C6">
      <w:r w:rsidRPr="0061389C">
        <w:t>No extra engineering costs will be required after the initial payment</w:t>
      </w:r>
      <w:r>
        <w:t xml:space="preserve">. </w:t>
      </w:r>
    </w:p>
    <w:p w:rsidR="002A69C6" w:rsidRDefault="002A69C6" w:rsidP="002A69C6">
      <w:pPr>
        <w:rPr>
          <w:b/>
          <w:u w:val="single"/>
        </w:rPr>
      </w:pPr>
      <w:r>
        <w:rPr>
          <w:b/>
          <w:u w:val="single"/>
        </w:rPr>
        <w:t>Financial Justification</w:t>
      </w:r>
    </w:p>
    <w:p w:rsidR="002A69C6" w:rsidRPr="00E11424" w:rsidRDefault="00E11424" w:rsidP="002A69C6">
      <w:r>
        <w:t xml:space="preserve">Reducing machine prep time/sorting time is a crucial </w:t>
      </w:r>
      <w:r w:rsidR="00F16E5A">
        <w:t>to decrease the amount of dead time on th</w:t>
      </w:r>
      <w:r w:rsidR="009C1504">
        <w:t xml:space="preserve">e thermal break machine. </w:t>
      </w:r>
    </w:p>
    <w:p w:rsidR="00F84BA7" w:rsidRDefault="00213FF1" w:rsidP="008B098B">
      <w:pPr>
        <w:rPr>
          <w:b/>
          <w:u w:val="single"/>
        </w:rPr>
      </w:pPr>
      <w:r>
        <w:rPr>
          <w:b/>
          <w:u w:val="single"/>
        </w:rPr>
        <w:t>Operational Justification</w:t>
      </w:r>
    </w:p>
    <w:p w:rsidR="008F1CF0" w:rsidRDefault="008F1CF0" w:rsidP="008F1CF0">
      <w:pPr>
        <w:jc w:val="center"/>
      </w:pPr>
      <w:r>
        <w:rPr>
          <w:noProof/>
        </w:rPr>
        <w:drawing>
          <wp:inline distT="0" distB="0" distL="0" distR="0" wp14:anchorId="77EBDDE8" wp14:editId="2EACF821">
            <wp:extent cx="3838575" cy="20288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24649" w:rsidRDefault="00F84BA7" w:rsidP="008B098B">
      <w:r>
        <w:t xml:space="preserve">Due to the volume increasing in </w:t>
      </w:r>
      <w:proofErr w:type="spellStart"/>
      <w:r>
        <w:t>Te</w:t>
      </w:r>
      <w:proofErr w:type="spellEnd"/>
      <w:r>
        <w:t xml:space="preserve">-Rapa, areas </w:t>
      </w:r>
      <w:r w:rsidR="00402A54">
        <w:t>that can be</w:t>
      </w:r>
      <w:r>
        <w:t xml:space="preserve"> improve</w:t>
      </w:r>
      <w:r w:rsidR="00402A54">
        <w:t>d</w:t>
      </w:r>
      <w:r>
        <w:t xml:space="preserve"> need to be addressed in order to meet future production volumes.</w:t>
      </w:r>
      <w:r w:rsidR="00AB6710">
        <w:t xml:space="preserve"> With additions of </w:t>
      </w:r>
      <w:r w:rsidR="00E35DDC">
        <w:t>t</w:t>
      </w:r>
      <w:r w:rsidR="00AB6710">
        <w:t>hermal caps, the capping process can be done at any point after it has been powder coated at the VPL.</w:t>
      </w:r>
      <w:r w:rsidR="00E35DDC">
        <w:t xml:space="preserve"> Due to the simp</w:t>
      </w:r>
      <w:r w:rsidR="002A69C6">
        <w:t xml:space="preserve">lified process, time is saved at the thermal break by reducing a step entirely in the prepping process. </w:t>
      </w:r>
    </w:p>
    <w:p w:rsidR="00F96876" w:rsidRPr="000276BC" w:rsidRDefault="00F96876" w:rsidP="00F96876">
      <w:pPr>
        <w:rPr>
          <w:b/>
        </w:rPr>
      </w:pPr>
      <w:r w:rsidRPr="000276BC">
        <w:rPr>
          <w:b/>
        </w:rPr>
        <w:t>Volume</w:t>
      </w:r>
    </w:p>
    <w:p w:rsidR="00F96876" w:rsidRDefault="00F96876" w:rsidP="00F96876">
      <w:pPr>
        <w:jc w:val="center"/>
      </w:pPr>
      <w:r>
        <w:rPr>
          <w:noProof/>
        </w:rPr>
        <w:drawing>
          <wp:inline distT="0" distB="0" distL="0" distR="0">
            <wp:extent cx="2041746" cy="1013003"/>
            <wp:effectExtent l="0" t="0" r="0" b="0"/>
            <wp:docPr id="10" name="Picture 10" descr="Thermal Break Volume Jan-m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rmal Break Volume Jan-ma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5779" cy="1019965"/>
                    </a:xfrm>
                    <a:prstGeom prst="rect">
                      <a:avLst/>
                    </a:prstGeom>
                    <a:noFill/>
                    <a:ln>
                      <a:noFill/>
                    </a:ln>
                  </pic:spPr>
                </pic:pic>
              </a:graphicData>
            </a:graphic>
          </wp:inline>
        </w:drawing>
      </w:r>
    </w:p>
    <w:p w:rsidR="00F96876" w:rsidRDefault="00F96876" w:rsidP="00F96876">
      <w:r>
        <w:t xml:space="preserve">Pieces for 1 </w:t>
      </w:r>
      <w:proofErr w:type="gramStart"/>
      <w:r>
        <w:t>month</w:t>
      </w:r>
      <w:proofErr w:type="gramEnd"/>
      <w:r>
        <w:br/>
        <w:t>(1926*2)-(363*4)= 3,126singles</w:t>
      </w:r>
      <w:r>
        <w:br/>
        <w:t>363*4=1,452doubles</w:t>
      </w:r>
      <w:r>
        <w:br/>
        <w:t>54,936 pieced per year</w:t>
      </w:r>
    </w:p>
    <w:p w:rsidR="00442A4E" w:rsidRPr="008B098B" w:rsidRDefault="00F96876" w:rsidP="008B098B">
      <w:r>
        <w:t>55,000 piece</w:t>
      </w:r>
      <w:r w:rsidR="00580607">
        <w:t xml:space="preserve">s per year needed from the </w:t>
      </w:r>
      <w:proofErr w:type="spellStart"/>
      <w:r w:rsidR="00580607">
        <w:t>mold</w:t>
      </w:r>
      <w:bookmarkStart w:id="0" w:name="_GoBack"/>
      <w:bookmarkEnd w:id="0"/>
      <w:proofErr w:type="spellEnd"/>
    </w:p>
    <w:sectPr w:rsidR="00442A4E" w:rsidRPr="008B098B" w:rsidSect="008B098B">
      <w:headerReference w:type="default" r:id="rId16"/>
      <w:foot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0867" w:rsidRDefault="00E40867" w:rsidP="008B098B">
      <w:pPr>
        <w:spacing w:after="0" w:line="240" w:lineRule="auto"/>
      </w:pPr>
      <w:r>
        <w:separator/>
      </w:r>
    </w:p>
  </w:endnote>
  <w:endnote w:type="continuationSeparator" w:id="0">
    <w:p w:rsidR="00E40867" w:rsidRDefault="00E40867" w:rsidP="008B0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206721"/>
      <w:docPartObj>
        <w:docPartGallery w:val="Page Numbers (Bottom of Page)"/>
        <w:docPartUnique/>
      </w:docPartObj>
    </w:sdtPr>
    <w:sdtEndPr>
      <w:rPr>
        <w:color w:val="7F7F7F" w:themeColor="background1" w:themeShade="7F"/>
        <w:spacing w:val="60"/>
      </w:rPr>
    </w:sdtEndPr>
    <w:sdtContent>
      <w:p w:rsidR="00F16E5A" w:rsidRDefault="00F16E5A">
        <w:pPr>
          <w:pStyle w:val="Footer"/>
          <w:pBdr>
            <w:top w:val="single" w:sz="4" w:space="1" w:color="D9D9D9" w:themeColor="background1" w:themeShade="D9"/>
          </w:pBdr>
          <w:jc w:val="right"/>
        </w:pPr>
        <w:r>
          <w:fldChar w:fldCharType="begin"/>
        </w:r>
        <w:r>
          <w:instrText xml:space="preserve"> PAGE   \* MERGEFORMAT </w:instrText>
        </w:r>
        <w:r>
          <w:fldChar w:fldCharType="separate"/>
        </w:r>
        <w:r w:rsidR="00580607">
          <w:rPr>
            <w:noProof/>
          </w:rPr>
          <w:t>4</w:t>
        </w:r>
        <w:r>
          <w:rPr>
            <w:noProof/>
          </w:rPr>
          <w:fldChar w:fldCharType="end"/>
        </w:r>
        <w:r>
          <w:t xml:space="preserve"> | </w:t>
        </w:r>
        <w:r>
          <w:rPr>
            <w:color w:val="7F7F7F" w:themeColor="background1" w:themeShade="7F"/>
            <w:spacing w:val="60"/>
          </w:rPr>
          <w:t>Page</w:t>
        </w:r>
      </w:p>
    </w:sdtContent>
  </w:sdt>
  <w:p w:rsidR="00F16E5A" w:rsidRDefault="00F16E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0867" w:rsidRDefault="00E40867" w:rsidP="008B098B">
      <w:pPr>
        <w:spacing w:after="0" w:line="240" w:lineRule="auto"/>
      </w:pPr>
      <w:r>
        <w:separator/>
      </w:r>
    </w:p>
  </w:footnote>
  <w:footnote w:type="continuationSeparator" w:id="0">
    <w:p w:rsidR="00E40867" w:rsidRDefault="00E40867" w:rsidP="008B09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98B" w:rsidRDefault="008B098B" w:rsidP="008B098B">
    <w:pPr>
      <w:pStyle w:val="Header"/>
      <w:jc w:val="right"/>
    </w:pPr>
    <w:r>
      <w:rPr>
        <w:noProof/>
      </w:rPr>
      <w:drawing>
        <wp:inline distT="0" distB="0" distL="0" distR="0" wp14:anchorId="5CABB1A7" wp14:editId="41CB3AC5">
          <wp:extent cx="1600200" cy="42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6795" cy="43307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A13C9B"/>
    <w:multiLevelType w:val="hybridMultilevel"/>
    <w:tmpl w:val="E3304C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52B"/>
    <w:rsid w:val="000276BC"/>
    <w:rsid w:val="00066D66"/>
    <w:rsid w:val="000E1B68"/>
    <w:rsid w:val="00100F67"/>
    <w:rsid w:val="0011432C"/>
    <w:rsid w:val="00114D20"/>
    <w:rsid w:val="001263A2"/>
    <w:rsid w:val="00133B29"/>
    <w:rsid w:val="00174316"/>
    <w:rsid w:val="00213FF1"/>
    <w:rsid w:val="00224649"/>
    <w:rsid w:val="00240AD1"/>
    <w:rsid w:val="00261450"/>
    <w:rsid w:val="00280CE0"/>
    <w:rsid w:val="0029352B"/>
    <w:rsid w:val="002A69C6"/>
    <w:rsid w:val="002F5223"/>
    <w:rsid w:val="00341868"/>
    <w:rsid w:val="003C6CCD"/>
    <w:rsid w:val="003E708D"/>
    <w:rsid w:val="00402A54"/>
    <w:rsid w:val="00416FCD"/>
    <w:rsid w:val="00442A4E"/>
    <w:rsid w:val="00453880"/>
    <w:rsid w:val="004E4E1A"/>
    <w:rsid w:val="0051491B"/>
    <w:rsid w:val="00521298"/>
    <w:rsid w:val="00530180"/>
    <w:rsid w:val="0057560C"/>
    <w:rsid w:val="00580607"/>
    <w:rsid w:val="005C70BB"/>
    <w:rsid w:val="005D5883"/>
    <w:rsid w:val="006433CD"/>
    <w:rsid w:val="00661FA2"/>
    <w:rsid w:val="0068671C"/>
    <w:rsid w:val="00694998"/>
    <w:rsid w:val="00736743"/>
    <w:rsid w:val="00792CF3"/>
    <w:rsid w:val="007B2E44"/>
    <w:rsid w:val="007D6278"/>
    <w:rsid w:val="00801E48"/>
    <w:rsid w:val="00854694"/>
    <w:rsid w:val="008600CC"/>
    <w:rsid w:val="00882C05"/>
    <w:rsid w:val="008B098B"/>
    <w:rsid w:val="008F1CF0"/>
    <w:rsid w:val="008F217B"/>
    <w:rsid w:val="00927C6B"/>
    <w:rsid w:val="00951985"/>
    <w:rsid w:val="00962DFE"/>
    <w:rsid w:val="00965591"/>
    <w:rsid w:val="00973A3C"/>
    <w:rsid w:val="009A11E8"/>
    <w:rsid w:val="009C1504"/>
    <w:rsid w:val="00A05481"/>
    <w:rsid w:val="00A13F4D"/>
    <w:rsid w:val="00A171E7"/>
    <w:rsid w:val="00A4136C"/>
    <w:rsid w:val="00AB6710"/>
    <w:rsid w:val="00AC44A9"/>
    <w:rsid w:val="00AE398D"/>
    <w:rsid w:val="00AE627F"/>
    <w:rsid w:val="00B10A7C"/>
    <w:rsid w:val="00B5018F"/>
    <w:rsid w:val="00B552FC"/>
    <w:rsid w:val="00B728A4"/>
    <w:rsid w:val="00B73616"/>
    <w:rsid w:val="00B74018"/>
    <w:rsid w:val="00B74168"/>
    <w:rsid w:val="00B77AF2"/>
    <w:rsid w:val="00BA1B15"/>
    <w:rsid w:val="00C60C29"/>
    <w:rsid w:val="00C80FDA"/>
    <w:rsid w:val="00C91293"/>
    <w:rsid w:val="00CF2F78"/>
    <w:rsid w:val="00D004BC"/>
    <w:rsid w:val="00D23F47"/>
    <w:rsid w:val="00D4497D"/>
    <w:rsid w:val="00D92030"/>
    <w:rsid w:val="00E11424"/>
    <w:rsid w:val="00E35DDC"/>
    <w:rsid w:val="00E40867"/>
    <w:rsid w:val="00E713B7"/>
    <w:rsid w:val="00EB55C0"/>
    <w:rsid w:val="00F16E5A"/>
    <w:rsid w:val="00F765D7"/>
    <w:rsid w:val="00F84BA7"/>
    <w:rsid w:val="00F96876"/>
    <w:rsid w:val="00FB1493"/>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151BB"/>
  <w15:chartTrackingRefBased/>
  <w15:docId w15:val="{295D5305-19DF-4246-9806-975EA2AEB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09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098B"/>
  </w:style>
  <w:style w:type="paragraph" w:styleId="Footer">
    <w:name w:val="footer"/>
    <w:basedOn w:val="Normal"/>
    <w:link w:val="FooterChar"/>
    <w:uiPriority w:val="99"/>
    <w:unhideWhenUsed/>
    <w:rsid w:val="008B09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98B"/>
  </w:style>
  <w:style w:type="paragraph" w:styleId="ListParagraph">
    <w:name w:val="List Paragraph"/>
    <w:basedOn w:val="Normal"/>
    <w:uiPriority w:val="34"/>
    <w:qFormat/>
    <w:rsid w:val="008B098B"/>
    <w:pPr>
      <w:ind w:left="720"/>
      <w:contextualSpacing/>
    </w:pPr>
  </w:style>
  <w:style w:type="table" w:styleId="TableGrid">
    <w:name w:val="Table Grid"/>
    <w:basedOn w:val="TableNormal"/>
    <w:uiPriority w:val="39"/>
    <w:rsid w:val="00224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4.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co.wells\Desktop\ThermalCap\thermalcapz.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rco.wells\Desktop\ThermalCap\thermalcapz.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rco.wells\Desktop\ThermalCap\thermalcapz.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Stellar Doors Thermal</a:t>
            </a:r>
            <a:r>
              <a:rPr lang="en-NZ" baseline="0"/>
              <a:t> Channel Sizes</a:t>
            </a:r>
            <a:endParaRPr lang="en-N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Sheet1!$A$50:$A$54</c:f>
              <c:strCache>
                <c:ptCount val="5"/>
                <c:pt idx="0">
                  <c:v>Frequency 10.8/7</c:v>
                </c:pt>
                <c:pt idx="1">
                  <c:v>Frequency 10.2/5</c:v>
                </c:pt>
                <c:pt idx="2">
                  <c:v>Frequency 14.8/6.8</c:v>
                </c:pt>
                <c:pt idx="3">
                  <c:v>Frequency 18.2/6.8</c:v>
                </c:pt>
                <c:pt idx="4">
                  <c:v>Frequency 10.8/5</c:v>
                </c:pt>
              </c:strCache>
            </c:strRef>
          </c:cat>
          <c:val>
            <c:numRef>
              <c:f>Sheet1!$B$50:$B$54</c:f>
              <c:numCache>
                <c:formatCode>General</c:formatCode>
                <c:ptCount val="5"/>
                <c:pt idx="0">
                  <c:v>12</c:v>
                </c:pt>
                <c:pt idx="1">
                  <c:v>2</c:v>
                </c:pt>
                <c:pt idx="2">
                  <c:v>1</c:v>
                </c:pt>
                <c:pt idx="3">
                  <c:v>1</c:v>
                </c:pt>
                <c:pt idx="4">
                  <c:v>2</c:v>
                </c:pt>
              </c:numCache>
            </c:numRef>
          </c:val>
          <c:extLst>
            <c:ext xmlns:c16="http://schemas.microsoft.com/office/drawing/2014/chart" uri="{C3380CC4-5D6E-409C-BE32-E72D297353CC}">
              <c16:uniqueId val="{00000000-CBB9-4724-BC31-B32878445F98}"/>
            </c:ext>
          </c:extLst>
        </c:ser>
        <c:dLbls>
          <c:showLegendKey val="0"/>
          <c:showVal val="0"/>
          <c:showCatName val="0"/>
          <c:showSerName val="0"/>
          <c:showPercent val="0"/>
          <c:showBubbleSize val="0"/>
        </c:dLbls>
        <c:gapWidth val="219"/>
        <c:overlap val="-27"/>
        <c:axId val="1664329663"/>
        <c:axId val="1664328831"/>
      </c:barChart>
      <c:catAx>
        <c:axId val="16643296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4328831"/>
        <c:crosses val="autoZero"/>
        <c:auto val="1"/>
        <c:lblAlgn val="ctr"/>
        <c:lblOffset val="100"/>
        <c:noMultiLvlLbl val="0"/>
      </c:catAx>
      <c:valAx>
        <c:axId val="1664328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43296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All Seasons Thermal</a:t>
            </a:r>
            <a:r>
              <a:rPr lang="en-NZ" baseline="0"/>
              <a:t> Channel Sizes</a:t>
            </a:r>
            <a:endParaRPr lang="en-N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Sheet1!$J$45:$J$51</c:f>
              <c:strCache>
                <c:ptCount val="7"/>
                <c:pt idx="0">
                  <c:v>Frequency 10.8/7</c:v>
                </c:pt>
                <c:pt idx="1">
                  <c:v>Frequency 10.8/6.8</c:v>
                </c:pt>
                <c:pt idx="2">
                  <c:v>Frequency 12.2572/6.2928</c:v>
                </c:pt>
                <c:pt idx="3">
                  <c:v>Frequency 11.3/6</c:v>
                </c:pt>
                <c:pt idx="4">
                  <c:v>Frequency 11.9/6</c:v>
                </c:pt>
                <c:pt idx="5">
                  <c:v>Frequency 10.8/6.8</c:v>
                </c:pt>
                <c:pt idx="6">
                  <c:v>Frequency 12.5/6.3</c:v>
                </c:pt>
              </c:strCache>
            </c:strRef>
          </c:cat>
          <c:val>
            <c:numRef>
              <c:f>Sheet1!$K$45:$K$51</c:f>
              <c:numCache>
                <c:formatCode>General</c:formatCode>
                <c:ptCount val="7"/>
                <c:pt idx="0">
                  <c:v>33</c:v>
                </c:pt>
                <c:pt idx="1">
                  <c:v>24</c:v>
                </c:pt>
                <c:pt idx="2">
                  <c:v>7</c:v>
                </c:pt>
                <c:pt idx="3">
                  <c:v>4</c:v>
                </c:pt>
                <c:pt idx="4">
                  <c:v>1</c:v>
                </c:pt>
                <c:pt idx="5">
                  <c:v>1</c:v>
                </c:pt>
                <c:pt idx="6">
                  <c:v>1</c:v>
                </c:pt>
              </c:numCache>
            </c:numRef>
          </c:val>
          <c:extLst>
            <c:ext xmlns:c16="http://schemas.microsoft.com/office/drawing/2014/chart" uri="{C3380CC4-5D6E-409C-BE32-E72D297353CC}">
              <c16:uniqueId val="{00000000-8DF7-47E8-8DA2-B634A5173BA9}"/>
            </c:ext>
          </c:extLst>
        </c:ser>
        <c:dLbls>
          <c:showLegendKey val="0"/>
          <c:showVal val="0"/>
          <c:showCatName val="0"/>
          <c:showSerName val="0"/>
          <c:showPercent val="0"/>
          <c:showBubbleSize val="0"/>
        </c:dLbls>
        <c:gapWidth val="219"/>
        <c:overlap val="-27"/>
        <c:axId val="1733096815"/>
        <c:axId val="1733097231"/>
      </c:barChart>
      <c:catAx>
        <c:axId val="1733096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3097231"/>
        <c:crosses val="autoZero"/>
        <c:auto val="1"/>
        <c:lblAlgn val="ctr"/>
        <c:lblOffset val="100"/>
        <c:noMultiLvlLbl val="0"/>
      </c:catAx>
      <c:valAx>
        <c:axId val="1733097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30968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Te-Rapa</a:t>
            </a:r>
            <a:r>
              <a:rPr lang="en-NZ" baseline="0"/>
              <a:t> Thermal Channel Sizes (Stellar &amp; All Seasons Combined)</a:t>
            </a:r>
            <a:endParaRPr lang="en-N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15A-4E01-8544-2D5309AA06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15A-4E01-8544-2D5309AA06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15A-4E01-8544-2D5309AA06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Sheet1!$J$57:$J$59</c:f>
              <c:strCache>
                <c:ptCount val="3"/>
                <c:pt idx="0">
                  <c:v>10.8mm x 7mm</c:v>
                </c:pt>
                <c:pt idx="1">
                  <c:v>10.8mm x 6.8mm</c:v>
                </c:pt>
                <c:pt idx="2">
                  <c:v>Other sizes</c:v>
                </c:pt>
              </c:strCache>
            </c:strRef>
          </c:cat>
          <c:val>
            <c:numRef>
              <c:f>Sheet1!$K$57:$K$59</c:f>
              <c:numCache>
                <c:formatCode>0%</c:formatCode>
                <c:ptCount val="3"/>
                <c:pt idx="0" formatCode="0.00%">
                  <c:v>0.5056179775280899</c:v>
                </c:pt>
                <c:pt idx="1">
                  <c:v>0.2696629213483146</c:v>
                </c:pt>
                <c:pt idx="2">
                  <c:v>0.2247191011235955</c:v>
                </c:pt>
              </c:numCache>
            </c:numRef>
          </c:val>
          <c:extLst>
            <c:ext xmlns:c16="http://schemas.microsoft.com/office/drawing/2014/chart" uri="{C3380CC4-5D6E-409C-BE32-E72D297353CC}">
              <c16:uniqueId val="{00000006-715A-4E01-8544-2D5309AA069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Thermal</a:t>
            </a:r>
            <a:r>
              <a:rPr lang="en-NZ" baseline="0"/>
              <a:t> Break Volume (Jan-21-May-21)</a:t>
            </a:r>
            <a:endParaRPr lang="en-N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Singles</c:v>
                </c:pt>
              </c:strCache>
            </c:strRef>
          </c:tx>
          <c:spPr>
            <a:ln w="28575" cap="rnd">
              <a:solidFill>
                <a:schemeClr val="accent1"/>
              </a:solidFill>
              <a:round/>
            </a:ln>
            <a:effectLst/>
          </c:spPr>
          <c:marker>
            <c:symbol val="none"/>
          </c:marker>
          <c:cat>
            <c:numRef>
              <c:f>Sheet1!$B$1:$G$1</c:f>
              <c:numCache>
                <c:formatCode>mmm\-yy</c:formatCode>
                <c:ptCount val="6"/>
                <c:pt idx="0">
                  <c:v>44197</c:v>
                </c:pt>
                <c:pt idx="1">
                  <c:v>44228</c:v>
                </c:pt>
                <c:pt idx="3">
                  <c:v>44256</c:v>
                </c:pt>
                <c:pt idx="4">
                  <c:v>44287</c:v>
                </c:pt>
                <c:pt idx="5">
                  <c:v>44317</c:v>
                </c:pt>
              </c:numCache>
            </c:numRef>
          </c:cat>
          <c:val>
            <c:numRef>
              <c:f>Sheet1!$B$2:$G$2</c:f>
              <c:numCache>
                <c:formatCode>General</c:formatCode>
                <c:ptCount val="6"/>
                <c:pt idx="0">
                  <c:v>1563</c:v>
                </c:pt>
                <c:pt idx="1">
                  <c:v>1889</c:v>
                </c:pt>
                <c:pt idx="3">
                  <c:v>2443</c:v>
                </c:pt>
                <c:pt idx="4">
                  <c:v>3184</c:v>
                </c:pt>
                <c:pt idx="5">
                  <c:v>3805</c:v>
                </c:pt>
              </c:numCache>
            </c:numRef>
          </c:val>
          <c:smooth val="0"/>
          <c:extLst>
            <c:ext xmlns:c16="http://schemas.microsoft.com/office/drawing/2014/chart" uri="{C3380CC4-5D6E-409C-BE32-E72D297353CC}">
              <c16:uniqueId val="{00000000-99E8-42DA-9748-9DBD88084BD4}"/>
            </c:ext>
          </c:extLst>
        </c:ser>
        <c:ser>
          <c:idx val="1"/>
          <c:order val="1"/>
          <c:tx>
            <c:strRef>
              <c:f>Sheet1!$A$3</c:f>
              <c:strCache>
                <c:ptCount val="1"/>
                <c:pt idx="0">
                  <c:v>Doubles</c:v>
                </c:pt>
              </c:strCache>
            </c:strRef>
          </c:tx>
          <c:spPr>
            <a:ln w="28575" cap="rnd">
              <a:solidFill>
                <a:schemeClr val="accent2"/>
              </a:solidFill>
              <a:round/>
            </a:ln>
            <a:effectLst/>
          </c:spPr>
          <c:marker>
            <c:symbol val="none"/>
          </c:marker>
          <c:cat>
            <c:numRef>
              <c:f>Sheet1!$B$1:$G$1</c:f>
              <c:numCache>
                <c:formatCode>mmm\-yy</c:formatCode>
                <c:ptCount val="6"/>
                <c:pt idx="0">
                  <c:v>44197</c:v>
                </c:pt>
                <c:pt idx="1">
                  <c:v>44228</c:v>
                </c:pt>
                <c:pt idx="3">
                  <c:v>44256</c:v>
                </c:pt>
                <c:pt idx="4">
                  <c:v>44287</c:v>
                </c:pt>
                <c:pt idx="5">
                  <c:v>44317</c:v>
                </c:pt>
              </c:numCache>
            </c:numRef>
          </c:cat>
          <c:val>
            <c:numRef>
              <c:f>Sheet1!$B$3:$G$3</c:f>
              <c:numCache>
                <c:formatCode>General</c:formatCode>
                <c:ptCount val="6"/>
                <c:pt idx="0">
                  <c:v>363</c:v>
                </c:pt>
                <c:pt idx="1">
                  <c:v>589</c:v>
                </c:pt>
                <c:pt idx="3">
                  <c:v>636</c:v>
                </c:pt>
                <c:pt idx="4">
                  <c:v>781</c:v>
                </c:pt>
                <c:pt idx="5">
                  <c:v>1019</c:v>
                </c:pt>
              </c:numCache>
            </c:numRef>
          </c:val>
          <c:smooth val="0"/>
          <c:extLst>
            <c:ext xmlns:c16="http://schemas.microsoft.com/office/drawing/2014/chart" uri="{C3380CC4-5D6E-409C-BE32-E72D297353CC}">
              <c16:uniqueId val="{00000001-99E8-42DA-9748-9DBD88084BD4}"/>
            </c:ext>
          </c:extLst>
        </c:ser>
        <c:ser>
          <c:idx val="2"/>
          <c:order val="2"/>
          <c:tx>
            <c:strRef>
              <c:f>Sheet1!$A$4</c:f>
              <c:strCache>
                <c:ptCount val="1"/>
                <c:pt idx="0">
                  <c:v>Total</c:v>
                </c:pt>
              </c:strCache>
            </c:strRef>
          </c:tx>
          <c:spPr>
            <a:ln w="28575" cap="rnd">
              <a:solidFill>
                <a:schemeClr val="accent3"/>
              </a:solidFill>
              <a:round/>
            </a:ln>
            <a:effectLst/>
          </c:spPr>
          <c:marker>
            <c:symbol val="none"/>
          </c:marker>
          <c:cat>
            <c:numRef>
              <c:f>Sheet1!$B$1:$G$1</c:f>
              <c:numCache>
                <c:formatCode>mmm\-yy</c:formatCode>
                <c:ptCount val="6"/>
                <c:pt idx="0">
                  <c:v>44197</c:v>
                </c:pt>
                <c:pt idx="1">
                  <c:v>44228</c:v>
                </c:pt>
                <c:pt idx="3">
                  <c:v>44256</c:v>
                </c:pt>
                <c:pt idx="4">
                  <c:v>44287</c:v>
                </c:pt>
                <c:pt idx="5">
                  <c:v>44317</c:v>
                </c:pt>
              </c:numCache>
            </c:numRef>
          </c:cat>
          <c:val>
            <c:numRef>
              <c:f>Sheet1!$B$4:$G$4</c:f>
              <c:numCache>
                <c:formatCode>General</c:formatCode>
                <c:ptCount val="6"/>
                <c:pt idx="0">
                  <c:v>1926</c:v>
                </c:pt>
                <c:pt idx="1">
                  <c:v>2478</c:v>
                </c:pt>
                <c:pt idx="3">
                  <c:v>3079</c:v>
                </c:pt>
                <c:pt idx="4">
                  <c:v>3965</c:v>
                </c:pt>
                <c:pt idx="5">
                  <c:v>4824</c:v>
                </c:pt>
              </c:numCache>
            </c:numRef>
          </c:val>
          <c:smooth val="0"/>
          <c:extLst>
            <c:ext xmlns:c16="http://schemas.microsoft.com/office/drawing/2014/chart" uri="{C3380CC4-5D6E-409C-BE32-E72D297353CC}">
              <c16:uniqueId val="{00000002-99E8-42DA-9748-9DBD88084BD4}"/>
            </c:ext>
          </c:extLst>
        </c:ser>
        <c:dLbls>
          <c:showLegendKey val="0"/>
          <c:showVal val="0"/>
          <c:showCatName val="0"/>
          <c:showSerName val="0"/>
          <c:showPercent val="0"/>
          <c:showBubbleSize val="0"/>
        </c:dLbls>
        <c:smooth val="0"/>
        <c:axId val="1669952479"/>
        <c:axId val="1669960383"/>
      </c:lineChart>
      <c:dateAx>
        <c:axId val="1669952479"/>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9960383"/>
        <c:crosses val="autoZero"/>
        <c:auto val="1"/>
        <c:lblOffset val="100"/>
        <c:baseTimeUnit val="months"/>
      </c:dateAx>
      <c:valAx>
        <c:axId val="16699603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9952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5</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Wells</dc:creator>
  <cp:keywords/>
  <dc:description/>
  <cp:lastModifiedBy>Marco Wells</cp:lastModifiedBy>
  <cp:revision>11</cp:revision>
  <dcterms:created xsi:type="dcterms:W3CDTF">2021-07-05T20:20:00Z</dcterms:created>
  <dcterms:modified xsi:type="dcterms:W3CDTF">2021-07-06T02:16:00Z</dcterms:modified>
</cp:coreProperties>
</file>