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40" w:before="0" w:line="391" w:lineRule="atLeast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4"/>
          <w:szCs w:val="34"/>
        </w:rPr>
        <w:t xml:space="preserve">АКТ № ______</w:t>
      </w:r>
    </w:p>
    <w:p>
      <w:pPr>
        <w:keepNext w:val="false"/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выполненных работ по разработке программного обеспечения</w:t>
      </w:r>
    </w:p>
    <w:p>
      <w:pPr>
        <w:keepNext w:val="false"/>
        <w:spacing w:after="2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по договору № ______ от «___» ______________ 20___ г.</w:t>
      </w:r>
    </w:p>
    <w:p>
      <w:pPr>
        <w:keepNext w:val="false"/>
        <w:spacing w:after="40" w:before="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г. ____________________</w:t>
      </w:r>
    </w:p>
    <w:p>
      <w:pPr>
        <w:keepNext w:val="false"/>
        <w:spacing w:after="240" w:before="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«___» ______________ 20___ г.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【Полное наименование организации / ФИО индивидуального предпринимателя】, именуемое в дальнейшем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«Исполнитель»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в лице 【должность, ФИО】, действующего на основании 【устава / доверенности № ___】, с одной стороны, и 【полное наименование организации / ФИО индивидуального предпринимателя】, именуемое в дальнейшем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«Заказчик»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, в лице 【должность, ФИО】, действующего на основании 【устава / доверенности № ___】, с другой стороны, совместно именуемые «Стороны», составили настоящий акт в том, что Исполнитель выполнил, а Заказчик принял работы по разработке веб-приложения «МРТ ТОЧНО» — CRM-системы учёта и сопровождения направляющих врачей (далее — «Приложение») — в соответствии с техническим заданием «ТЗ 2.0» и согласованными Сторонами уточнениями (пакеты доработок №№ 1–4, итерации 1.1–1.4).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1. Состав и результаты выполненных работ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1758"/>
        <w:gridCol w:w="4306"/>
        <w:gridCol w:w="2197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№</w:t>
            </w:r>
          </w:p>
        </w:tc>
        <w:tc>
          <w:tcPr>
            <w:tcW w:type="pct" w:w="2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Этап</w:t>
            </w:r>
          </w:p>
        </w:tc>
        <w:tc>
          <w:tcPr>
            <w:tcW w:type="pct" w:w="49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Содержание работ</w:t>
            </w:r>
          </w:p>
        </w:tc>
        <w:tc>
          <w:tcPr>
            <w:tcW w:type="pct" w:w="2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Анализ и проектирование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Изучение технического задания «ТЗ 2.0» и гайдлайна бренда «МРТ ТОЧНО»; согласование пакетов доработок №№ 1–4; проектирование структуры данных и пользовательского интерфейса.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Уточнённые требования; дизайн-система в корпоративной палитре брендбука.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Фундамент системы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Развёртывание приложения (Next.js 16, TypeScript); база данных (Prisma/SQLite): пользователи, направляющие врачи, ЛПУ, города, номенклатура, статусы сотрудничества, специализации, заявки, визиты, журнал аудита.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Работающая основа системы с журналом аудита.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Авторизация и роли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Вход по логину и паролю (NextAuth); роли «МП» и «Оператор»; разграничение доступа, защищённые API; рабочее место оператора — только «Врачи (НВ)» и «Заявки», добавление НВ с обязательным ФИО без закрепления за МП.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Ролевая модель доступа подтверждена проверками.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Рабочий стол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KPI-показатели (НВ, ЛПУ, Заявки, Визиты) с переходами в разделы; область данных «Все НВ / Только мои»; «Динамика заявок» с расшифровкой по периодам; «Рейтинг врачей» (топ-10, вертикальные столбцы); «Ближайшие визиты».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Дашборд с детализацией до списков.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Справочники (6)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Справочники: Направляющие врачи, ЛПУ, Города, Номенклатура, Специализация, Статусы сотрудничества; единый стиль списочных форм 1С; настройка видимости и порядка столбцов; импорт/экспорт XLSX внутри каждого справочника.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Шесть справочников с единым интерфейсом.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Направляющие врачи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Список с сортировкой по столбцам; карточка НВ по клику на ФИО; специализации (множественный выбор); «График работы НВ»; привязка к ЛПУ; импорт/экспорт.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Модуль направляющих врачей соответствует ТЗ.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Заявки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Список с сортировкой и фильтрами; карточка с редактированием и полем «Комментарий»; «Что назначено» и «Что сделано» — множественный выбор из номенклатуры; «Куда направление» со значением по умолчанию «МРТ ТОЧНО».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Модуль заявок соответствует ТЗ.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Визиты и календарь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Календарь «Месяц / Неделя / День» с почасовой сеткой; клик по дню открывает расписание дня; перетаскивание визитов мышью между днями и по времени (точность 15 минут) с сохранением в базе данных; дата и время в карточке визита; мини-календарь месяца в боковой панели.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Календарь визитов с перетаскиванием.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Отчёты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Отчёт «По обследованиям» в стиле 1С: настройки (МП, ЛПУ, НВ, номенклатура), четыре варианта группировки, сортировка столбцов, пресеты; экспорт в Excel с сохранением иерархии (сворачивание/разворачивание уровней); экспорт в PDF кириллицей.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Отчётный контур с экспортом в двух форматах.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Пользователи и аудит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Список пользователей с сортировкой по столбцам; создание и редактирование учётных записей; журнал аудита действий пользователей.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Администрирование и прослеживаемость действий.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Доработки (пакет №4)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Упрощение регистрации заявки: обязательные поля — только «Дата» (предзаполнена) и «ФИО пациента»; НВ и ЛПУ опциональны («Не указан»/«Не указано»), обрывочная информация от пациента фиксируется в «Комментарии»; корректное отображение заявок без НВ/ЛПУ в списках, отчётах и рейтинге. Пометка данных «на удаление» в духе 1С: пользователи, НВ, ЛПУ, номенклатура и специализации не удаляются физически — бейдж «Помечен(о) на удаление», зачёркивание, восстановление одной кнопкой, исключение помеченных из выпадающих списков и фильтров. Замена логотипов на оригинальные: белая версия на тёмном фоне (панель входа, боковая панель), цветная на светлом (мобильный вход, подвал), фирменный favicon.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Доработки по обратной связи заказчика внедрены и проверены.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Тестирование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Сквозные (E2E) проверки в браузере всех модулей под обеими ролями, включая повторную верификацию после каждого пакета доработок; исправление выявленных дефектов; мобильная адаптация интерфейса.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Работоспособность подтверждена (материалы E2E-проверок переданы).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Передача</w:t>
            </w:r>
          </w:p>
        </w:tc>
        <w:tc>
          <w:tcPr>
            <w:tcW w:type="pct" w:w="49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Формирование пакета передачи: исходные коды с базой данных и демо-данными, инструкция по запуску и эксплуатации, чек-лист приёмки.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Пакет передачи сформирован и передан заказчику.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2. Переданные материалы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 составе выполненных работ Исполнитель передал Заказчику следующие материалы:</w:t>
      </w:r>
    </w:p>
    <w:p>
      <w:pPr>
        <w:pStyle w:val="ListParagraph"/>
        <w:keepNext w:val="false"/>
        <w:numPr>
          <w:ilvl w:val="0"/>
          <w:numId w:val="2"/>
        </w:num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архив исходных кодов Приложения (включая файл базы данных с демонстрационными данными) — mrt-tno-crm-sources-v1.4.zip;</w:t>
      </w:r>
    </w:p>
    <w:p>
      <w:pPr>
        <w:pStyle w:val="ListParagraph"/>
        <w:keepNext w:val="false"/>
        <w:numPr>
          <w:ilvl w:val="0"/>
          <w:numId w:val="2"/>
        </w:num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инструкцию по запуску и эксплуатации (файл README);</w:t>
      </w:r>
    </w:p>
    <w:p>
      <w:pPr>
        <w:pStyle w:val="ListParagraph"/>
        <w:keepNext w:val="false"/>
        <w:numPr>
          <w:ilvl w:val="0"/>
          <w:numId w:val="2"/>
        </w:num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чек-лист приёмки (файл «Чек-лист_приёмки_МРТ_ТОЧНО.docx»);</w:t>
      </w:r>
    </w:p>
    <w:p>
      <w:pPr>
        <w:pStyle w:val="ListParagraph"/>
        <w:keepNext w:val="false"/>
        <w:numPr>
          <w:ilvl w:val="0"/>
          <w:numId w:val="2"/>
        </w:numPr>
        <w:spacing w:after="1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материалы сквозных проверок — скриншоты и отчёт E2E-верификации.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3. Стоимость и порядок расчётов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Стоимость выполненных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【сумма цифрами и прописью, валюта】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Порядок и сроки оплаты — в соответствии с договором № ______ от «___» ______________ 20___ г. Настоящий акт является подтверждением выполнения обязательств Исполнителя по договору в объёме, указанном в разделе 1.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4. Приёмка и претензии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Работы проверены Заказчиком в соответствии с чек-листом приёмки. Выполненные работы соответствуют техническому заданию и согласованным уточнениям. Стороны подтверждают: работы выполнены в полном объёме и в установленные сроки; взаимных претензий Стороны друг к другу не имеют.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Замечания Заказчика: 【отсутствуют / перечислить замечания и сроки их устранения】.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5. Заключительные положения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Акт составлен в двух экземплярах, имеющих равную юридическую силу, по одному экземпляру для каждой из Сторон. Акт вступает в силу с момента подписания обеими Сторонами.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6. Реквизиты и подписи Сторон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4"/>
        <w:gridCol w:w="4394"/>
      </w:tblGrid>
      <w:tr>
        <w:trPr>
          <w:cantSplit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keepNext w:val="false"/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Исполнитель: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【наименование】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ИНН: ____________   КПП: ____________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Адрес: ______________________________________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 / ______________________ /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М.П.     «___» ______________ 20___ г.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00"/>
              <w:bottom w:type="dxa" w:w="120"/>
              <w:right w:type="dxa" w:w="200"/>
            </w:tcMar>
          </w:tcPr>
          <w:p>
            <w:pPr>
              <w:keepNext w:val="false"/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Заказчик: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【наименование】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ИНН: ____________   КПП: ____________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Адрес: ______________________________________</w:t>
            </w:r>
          </w:p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 / ______________________ /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М.П.     «___» ______________ 20___ г.</w:t>
            </w:r>
          </w:p>
        </w:tc>
      </w:tr>
    </w:tbl>
    <w:sectPr>
      <w:footerReference w:type="default" r:id="rId7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2026-10-09T14:05:54.270Z</dcterms:created>
  <dcterms:modified xsi:type="dcterms:W3CDTF">2026-10-09T14:05:54.270Z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