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下面是按你给的“严肃认真版”结构</w:t>
      </w:r>
      <w:r>
        <w:rPr>
          <w:rFonts w:hint="eastAsia" w:ascii="宋体" w:hAnsi="宋体" w:eastAsia="宋体" w:cs="宋体"/>
          <w:b/>
          <w:color w:val="000000"/>
        </w:rPr>
        <w:t>重写后的 D) 对比实验方案（四梯队 + 工程级指标定义 + 可检验假设 + 排查）</w:t>
      </w:r>
      <w:r>
        <w:rPr>
          <w:rFonts w:hint="eastAsia" w:ascii="宋体" w:hAnsi="宋体" w:eastAsia="宋体" w:cs="宋体"/>
          <w:color w:val="000000"/>
        </w:rPr>
        <w:t xml:space="preserve">。该方案的核心是：在相同预算 </w:t>
      </w:r>
      <m:oMath>
        <m:r>
          <m:rPr/>
          <w:rPr>
            <w:rFonts w:hint="eastAsia" w:ascii="Cambria Math" w:hAnsi="Cambria Math" w:eastAsia="宋体" w:cs="宋体"/>
            <w:color w:val="000000"/>
          </w:rPr>
          <m:t>B</m:t>
        </m:r>
      </m:oMath>
      <w:r>
        <w:rPr>
          <w:rFonts w:hint="eastAsia" w:ascii="宋体" w:hAnsi="宋体" w:eastAsia="宋体" w:cs="宋体"/>
          <w:color w:val="000000"/>
        </w:rPr>
        <w:t xml:space="preserve"> 下横向对</w:t>
      </w:r>
      <w:bookmarkStart w:id="46" w:name="_GoBack"/>
      <w:bookmarkEnd w:id="46"/>
      <w:r>
        <w:rPr>
          <w:rFonts w:hint="eastAsia" w:ascii="宋体" w:hAnsi="宋体" w:eastAsia="宋体" w:cs="宋体"/>
          <w:color w:val="000000"/>
        </w:rPr>
        <w:t>齐各路由策略，证明 SH‑DA++ 利用“CTC blank 机制证据 + 视觉冲突探测”在边界失效检测上形成技术代差，并在 CER–Budget 上形成可复验的 Pareto 优势。</w:t>
      </w:r>
      <w:bookmarkStart w:id="0" w:name="fnref1"/>
      <w:bookmarkEnd w:id="0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fldChar w:fldCharType="end"/>
      </w:r>
      <w:bookmarkStart w:id="1" w:name="fnref2"/>
      <w:bookmarkEnd w:id="1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t>[2]</w:t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fldChar w:fldCharType="end"/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2" w:name="d_对比实验方案_sh_da_comparisons_重写版"/>
      <w:r>
        <w:rPr>
          <w:rFonts w:hint="eastAsia" w:ascii="宋体" w:hAnsi="宋体" w:eastAsia="宋体" w:cs="宋体"/>
          <w:b/>
          <w:color w:val="000000"/>
          <w:sz w:val="24"/>
        </w:rPr>
        <w:t>D) 对比实验方案（SH‑DA++ Comparisons，重写版）</w:t>
      </w:r>
      <w:bookmarkEnd w:id="2"/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3" w:name="d1_实验目标与公平性约束"/>
      <w:r>
        <w:rPr>
          <w:rFonts w:hint="eastAsia" w:ascii="宋体" w:hAnsi="宋体" w:eastAsia="宋体" w:cs="宋体"/>
          <w:b/>
          <w:color w:val="000000"/>
          <w:sz w:val="24"/>
        </w:rPr>
        <w:t>D1. 实验目标与公平性约束</w:t>
      </w:r>
      <w:bookmarkEnd w:id="3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目标</w:t>
      </w:r>
      <w:r>
        <w:rPr>
          <w:rFonts w:hint="eastAsia" w:ascii="宋体" w:hAnsi="宋体" w:eastAsia="宋体" w:cs="宋体"/>
          <w:color w:val="000000"/>
        </w:rPr>
        <w:t>：对比传统置信度路由、位置敏感置信度、语义路由、机制信号路由与 SH‑DA++，证明 SH‑DA++ 在预算约束下对“空间感知失效（boundary deletion）”具有更强检出与更优效率前沿。</w:t>
      </w:r>
      <w:bookmarkStart w:id="4" w:name="fnref1_1"/>
      <w:bookmarkEnd w:id="4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fldChar w:fldCharType="end"/>
      </w:r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统一设置（所有方法一致）</w:t>
      </w:r>
    </w:p>
    <w:p>
      <w:pPr>
        <w:numPr>
          <w:ilvl w:val="0"/>
          <w:numId w:val="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固定 Agent A：PP‑OCRv5；固定 Agent B：Qwen2.5‑VL‑3B；解码参数（temperature/top_p/max_tokens）一致。</w:t>
      </w:r>
    </w:p>
    <w:p>
      <w:pPr>
        <w:numPr>
          <w:ilvl w:val="0"/>
          <w:numId w:val="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预算点：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∈{10%,20%,30%}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；所有方法必须报告并满足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Actual Call Rate = B ± 0.5%</w:t>
      </w:r>
      <w:r>
        <w:rPr>
          <w:rFonts w:hint="eastAsia" w:ascii="宋体" w:hAnsi="宋体" w:eastAsia="宋体" w:cs="宋体"/>
          <w:color w:val="000000"/>
          <w:sz w:val="21"/>
        </w:rPr>
        <w:t>，否则该点无效（需重跑）。</w:t>
      </w:r>
      <w:bookmarkStart w:id="5" w:name="fnref1_2"/>
      <w:bookmarkEnd w:id="5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阈值策略：</w:t>
      </w:r>
    </w:p>
    <w:p>
      <w:pPr>
        <w:numPr>
          <w:ilvl w:val="1"/>
          <w:numId w:val="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在线控制组</w:t>
      </w:r>
      <w:r>
        <w:rPr>
          <w:rFonts w:hint="eastAsia" w:ascii="宋体" w:hAnsi="宋体" w:eastAsia="宋体" w:cs="宋体"/>
          <w:color w:val="000000"/>
          <w:sz w:val="21"/>
        </w:rPr>
        <w:t xml:space="preserve">：使用比例在线控制更新 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λ</m:t>
        </m:r>
      </m:oMath>
      <w:r>
        <w:rPr>
          <w:rFonts w:hint="eastAsia" w:ascii="宋体" w:hAnsi="宋体" w:eastAsia="宋体" w:cs="宋体"/>
          <w:color w:val="000000"/>
          <w:sz w:val="21"/>
        </w:rPr>
        <w:t>（按 Stage3 协议），自然达标预算。</w:t>
      </w:r>
      <w:bookmarkStart w:id="6" w:name="fnref1_3"/>
      <w:bookmarkEnd w:id="6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1"/>
          <w:numId w:val="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固定阈值组</w:t>
      </w:r>
      <w:r>
        <w:rPr>
          <w:rFonts w:hint="eastAsia" w:ascii="宋体" w:hAnsi="宋体" w:eastAsia="宋体" w:cs="宋体"/>
          <w:color w:val="000000"/>
          <w:sz w:val="21"/>
        </w:rPr>
        <w:t xml:space="preserve">：在 Validation Set 上搜索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λ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fix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使调用率最接近 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B</m:t>
        </m:r>
      </m:oMath>
      <w:r>
        <w:rPr>
          <w:rFonts w:hint="eastAsia" w:ascii="宋体" w:hAnsi="宋体" w:eastAsia="宋体" w:cs="宋体"/>
          <w:color w:val="000000"/>
          <w:sz w:val="21"/>
        </w:rPr>
        <w:t>，冻结后用于 Test Set（禁止 Test 上调参）。</w:t>
      </w:r>
    </w:p>
    <w:p>
      <w:pPr>
        <w:numPr>
          <w:ilvl w:val="0"/>
          <w:numId w:val="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校准与任何超参搜索仅限 Validation Set；Test Set 只出最终报表。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7" w:name="d2_四梯队基线体系_baseline_tiers"/>
      <w:r>
        <w:rPr>
          <w:rFonts w:hint="eastAsia" w:ascii="宋体" w:hAnsi="宋体" w:eastAsia="宋体" w:cs="宋体"/>
          <w:b/>
          <w:color w:val="000000"/>
          <w:sz w:val="24"/>
        </w:rPr>
        <w:t>D2. 四梯队基线体系（Baseline Tiers）</w:t>
      </w:r>
      <w:bookmarkEnd w:id="7"/>
    </w:p>
    <w:p>
      <w:pPr>
        <w:spacing w:after="210" w:line="360" w:lineRule="auto"/>
        <w:ind w:left="6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 xml:space="preserve">每个 baseline 都必须给出：其 routing score </w:t>
      </w:r>
      <m:oMath>
        <m:r>
          <m:rPr/>
          <w:rPr>
            <w:rFonts w:hint="eastAsia" w:ascii="Cambria Math" w:hAnsi="Cambria Math" w:eastAsia="宋体" w:cs="宋体"/>
            <w:color w:val="000000"/>
          </w:rPr>
          <m:t>q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</w:rPr>
          <m:t>(</m:t>
        </m:r>
        <m:r>
          <m:rPr/>
          <w:rPr>
            <w:rFonts w:hint="eastAsia" w:ascii="Cambria Math" w:hAnsi="Cambria Math" w:eastAsia="宋体" w:cs="宋体"/>
            <w:color w:val="000000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</w:rPr>
          <m:t>)</m:t>
        </m:r>
      </m:oMath>
      <w:r>
        <w:rPr>
          <w:rFonts w:hint="eastAsia" w:ascii="宋体" w:hAnsi="宋体" w:eastAsia="宋体" w:cs="宋体"/>
          <w:color w:val="000000"/>
        </w:rPr>
        <w:t xml:space="preserve"> 的定义、阈值/控制方式、以及在 </w:t>
      </w:r>
      <m:oMath>
        <m:r>
          <m:rPr/>
          <w:rPr>
            <w:rFonts w:hint="eastAsia" w:ascii="Cambria Math" w:hAnsi="Cambria Math" w:eastAsia="宋体" w:cs="宋体"/>
            <w:color w:val="000000"/>
          </w:rPr>
          <m:t>B</m:t>
        </m:r>
      </m:oMath>
      <w:r>
        <w:rPr>
          <w:rFonts w:hint="eastAsia" w:ascii="宋体" w:hAnsi="宋体" w:eastAsia="宋体" w:cs="宋体"/>
          <w:color w:val="000000"/>
        </w:rPr>
        <w:t xml:space="preserve"> 下的最终 call rate。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8" w:name="tier_0_性能上下限_upper_lower_bounds"/>
      <w:r>
        <w:rPr>
          <w:rFonts w:hint="eastAsia" w:ascii="宋体" w:hAnsi="宋体" w:eastAsia="宋体" w:cs="宋体"/>
          <w:b/>
          <w:color w:val="000000"/>
          <w:sz w:val="24"/>
        </w:rPr>
        <w:t>Tier-0：性能上下限（Upper/Lower Bounds）</w:t>
      </w:r>
      <w:bookmarkEnd w:id="8"/>
    </w:p>
    <w:p>
      <w:pPr>
        <w:numPr>
          <w:ilvl w:val="0"/>
          <w:numId w:val="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Agent A only</w:t>
      </w:r>
      <w:r>
        <w:rPr>
          <w:rFonts w:hint="eastAsia" w:ascii="宋体" w:hAnsi="宋体" w:eastAsia="宋体" w:cs="宋体"/>
          <w:color w:val="000000"/>
          <w:sz w:val="21"/>
        </w:rPr>
        <w:t>：不升级，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=0%</m:t>
        </m:r>
      </m:oMath>
      <w:r>
        <w:rPr>
          <w:rFonts w:hint="eastAsia" w:ascii="宋体" w:hAnsi="宋体" w:eastAsia="宋体" w:cs="宋体"/>
          <w:color w:val="000000"/>
          <w:sz w:val="21"/>
        </w:rPr>
        <w:t>（下限）。</w:t>
      </w:r>
    </w:p>
    <w:p>
      <w:pPr>
        <w:numPr>
          <w:ilvl w:val="0"/>
          <w:numId w:val="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Agent B only</w:t>
      </w:r>
      <w:r>
        <w:rPr>
          <w:rFonts w:hint="eastAsia" w:ascii="宋体" w:hAnsi="宋体" w:eastAsia="宋体" w:cs="宋体"/>
          <w:color w:val="000000"/>
          <w:sz w:val="21"/>
        </w:rPr>
        <w:t>：每行强制调用 VLM，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=100%</m:t>
        </m:r>
      </m:oMath>
      <w:r>
        <w:rPr>
          <w:rFonts w:hint="eastAsia" w:ascii="宋体" w:hAnsi="宋体" w:eastAsia="宋体" w:cs="宋体"/>
          <w:color w:val="000000"/>
          <w:sz w:val="21"/>
        </w:rPr>
        <w:t>（理论上限；同时作为 token/latency 归一化基准）。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9" w:name="tier_1_传统置信度路由_confidence_routing"/>
      <w:r>
        <w:rPr>
          <w:rFonts w:hint="eastAsia" w:ascii="宋体" w:hAnsi="宋体" w:eastAsia="宋体" w:cs="宋体"/>
          <w:b/>
          <w:color w:val="000000"/>
          <w:sz w:val="24"/>
        </w:rPr>
        <w:t>Tier-1：传统置信度路由（Confidence Routing）</w:t>
      </w:r>
      <w:bookmarkEnd w:id="9"/>
    </w:p>
    <w:p>
      <w:pPr>
        <w:numPr>
          <w:ilvl w:val="0"/>
          <w:numId w:val="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Global avg_conf</w:t>
      </w:r>
      <w:r>
        <w:rPr>
          <w:rFonts w:hint="eastAsia" w:ascii="宋体" w:hAnsi="宋体" w:eastAsia="宋体" w:cs="宋体"/>
          <w:color w:val="000000"/>
          <w:sz w:val="21"/>
        </w:rPr>
        <w:t>：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q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mean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i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(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p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i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)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 或 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q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=1−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mean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i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(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p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i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)</m:t>
        </m:r>
      </m:oMath>
      <w:r>
        <w:rPr>
          <w:rFonts w:hint="eastAsia" w:ascii="宋体" w:hAnsi="宋体" w:eastAsia="宋体" w:cs="宋体"/>
          <w:color w:val="000000"/>
          <w:sz w:val="21"/>
        </w:rPr>
        <w:t>（二选一并写死），用阈值/控制器对齐预算。</w:t>
      </w:r>
    </w:p>
    <w:p>
      <w:pPr>
        <w:numPr>
          <w:ilvl w:val="0"/>
          <w:numId w:val="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NUTV (Pos-aware conf)</w:t>
      </w:r>
      <w:r>
        <w:rPr>
          <w:rFonts w:hint="eastAsia" w:ascii="宋体" w:hAnsi="宋体" w:eastAsia="宋体" w:cs="宋体"/>
          <w:color w:val="000000"/>
          <w:sz w:val="21"/>
        </w:rPr>
        <w:t>：位置加权置信度（边缘权重大于中间），例如</w:t>
      </w:r>
      <w:r>
        <w:rPr>
          <w:rFonts w:hint="eastAsia" w:ascii="宋体" w:hAnsi="宋体" w:eastAsia="宋体" w:cs="宋体"/>
          <w:color w:val="000000"/>
          <w:sz w:val="21"/>
        </w:rPr>
        <w:br w:type="textWrapping"/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q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=1−</m:t>
        </m:r>
        <m:nary>
          <m:naryPr>
            <m:chr m:val="∑"/>
            <m:grow m:val="1"/>
            <m:limLoc m:val="undOvr"/>
            <m:supHide m:val="1"/>
            <m:ctrlPr>
              <w:rPr>
                <w:rFonts w:hint="eastAsia" w:ascii="Cambria Math" w:hAnsi="Cambria Math" w:eastAsia="宋体" w:cs="宋体"/>
              </w:rPr>
            </m:ctrlPr>
          </m:naryPr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i</m:t>
            </m:r>
            <m:ctrlPr>
              <w:rPr>
                <w:rFonts w:hint="eastAsia" w:ascii="Cambria Math" w:hAnsi="Cambria Math" w:eastAsia="宋体" w:cs="宋体"/>
              </w:rPr>
            </m:ctrlPr>
          </m:sub>
          <m:sup>
            <m:ctrlPr>
              <w:rPr>
                <w:rFonts w:hint="eastAsia" w:ascii="Cambria Math" w:hAnsi="Cambria Math" w:eastAsia="宋体" w:cs="宋体"/>
              </w:rPr>
            </m:ctrlPr>
          </m:sup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 </m:t>
            </m:r>
            <m:ctrlPr>
              <w:rPr>
                <w:rFonts w:hint="eastAsia" w:ascii="Cambria Math" w:hAnsi="Cambria Math" w:eastAsia="宋体" w:cs="宋体"/>
              </w:rPr>
            </m:ctrlPr>
          </m:e>
        </m:nary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w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i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p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i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,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 在首尾区域更大（必须明确权重形式与 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ρ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 对齐），但不引入 blank/视觉机制信号。</w:t>
      </w:r>
    </w:p>
    <w:p>
      <w:pPr>
        <w:spacing w:after="210" w:line="360" w:lineRule="auto"/>
        <w:ind w:left="6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该梯队用于证明“仅调 conf 权重”对边界高置信漏字无机制性覆盖。</w:t>
      </w:r>
      <w:bookmarkStart w:id="10" w:name="fnref3"/>
      <w:bookmarkEnd w:id="10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t>[3]</w:t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fldChar w:fldCharType="end"/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1" w:name="tier_2_语义与文本一致性路由_semantic_text_only"/>
      <w:r>
        <w:rPr>
          <w:rFonts w:hint="eastAsia" w:ascii="宋体" w:hAnsi="宋体" w:eastAsia="宋体" w:cs="宋体"/>
          <w:b/>
          <w:color w:val="000000"/>
          <w:sz w:val="24"/>
        </w:rPr>
        <w:t>Tier-2：语义与文本一致性路由（Semantic/Text-only）</w:t>
      </w:r>
      <w:bookmarkEnd w:id="11"/>
    </w:p>
    <w:p>
      <w:pPr>
        <w:numPr>
          <w:ilvl w:val="0"/>
          <w:numId w:val="4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PPL-only</w:t>
      </w:r>
      <w:r>
        <w:rPr>
          <w:rFonts w:hint="eastAsia" w:ascii="宋体" w:hAnsi="宋体" w:eastAsia="宋体" w:cs="宋体"/>
          <w:color w:val="000000"/>
          <w:sz w:val="21"/>
        </w:rPr>
        <w:t xml:space="preserve">：只用 Semantic Sentinel 输出的困惑度/风险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d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路由（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q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d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），不看图像边缘与 CTC blank。</w:t>
      </w:r>
    </w:p>
    <w:p>
      <w:pPr>
        <w:spacing w:after="210" w:line="360" w:lineRule="auto"/>
        <w:ind w:left="6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该梯队用于证明“语义异常”不足以稳定捕捉纯视觉边界漏字，尤其是语义合理但少字的情况。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2" w:name="tier_3_机制信号与提出方法_mechanism_proposed"/>
      <w:r>
        <w:rPr>
          <w:rFonts w:hint="eastAsia" w:ascii="宋体" w:hAnsi="宋体" w:eastAsia="宋体" w:cs="宋体"/>
          <w:b/>
          <w:color w:val="000000"/>
          <w:sz w:val="24"/>
        </w:rPr>
        <w:t>Tier-3：机制信号与提出方法（Mechanism &amp; Proposed）</w:t>
      </w:r>
      <w:bookmarkEnd w:id="12"/>
    </w:p>
    <w:p>
      <w:pPr>
        <w:numPr>
          <w:ilvl w:val="0"/>
          <w:numId w:val="5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Blank-only</w:t>
      </w:r>
      <w:r>
        <w:rPr>
          <w:rFonts w:hint="eastAsia" w:ascii="宋体" w:hAnsi="宋体" w:eastAsia="宋体" w:cs="宋体"/>
          <w:color w:val="000000"/>
          <w:sz w:val="21"/>
        </w:rPr>
        <w:t xml:space="preserve">：只用边界窗 blank 强度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（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q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）路由，验证 CTC blank 作为机制证据的独立价值。</w:t>
      </w:r>
      <w:bookmarkStart w:id="13" w:name="fnref2_1"/>
      <w:bookmarkEnd w:id="13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[2]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5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SH‑DA++ (Proposed)</w:t>
      </w:r>
      <w:r>
        <w:rPr>
          <w:rFonts w:hint="eastAsia" w:ascii="宋体" w:hAnsi="宋体" w:eastAsia="宋体" w:cs="宋体"/>
          <w:color w:val="000000"/>
          <w:sz w:val="21"/>
        </w:rPr>
        <w:t xml:space="preserve">：完整系统（视觉‑序列冲突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v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⋅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+ 在线预算控制 + 专科模板 + 受限纠错/严格回填）。</w:t>
      </w:r>
      <w:bookmarkStart w:id="14" w:name="fnref2_2"/>
      <w:bookmarkEnd w:id="14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[2]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  <w:bookmarkStart w:id="15" w:name="fnref1_4"/>
      <w:bookmarkEnd w:id="15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6" w:name="d3_指标精确定义_工程级口径"/>
      <w:r>
        <w:rPr>
          <w:rFonts w:hint="eastAsia" w:ascii="宋体" w:hAnsi="宋体" w:eastAsia="宋体" w:cs="宋体"/>
          <w:b/>
          <w:color w:val="000000"/>
          <w:sz w:val="24"/>
        </w:rPr>
        <w:t>D3. 指标精确定义（工程级口径）</w:t>
      </w:r>
      <w:bookmarkEnd w:id="16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 xml:space="preserve">为避免“看起来提升但不可复验”，所有对比必须遵循同一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eval_metrics.py</w:t>
      </w:r>
      <w:r>
        <w:rPr>
          <w:rFonts w:hint="eastAsia" w:ascii="宋体" w:hAnsi="宋体" w:eastAsia="宋体" w:cs="宋体"/>
          <w:color w:val="000000"/>
        </w:rPr>
        <w:t xml:space="preserve"> 口径，并在报告中附上定义。</w:t>
      </w:r>
    </w:p>
    <w:p>
      <w:pPr>
        <w:numPr>
          <w:ilvl w:val="0"/>
          <w:numId w:val="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 xml:space="preserve">Boundary Deletion Recall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del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b/>
          <w:color w:val="000000"/>
          <w:sz w:val="21"/>
        </w:rPr>
        <w:t xml:space="preserve"> @B</w:t>
      </w:r>
      <w:r>
        <w:rPr>
          <w:rFonts w:hint="eastAsia" w:ascii="宋体" w:hAnsi="宋体" w:eastAsia="宋体" w:cs="宋体"/>
          <w:color w:val="000000"/>
          <w:sz w:val="21"/>
        </w:rPr>
        <w:t xml:space="preserve">：在预算 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B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 下，Agent B（经过回填/拒改后的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final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）成功找回的“边缘漏字”数量，占 Agent A 全部“边缘漏字”数量的比例（漏字由 Levenshtein 对齐判定，边界区间由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K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bnd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写死）。</w:t>
      </w:r>
    </w:p>
    <w:p>
      <w:pPr>
        <w:numPr>
          <w:ilvl w:val="0"/>
          <w:numId w:val="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Substitution CER</w:t>
      </w:r>
      <w:r>
        <w:rPr>
          <w:rFonts w:hint="eastAsia" w:ascii="宋体" w:hAnsi="宋体" w:eastAsia="宋体" w:cs="宋体"/>
          <w:color w:val="000000"/>
          <w:sz w:val="21"/>
        </w:rPr>
        <w:t>：仅统计 substitution edit ops（建议限定非边界中间区域），用于衡量 AMBIGUITY 路径的净收益。</w:t>
      </w:r>
    </w:p>
    <w:p>
      <w:pPr>
        <w:numPr>
          <w:ilvl w:val="0"/>
          <w:numId w:val="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 xml:space="preserve">Token Saving Rate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η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save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：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η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save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=1−</m:t>
        </m:r>
        <m:f>
          <m:f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fPr>
          <m:num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Mean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(</m:t>
            </m:r>
            <m:sSub>
              <m:sSubPr>
                <m:ctrlPr>
                  <w:rPr>
                    <w:rFonts w:hint="eastAsia" w:ascii="Cambria Math" w:hAnsi="Cambria Math" w:eastAsia="宋体" w:cs="宋体"/>
                    <w:color w:val="000000"/>
                    <w:sz w:val="21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sz w:val="21"/>
                  </w:rPr>
                  <m:t>Tokens</m:t>
                </m:r>
                <m:ctrlPr>
                  <w:rPr>
                    <w:rFonts w:hint="eastAsia" w:ascii="Cambria Math" w:hAnsi="Cambria Math" w:eastAsia="宋体" w:cs="宋体"/>
                    <w:color w:val="000000"/>
                    <w:sz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/>
                    <w:sz w:val="21"/>
                  </w:rPr>
                  <m:t>Metℎod</m:t>
                </m:r>
                <m:ctrlPr>
                  <w:rPr>
                    <w:rFonts w:hint="eastAsia" w:ascii="Cambria Math" w:hAnsi="Cambria Math" w:eastAsia="宋体" w:cs="宋体"/>
                    <w:color w:val="000000"/>
                    <w:sz w:val="21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)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num>
          <m:den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Mean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(</m:t>
            </m:r>
            <m:sSub>
              <m:sSubPr>
                <m:ctrlPr>
                  <w:rPr>
                    <w:rFonts w:hint="eastAsia" w:ascii="Cambria Math" w:hAnsi="Cambria Math" w:eastAsia="宋体" w:cs="宋体"/>
                    <w:color w:val="000000"/>
                    <w:sz w:val="21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sz w:val="21"/>
                  </w:rPr>
                  <m:t>Tokens</m:t>
                </m:r>
                <m:ctrlPr>
                  <w:rPr>
                    <w:rFonts w:hint="eastAsia" w:ascii="Cambria Math" w:hAnsi="Cambria Math" w:eastAsia="宋体" w:cs="宋体"/>
                    <w:color w:val="000000"/>
                    <w:sz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/>
                    <w:sz w:val="21"/>
                  </w:rPr>
                  <m:t>B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sz w:val="21"/>
                  </w:rPr>
                  <m:t>_</m:t>
                </m:r>
                <m:r>
                  <m:rPr/>
                  <w:rPr>
                    <w:rFonts w:hint="eastAsia" w:ascii="Cambria Math" w:hAnsi="Cambria Math" w:eastAsia="宋体" w:cs="宋体"/>
                    <w:color w:val="000000"/>
                    <w:sz w:val="21"/>
                  </w:rPr>
                  <m:t>only</m:t>
                </m:r>
                <m:ctrlPr>
                  <w:rPr>
                    <w:rFonts w:hint="eastAsia" w:ascii="Cambria Math" w:hAnsi="Cambria Math" w:eastAsia="宋体" w:cs="宋体"/>
                    <w:color w:val="000000"/>
                    <w:sz w:val="21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)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den>
        </m:f>
      </m:oMath>
      <w:r>
        <w:rPr>
          <w:rFonts w:hint="eastAsia" w:ascii="宋体" w:hAnsi="宋体" w:eastAsia="宋体" w:cs="宋体"/>
          <w:color w:val="000000"/>
          <w:sz w:val="21"/>
        </w:rPr>
        <w:t>Tokens 必须来自 vLLM usage 字段，包含 prompt/image/output 的完整消耗（并在 backfill_log 中可追溯）。</w:t>
      </w:r>
    </w:p>
    <w:p>
      <w:pPr>
        <w:numPr>
          <w:ilvl w:val="0"/>
          <w:numId w:val="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p95 Latency</w:t>
      </w:r>
      <w:r>
        <w:rPr>
          <w:rFonts w:hint="eastAsia" w:ascii="宋体" w:hAnsi="宋体" w:eastAsia="宋体" w:cs="宋体"/>
          <w:color w:val="000000"/>
          <w:sz w:val="21"/>
        </w:rPr>
        <w:t>：必须按 Stage3 统一测试协议（单卡、并发 BS=1、流式处理、含 warmup），否则禁止横向比较。</w:t>
      </w:r>
      <w:bookmarkStart w:id="17" w:name="fnref1_5"/>
      <w:bookmarkEnd w:id="17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Detection Quality（PR‑AUC）</w:t>
      </w:r>
      <w:r>
        <w:rPr>
          <w:rFonts w:hint="eastAsia" w:ascii="宋体" w:hAnsi="宋体" w:eastAsia="宋体" w:cs="宋体"/>
          <w:color w:val="000000"/>
          <w:sz w:val="21"/>
        </w:rPr>
        <w:t xml:space="preserve">：把 Router 当作错误检测器，在边界 deletion 标签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y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del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上计算 PR‑AUC（更适合不均衡错误检测），用于验证机制信号的可分性。</w:t>
      </w:r>
      <w:bookmarkStart w:id="18" w:name="fnref3_1"/>
      <w:bookmarkEnd w:id="18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[3]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9" w:name="d4_预期检验结论_testable_hypotheses_必须画曲线验证"/>
      <w:r>
        <w:rPr>
          <w:rFonts w:hint="eastAsia" w:ascii="宋体" w:hAnsi="宋体" w:eastAsia="宋体" w:cs="宋体"/>
          <w:b/>
          <w:color w:val="000000"/>
          <w:sz w:val="24"/>
        </w:rPr>
        <w:t>D4. 预期检验结论（Testable Hypotheses，必须画曲线验证）</w:t>
      </w:r>
      <w:bookmarkEnd w:id="19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所有假设都要求以曲线或表格呈现（至少包含 B=10/20/30 三点），并给出显著性检验或 bootstrap 置信区间（若暂不做显著性，也必须给出方差/CI）。</w:t>
      </w:r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假设 H1：边界压制力（Boundary suppression power）</w:t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color w:val="000000"/>
        </w:rPr>
        <w:t xml:space="preserve">在 </w:t>
      </w:r>
      <m:oMath>
        <m:r>
          <m:rPr/>
          <w:rPr>
            <w:rFonts w:hint="eastAsia" w:ascii="Cambria Math" w:hAnsi="Cambria Math" w:eastAsia="宋体" w:cs="宋体"/>
            <w:color w:val="000000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</w:rPr>
          <m:t>∈{10%,20%,30%}</m:t>
        </m:r>
      </m:oMath>
      <w:r>
        <w:rPr>
          <w:rFonts w:hint="eastAsia" w:ascii="宋体" w:hAnsi="宋体" w:eastAsia="宋体" w:cs="宋体"/>
          <w:color w:val="000000"/>
        </w:rPr>
        <w:t xml:space="preserve"> 上，SH‑DA++ 的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del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</w:rPr>
        <w:t xml:space="preserve"> 必须显著高于 Global avg_conf 与 NUTV，且相对提升期望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000000"/>
          </w:rPr>
          <m:t>&gt;20%</m:t>
        </m:r>
      </m:oMath>
      <w:r>
        <w:rPr>
          <w:rFonts w:hint="eastAsia" w:ascii="宋体" w:hAnsi="宋体" w:eastAsia="宋体" w:cs="宋体"/>
          <w:color w:val="000000"/>
        </w:rPr>
        <w:t>。</w:t>
      </w:r>
    </w:p>
    <w:p>
      <w:pPr>
        <w:numPr>
          <w:ilvl w:val="0"/>
          <w:numId w:val="7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该假设的科学含义：仅凭置信度（即使位置加权）仍难覆盖“高置信漏字”，需要机制证据（blank）与冲突证据（visual‑blank）。</w:t>
      </w:r>
      <w:bookmarkStart w:id="20" w:name="fnref2_3"/>
      <w:bookmarkEnd w:id="20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[2]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假设 H2：Pareto 最优性（CER–Budget frontier）</w:t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color w:val="000000"/>
        </w:rPr>
        <w:t>在 CER–Budget 曲线中，SH‑DA++ 应位于所有基线的左下方（同等 CER 下预算更低，或同等预算下 CER 更低），体现预算化自适应推理的最优解形态。</w:t>
      </w:r>
      <w:bookmarkStart w:id="21" w:name="fnref1_6"/>
      <w:bookmarkEnd w:id="21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fldChar w:fldCharType="end"/>
      </w:r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假设 H3：检测质量（Edge PR‑AUC superiority）</w:t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color w:val="000000"/>
        </w:rPr>
        <w:t>将边界 deletion 作为正类时，SH‑DA++ 的 PR‑AUC 应显著高于 Global avg_conf 与 NUTV，且通常也优于 PPL‑only，证明“CTC blank 冲突信号”对边界失效有更强区分度。</w:t>
      </w:r>
      <w:bookmarkStart w:id="22" w:name="fnref3_2"/>
      <w:bookmarkEnd w:id="22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t>[3]</w:t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fldChar w:fldCharType="end"/>
      </w:r>
      <w:bookmarkStart w:id="23" w:name="fnref2_4"/>
      <w:bookmarkEnd w:id="23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t>[2]</w:t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fldChar w:fldCharType="end"/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24" w:name="d5_诊断与排查_对比不达预期时优先查什么"/>
      <w:r>
        <w:rPr>
          <w:rFonts w:hint="eastAsia" w:ascii="宋体" w:hAnsi="宋体" w:eastAsia="宋体" w:cs="宋体"/>
          <w:b/>
          <w:color w:val="000000"/>
          <w:sz w:val="24"/>
        </w:rPr>
        <w:t>D5. 诊断与排查（对比不达预期时优先查什么）</w:t>
      </w:r>
      <w:bookmarkEnd w:id="24"/>
    </w:p>
    <w:p>
      <w:pPr>
        <w:numPr>
          <w:ilvl w:val="0"/>
          <w:numId w:val="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Blank-only 过于接近 SH‑DA++</w:t>
      </w:r>
      <w:r>
        <w:rPr>
          <w:rFonts w:hint="eastAsia" w:ascii="宋体" w:hAnsi="宋体" w:eastAsia="宋体" w:cs="宋体"/>
          <w:color w:val="000000"/>
          <w:sz w:val="21"/>
        </w:rPr>
        <w:t xml:space="preserve">：说明数据集中边界错误更偏“纯背景截断/裁切”，视觉边缘梯度难提供增量；或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v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归一化分位参数失效导致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v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被压扁，应先核查 edge probe 的分位统计与裁剪坐标一致性。</w:t>
      </w:r>
    </w:p>
    <w:p>
      <w:pPr>
        <w:numPr>
          <w:ilvl w:val="0"/>
          <w:numId w:val="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RoI 省 token 但 CER 明显下降</w:t>
      </w:r>
      <w:r>
        <w:rPr>
          <w:rFonts w:hint="eastAsia" w:ascii="宋体" w:hAnsi="宋体" w:eastAsia="宋体" w:cs="宋体"/>
          <w:color w:val="000000"/>
          <w:sz w:val="21"/>
        </w:rPr>
        <w:t>：通常是 RoI 丢失必要语境（尤其 AMBIGUITY 需要左右文），优先检查：RoI 是否仅裁 x 不裁 y、是否保留足够上下 padding、AMBIGUITY 是否把 Top‑2 约束设得过硬导致拒改率飙升。</w:t>
      </w:r>
    </w:p>
    <w:p>
      <w:pPr>
        <w:numPr>
          <w:ilvl w:val="0"/>
          <w:numId w:val="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PPL-only 异常强/弱</w:t>
      </w:r>
      <w:r>
        <w:rPr>
          <w:rFonts w:hint="eastAsia" w:ascii="宋体" w:hAnsi="宋体" w:eastAsia="宋体" w:cs="宋体"/>
          <w:color w:val="000000"/>
          <w:sz w:val="21"/>
        </w:rPr>
        <w:t>：检查 Sentinel 输出是否在测试流上分布漂移；以及 domain_label/critical_span 的 prompt 是否反向影响了 B 的生成行为。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31" o:spid="_x0000_s1031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如果你同意，我下一步可以把 D2 的每个 baseline 写成“</w:t>
      </w:r>
      <w:r>
        <w:rPr>
          <w:rFonts w:hint="eastAsia" w:ascii="宋体" w:hAnsi="宋体" w:eastAsia="宋体" w:cs="宋体"/>
          <w:b/>
          <w:color w:val="000000"/>
        </w:rPr>
        <w:t>routing score 公式 + 阈值对齐方式 + 日志字段</w:t>
      </w:r>
      <w:r>
        <w:rPr>
          <w:rFonts w:hint="eastAsia" w:ascii="宋体" w:hAnsi="宋体" w:eastAsia="宋体" w:cs="宋体"/>
          <w:color w:val="000000"/>
        </w:rPr>
        <w:t>”的可直接落地版本（例如 NUTV 的权重具体形式、PPL-only 的输出字段名与归一化），并附一张“必须跑的曲线清单”（CER–Budget、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del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</w:rPr>
        <w:t>–Budget、PR‑AUC 条形图、Latency–Budget、Token–Budget）。</w:t>
      </w:r>
      <w:r>
        <w:rPr>
          <w:rFonts w:hint="eastAsia" w:ascii="宋体" w:hAnsi="宋体" w:eastAsia="宋体" w:cs="宋体"/>
          <w:color w:val="000000"/>
        </w:rPr>
        <w:br w:type="textWrapping"/>
      </w:r>
    </w:p>
    <w:p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⁂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32" o:spid="_x0000_s1032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25" w:name="fn1"/>
      <w:bookmarkEnd w:id="25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"https://arxiv.org/pdf/2106.05022.pdf"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https://arxiv.org/pdf/2106.05022.pdf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     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26" w:name="fn2"/>
      <w:bookmarkEnd w:id="26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"https://distill.pub/2017/ctc"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https://distill.pub/2017/ctc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   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27" w:name="fn3"/>
      <w:bookmarkEnd w:id="27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"https://www.cs.tau.ac.il/~wolf/papers/confidenceinocr.pdf"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https://www.cs.tau.ac.il/~wolf/papers/confidenceinocr.pdf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 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28" w:name="fn4"/>
      <w:bookmarkEnd w:id="28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"https://ui.adsabs.harvard.edu/abs/arXiv:2409.04117"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https://ui.adsabs.harvard.edu/abs/arXiv:2409.04117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29" w:name="fn5"/>
      <w:bookmarkEnd w:id="29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"https://openaccess.thecvf.com/content/WACV2024/papers/Ilhan_Adaptive_Deep_Neural_Network_Inference_Optimization_With_EENet_WACV_2024_paper.pdf"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https://openaccess.thecvf.com/content/WACV2024/papers/Ilhan_Adaptive_Deep_Neural_Network_Inference_Optimization_With_EENet_WACV_2024_paper.pdf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30" w:name="fn6"/>
      <w:bookmarkEnd w:id="30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"https://www.geeksforgeeks.org/nlp/connectionist-temporal-classification/"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https://www.geeksforgeeks.org/nlp/connectionist-temporal-classification/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31" w:name="fn7"/>
      <w:bookmarkEnd w:id="31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"https://www.themoonlight.io/en/review/confidence-aware-document-ocr-error-detection"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https://www.themoonlight.io/en/review/confidence-aware-document-ocr-error-detection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32" w:name="fn8"/>
      <w:bookmarkEnd w:id="32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"https://www.semanticscholar.org/paper/Adaptive-Inference-through-Early-Exit-Networks:-and-Laskaridis-Kouris/13f07349ae44483e7f1177ab3939a5f0ee82503e"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https://www.semanticscholar.org/paper/Adaptive-Inference-through-Early-Exit-Networks:-and-Laskaridis-Kouris/13f07349ae44483e7f1177ab3939a5f0ee82503e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33" w:name="fn9"/>
      <w:bookmarkEnd w:id="33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"https://sid2697.github.io/Blog_Sid/algorithm/2019/10/19/CTC-Loss.html"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https://sid2697.github.io/Blog_Sid/algorithm/2019/10/19/CTC-Loss.html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34" w:name="fn10"/>
      <w:bookmarkEnd w:id="34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"https://search.library.wisc.edu/catalog/9914028196902121"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https://search.library.wisc.edu/catalog/9914028196902121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35" w:name="fn11"/>
      <w:bookmarkEnd w:id="35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"https://dl.acm.org/doi/full/10.1145/3698767"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https://dl.acm.org/doi/full/10.1145/3698767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36" w:name="fn12"/>
      <w:bookmarkEnd w:id="36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"https://jisem-journal.com/index.php/journal/article/view/12583"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https://jisem-journal.com/index.php/journal/article/view/12583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37" w:name="fn13"/>
      <w:bookmarkEnd w:id="37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"https://arxiv.org/abs/2106.05022"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https://arxiv.org/abs/2106.05022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38" w:name="fn14"/>
      <w:bookmarkEnd w:id="38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"https://huggingface.co/learn/audio-course/en/chapter3/ctc"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https://huggingface.co/learn/audio-course/en/chapter3/ctc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39" w:name="fn15"/>
      <w:bookmarkEnd w:id="39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"https://www.emergentmind.com/topics/early-exit-operator"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https://www.emergentmind.com/topics/early-exit-operator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40" w:name="fn16"/>
      <w:bookmarkEnd w:id="40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"https://arxiv.org/abs/1805.11161"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https://arxiv.org/abs/1805.11161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41" w:name="fn17"/>
      <w:bookmarkEnd w:id="41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"https://www.semanticscholar.org/paper/Confidence-Prediction-for-Lexicon-Free-OCR-Mor-Wolf/cf962a77d23b733593e8016f855b165ef8fc9259"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https://www.semanticscholar.org/paper/Confidence-Prediction-for-Lexicon-Free-OCR-Mor-Wolf/cf962a77d23b733593e8016f855b165ef8fc9259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42" w:name="fn18"/>
      <w:bookmarkEnd w:id="42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"https://ailb-web.ing.unimore.it/icpr/media/slides/11241.pdf"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https://ailb-web.ing.unimore.it/icpr/media/slides/11241.pdf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43" w:name="fn19"/>
      <w:bookmarkEnd w:id="43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"https://cris.tau.ac.il/en/publications/confidence-prediction-for-lexicon-free-ocr/"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https://cris.tau.ac.il/en/publications/confidence-prediction-for-lexicon-free-ocr/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44" w:name="fn20"/>
      <w:bookmarkEnd w:id="44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"http://arxiv.org/pdf/1805.11161.pdf"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http://arxiv.org/pdf/1805.11161.pdf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9"/>
        </w:numPr>
        <w:spacing w:after="210" w:line="360" w:lineRule="auto"/>
        <w:rPr>
          <w:rFonts w:hint="eastAsia" w:ascii="宋体" w:hAnsi="宋体" w:eastAsia="宋体" w:cs="宋体"/>
        </w:rPr>
      </w:pPr>
      <w:bookmarkStart w:id="45" w:name="fn21"/>
      <w:bookmarkEnd w:id="45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"https://stackoverflow.com/questions/41737992/connectionist-temporal-classification-ctc-blank-label"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https://stackoverflow.com/questions/41737992/connectionist-temporal-classification-ctc-blank-label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ibm plex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4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U0YjVkYjA5Y2JiZWNhMjYyMzk2Mzc5ZDIxNWU1ZTUifQ=="/>
  </w:docVars>
  <w:rsids>
    <w:rsidRoot w:val="00000000"/>
    <w:rsid w:val="066176D4"/>
    <w:rsid w:val="22A2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3016</Words>
  <Characters>6005</Characters>
  <TotalTime>0</TotalTime>
  <ScaleCrop>false</ScaleCrop>
  <LinksUpToDate>false</LinksUpToDate>
  <CharactersWithSpaces>6412</CharactersWithSpaces>
  <Application>WPS Office_12.1.0.16929_F1E327BC-269C-435d-A152-05C5408002CA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2026-01-06T07:47:00Z</dcterms:created>
  <dc:creator>html-to-docx</dc:creator>
  <cp:keywords>html-to-docx</cp:keywords>
  <cp:lastModifiedBy>红裤头牛战士</cp:lastModifiedBy>
  <dcterms:modified xsi:type="dcterms:W3CDTF">2026-01-06T07:48:13Z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9C11C282E7B041D390EDD39594948988_13</vt:lpwstr>
  </property>
</Properties>
</file>