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3.jpg" ContentType="image/jpeg"/>
  <Override PartName="/word/media/rId34.jpg" ContentType="image/jpeg"/>
  <Override PartName="/word/media/rId38.png" ContentType="image/png"/>
  <Override PartName="/word/media/rId36.png" ContentType="image/png"/>
  <Override PartName="/word/media/rId31.png" ContentType="image/png"/>
  <Override PartName="/word/media/rId25.png" ContentType="image/png"/>
  <Override PartName="/word/media/rId29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isc-v-ai-加速器芯片设计"/>
      <w:r>
        <w:t xml:space="preserve">RISC-V AI 加速器芯片设计</w:t>
      </w:r>
      <w:bookmarkEnd w:id="20"/>
    </w:p>
    <w:p>
      <w:pPr>
        <w:pStyle w:val="Heading1"/>
      </w:pPr>
      <w:bookmarkStart w:id="21" w:name="流片说明报告"/>
      <w:r>
        <w:t xml:space="preserve">流片说明报告</w:t>
      </w:r>
      <w:bookmarkEnd w:id="21"/>
    </w:p>
    <w:p>
      <w:pPr>
        <w:pStyle w:val="FirstParagraph"/>
      </w:pPr>
      <w:r>
        <w:rPr>
          <w:b/>
        </w:rPr>
        <w:t xml:space="preserve">编 写：tongxiaojun</w:t>
      </w:r>
      <w:r>
        <w:rPr>
          <w:b/>
        </w:rPr>
        <w:t xml:space="preserve"> </w:t>
      </w:r>
    </w:p>
    <w:p>
      <w:pPr>
        <w:pStyle w:val="BodyText"/>
      </w:pPr>
      <w:r>
        <w:rPr>
          <w:b/>
        </w:rPr>
        <w:t xml:space="preserve">时 间：2025年11月14日</w:t>
      </w:r>
    </w:p>
    <w:p>
      <w:pPr>
        <w:pStyle w:val="BodyText"/>
      </w:pPr>
      <w:r>
        <w:rPr>
          <w:b/>
        </w:rPr>
        <w:t xml:space="preserve">组 织：红象云腾(redoop)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设计说明"/>
      <w:r>
        <w:t xml:space="preserve">一、设计说明</w:t>
      </w:r>
      <w:bookmarkEnd w:id="22"/>
    </w:p>
    <w:p>
      <w:pPr>
        <w:pStyle w:val="Heading3"/>
      </w:pPr>
      <w:bookmarkStart w:id="23" w:name="功能描述"/>
      <w:r>
        <w:t xml:space="preserve">1. 功能描述</w:t>
      </w:r>
      <w:bookmarkEnd w:id="23"/>
    </w:p>
    <w:p>
      <w:pPr>
        <w:pStyle w:val="FirstParagraph"/>
      </w:pPr>
      <w:r>
        <w:rPr>
          <w:b/>
        </w:rPr>
        <w:t xml:space="preserve">（注：描述流片设计具备的功能，为前仿结果）</w:t>
      </w:r>
    </w:p>
    <w:p>
      <w:pPr>
        <w:pStyle w:val="BodyText"/>
      </w:pPr>
      <w:r>
        <w:t xml:space="preserve">本设计为一款集成RISC-V处理器和AI加速器的边缘计算SoC芯片，采用PicoRV32 (RV32I指令集)处理器核心，通过简化寄存器接口与CompactAccel (8x8矩阵加速器)和BitNetAccel (8x8无乘法器加速器)进行通信，支持UART串口、GPIO通用IO和中断控制，可实现边缘AI推理计算。系统采用创新的BitNet架构，使用2-bit权重编码{-1, 0, +1}，无需乘法器即可完成矩阵运算，功耗降低60%，内存占用减少10倍。系统峰值性能达到6.4 GOPS @ 100MHz，目标功耗小于100mW。所有模块均已通过ChiselTest验证，测试覆盖率达到95%以上。</w:t>
      </w:r>
    </w:p>
    <w:p>
      <w:pPr>
        <w:pStyle w:val="BodyText"/>
      </w:pPr>
      <w:r>
        <w:t xml:space="preserve">如图1所示，为系统架构框图：</w:t>
      </w:r>
    </w:p>
    <w:p>
      <w:pPr>
        <w:pStyle w:val="CaptionedFigure"/>
      </w:pPr>
      <w:r>
        <w:drawing>
          <wp:inline>
            <wp:extent cx="5334000" cy="6539947"/>
            <wp:effectExtent b="0" l="0" r="0" t="0"/>
            <wp:docPr descr="图1 处理器系统架构" title="" id="1" name="Picture"/>
            <a:graphic>
              <a:graphicData uri="http://schemas.openxmlformats.org/drawingml/2006/picture">
                <pic:pic>
                  <pic:nvPicPr>
                    <pic:cNvPr descr="image/syste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 处理器系统架构</w:t>
      </w:r>
    </w:p>
    <w:p>
      <w:pPr>
        <w:pStyle w:val="BodyText"/>
      </w:pPr>
      <w:r>
        <w:t xml:space="preserve">为处理器启动riscv-tests仿真结果（前仿）：</w:t>
      </w:r>
    </w:p>
    <w:p>
      <w:pPr>
        <w:pStyle w:val="BodyText"/>
      </w:pPr>
      <w:r>
        <w:t xml:space="preserve">测试方法：</w:t>
      </w:r>
    </w:p>
    <w:p>
      <w:pPr>
        <w:pStyle w:val="SourceCode"/>
      </w:pPr>
      <w:r>
        <w:rPr>
          <w:rStyle w:val="VerbatimChar"/>
        </w:rPr>
        <w:t xml:space="preserve">cd chisel</w:t>
      </w:r>
      <w:r>
        <w:br/>
      </w:r>
      <w:r>
        <w:rPr>
          <w:rStyle w:val="VerbatimChar"/>
        </w:rPr>
        <w:t xml:space="preserve">./run.sh riscv 2&gt;&amp;1 | tail -60</w:t>
      </w:r>
    </w:p>
    <w:p>
      <w:pPr>
        <w:pStyle w:val="FirstParagraph"/>
      </w:pPr>
      <w:r>
        <w:t xml:space="preserve">如图2所示:</w:t>
      </w:r>
    </w:p>
    <w:p>
      <w:pPr>
        <w:pStyle w:val="CaptionedFigure"/>
      </w:pPr>
      <w:r>
        <w:drawing>
          <wp:inline>
            <wp:extent cx="5334000" cy="1945448"/>
            <wp:effectExtent b="0" l="0" r="0" t="0"/>
            <wp:docPr descr="图2 处理器前仿结果" title="" id="1" name="Picture"/>
            <a:graphic>
              <a:graphicData uri="http://schemas.openxmlformats.org/drawingml/2006/picture">
                <pic:pic>
                  <pic:nvPicPr>
                    <pic:cNvPr descr="image/riscv-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处理器前仿结果</w:t>
      </w:r>
    </w:p>
    <w:p>
      <w:pPr>
        <w:pStyle w:val="Heading3"/>
      </w:pPr>
      <w:bookmarkStart w:id="26" w:name="端口说明"/>
      <w:r>
        <w:t xml:space="preserve">2. 端口说明</w:t>
      </w:r>
      <w:bookmarkEnd w:id="26"/>
    </w:p>
    <w:p>
      <w:pPr>
        <w:pStyle w:val="FirstParagraph"/>
      </w:pPr>
      <w:r>
        <w:rPr>
          <w:b/>
        </w:rPr>
        <w:t xml:space="preserve">（注：描述设计顶层的端口）</w:t>
      </w:r>
    </w:p>
    <w:p>
      <w:pPr>
        <w:pStyle w:val="BodyText"/>
      </w:pPr>
      <w:r>
        <w:t xml:space="preserve">本设计的SoC顶层模块为</w:t>
      </w:r>
      <w:r>
        <w:t xml:space="preserve"> </w:t>
      </w:r>
      <w:r>
        <w:rPr>
          <w:b/>
        </w:rPr>
        <w:t xml:space="preserve">SimpleEdgeAiSoC</w:t>
      </w:r>
      <w:r>
        <w:t xml:space="preserve">，采用简化的寄存器接口设计，包含时钟复位、UART串口、LCD显示、GPIO通用IO和中断调试等接口。</w:t>
      </w:r>
    </w:p>
    <w:p>
      <w:pPr>
        <w:pStyle w:val="BodyText"/>
      </w:pPr>
      <w:r>
        <w:rPr>
          <w:b/>
        </w:rPr>
        <w:t xml:space="preserve">端口资源统计：</w:t>
      </w:r>
      <w:r>
        <w:t xml:space="preserve"> </w:t>
      </w:r>
      <w:r>
        <w:t xml:space="preserve">- 输入端口：35个（clock + reset + UART RX + GPIO IN[31:0]）</w:t>
      </w:r>
      <w:r>
        <w:t xml:space="preserve"> </w:t>
      </w:r>
      <w:r>
        <w:t xml:space="preserve">- 输出端口：44个（UART TX + LCD SPI + GPIO OUT[31:0] + 中断信号）</w:t>
      </w:r>
      <w:r>
        <w:t xml:space="preserve"> </w:t>
      </w:r>
      <w:r>
        <w:t xml:space="preserve">- 总端口数：79个</w:t>
      </w:r>
    </w:p>
    <w:p>
      <w:pPr>
        <w:pStyle w:val="BodyText"/>
      </w:pPr>
      <w:r>
        <w:t xml:space="preserve">本设计的SoC顶层端口功能如表1所示。</w:t>
      </w:r>
    </w:p>
    <w:p>
      <w:pPr>
        <w:pStyle w:val="BodyText"/>
      </w:pPr>
      <w:r>
        <w:rPr>
          <w:b/>
        </w:rPr>
        <w:t xml:space="preserve">表1 SoC设计顶层端口功能说明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时钟与复位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系统主时钟输入，工作频率100MHz（周期10ns），已通过时钟验证测试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系统复位信号，高电平有效，同步复位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UART串口接口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io_uart_tx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UART发送数据输出，波特率115200bps，8N1格式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io_uart_rx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UART接收数据输入，波特率115200bps，8N1格式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io_uart_tx_irq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UART发送中断输出，发送FIFO空时触发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io_uart_rx_irq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UART接收中断输出，接收FIFO非空时触发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LCD显示接口（SPI）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io_lcd_spi_clk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SPI时钟输出，频率10MHz（从主时钟10分频），已通过验证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io_lcd_spi_mosi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SPI主出从入数据线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io_lcd_spi_cs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 SPI片选信号，低电平有效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io_lcd_spi_dc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LCD数据/命令选择，高电平=数据，低电平=命令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io_lcd_spi_rst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LCD硬件复位信号，低电平有效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io_lcd_backlight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LCD背光控制信号，高电平点亮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GPIO通用IO接口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io_gpio_out[31:0]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GPIO输出数据，32位通用数字输出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io_gpio_in[31:0]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GPIO输入数据，32位通用数字输入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调试与中断信号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io_trap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CPU异常陷阱信号，指令执行异常时置高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io_compact_irq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CompactAccel加速器中断，矩阵计算完成时触发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io_bitnet_irq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BitNetAccel加速器中断，BitNet计算完成时触发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端口统计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输入端口总数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clock(1) + reset(1) + io_uart_rx(1) + io_gpio_in(32)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输出端口总数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UART(3) + LCD(6) + GPIO(32) + 中断/调试(3)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总端口数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实际设计使用79个端口</w:t>
            </w:r>
          </w:p>
        </w:tc>
      </w:tr>
    </w:tbl>
    <w:p>
      <w:pPr>
        <w:pStyle w:val="BodyText"/>
      </w:pPr>
      <w:r>
        <w:rPr>
          <w:b/>
        </w:rPr>
        <w:t xml:space="preserve">说明：</w:t>
      </w:r>
      <w:r>
        <w:t xml:space="preserve"> </w:t>
      </w:r>
      <w:r>
        <w:t xml:space="preserve">- 本设计为纯数字逻辑设计，所有端口均为数字信号</w:t>
      </w:r>
      <w:r>
        <w:t xml:space="preserve"> </w:t>
      </w:r>
      <w:r>
        <w:t xml:space="preserve">- GPIO端口可根据实际需求配置为输入或输出</w:t>
      </w:r>
      <w:r>
        <w:t xml:space="preserve"> </w:t>
      </w:r>
      <w:r>
        <w:t xml:space="preserve">- 如需适配特定流片平台的IOPAD限制，可调整GPIO位宽或移除LCD接口</w:t>
      </w:r>
    </w:p>
    <w:p>
      <w:pPr>
        <w:pStyle w:val="Heading2"/>
      </w:pPr>
      <w:bookmarkStart w:id="27" w:name="二测试说明"/>
      <w:r>
        <w:t xml:space="preserve">二、测试说明</w:t>
      </w:r>
      <w:bookmarkEnd w:id="27"/>
    </w:p>
    <w:p>
      <w:pPr>
        <w:pStyle w:val="Heading3"/>
      </w:pPr>
      <w:bookmarkStart w:id="28" w:name="逻辑综合"/>
      <w:r>
        <w:t xml:space="preserve">1. 逻辑综合</w:t>
      </w:r>
      <w:bookmarkEnd w:id="28"/>
    </w:p>
    <w:p>
      <w:pPr>
        <w:pStyle w:val="FirstParagraph"/>
      </w:pPr>
      <w:r>
        <w:rPr>
          <w:b/>
        </w:rPr>
        <w:t xml:space="preserve">（注：基于ECOS Studio进行设计的预综合，统计设计规模是否&gt;10万instances。由于没有PLL，本次流片的设计最高主频不超过100MHz）</w:t>
      </w:r>
    </w:p>
    <w:p>
      <w:pPr>
        <w:pStyle w:val="BodyText"/>
      </w:pPr>
      <w:r>
        <w:t xml:space="preserve">本设计基于Chisel 3.x完成RTL设计，生成SystemVerilog代码4290行。使用开源EDA工具链（Yosys综合）针对创芯55nm开源PDK进行逻辑综合。设计包含完整的UART串口控制器和TFT LCD SPI控制器，支持程序上传和图形显示功能。</w:t>
      </w:r>
    </w:p>
    <w:p>
      <w:pPr>
        <w:pStyle w:val="BodyText"/>
      </w:pPr>
      <w:r>
        <w:rPr>
          <w:b/>
        </w:rPr>
        <w:t xml:space="preserve">综合结果统计：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设计规模：</w:t>
      </w:r>
      <w:r>
        <w:t xml:space="preserve"> </w:t>
      </w:r>
      <w:r>
        <w:t xml:space="preserve">标准单元(STDCELL) 77004个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时序性能：</w:t>
      </w:r>
    </w:p>
    <w:p>
      <w:pPr>
        <w:numPr>
          <w:ilvl w:val="1"/>
          <w:numId w:val="1002"/>
        </w:numPr>
        <w:pStyle w:val="Compact"/>
      </w:pPr>
      <w:r>
        <w:t xml:space="preserve">设置频率：100MHz（主时钟）</w:t>
      </w:r>
    </w:p>
    <w:p>
      <w:pPr>
        <w:numPr>
          <w:ilvl w:val="1"/>
          <w:numId w:val="1002"/>
        </w:numPr>
        <w:pStyle w:val="Compact"/>
      </w:pPr>
      <w:r>
        <w:t xml:space="preserve">实际达到频率：176.998MHz</w:t>
      </w:r>
    </w:p>
    <w:p>
      <w:pPr>
        <w:numPr>
          <w:ilvl w:val="1"/>
          <w:numId w:val="1002"/>
        </w:numPr>
        <w:pStyle w:val="Compact"/>
      </w:pPr>
      <w:r>
        <w:t xml:space="preserve">最差负时序(WNS)：14.350ns</w:t>
      </w:r>
    </w:p>
    <w:p>
      <w:pPr>
        <w:numPr>
          <w:ilvl w:val="1"/>
          <w:numId w:val="1002"/>
        </w:numPr>
        <w:pStyle w:val="Compact"/>
      </w:pPr>
      <w:r>
        <w:t xml:space="preserve">总负时序(TNS)：0.000ns</w:t>
      </w:r>
    </w:p>
    <w:p>
      <w:pPr>
        <w:numPr>
          <w:ilvl w:val="1"/>
          <w:numId w:val="1002"/>
        </w:numPr>
        <w:pStyle w:val="Compact"/>
      </w:pPr>
      <w:r>
        <w:t xml:space="preserve">时序违例数量(VIO NUM)：0</w:t>
      </w:r>
    </w:p>
    <w:p>
      <w:pPr>
        <w:numPr>
          <w:ilvl w:val="1"/>
          <w:numId w:val="1002"/>
        </w:numPr>
        <w:pStyle w:val="Compact"/>
      </w:pPr>
      <w:r>
        <w:t xml:space="preserve">时序裕量：76.998MHz（超出目标频率76.998%）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时钟配置：</w:t>
      </w:r>
    </w:p>
    <w:p>
      <w:pPr>
        <w:numPr>
          <w:ilvl w:val="1"/>
          <w:numId w:val="1003"/>
        </w:numPr>
        <w:pStyle w:val="Compact"/>
      </w:pPr>
      <w:r>
        <w:t xml:space="preserve">主时钟：100MHz（周期10ns）</w:t>
      </w:r>
    </w:p>
    <w:p>
      <w:pPr>
        <w:numPr>
          <w:ilvl w:val="1"/>
          <w:numId w:val="1003"/>
        </w:numPr>
        <w:pStyle w:val="Compact"/>
      </w:pPr>
      <w:r>
        <w:t xml:space="preserve">SPI时钟：10MHz（周期100ns，10分频）</w:t>
      </w:r>
    </w:p>
    <w:p>
      <w:pPr>
        <w:numPr>
          <w:ilvl w:val="1"/>
          <w:numId w:val="1003"/>
        </w:numPr>
        <w:pStyle w:val="Compact"/>
      </w:pPr>
      <w:r>
        <w:t xml:space="preserve">时钟验证：100%通过（频率误差2.04%，占空比50.00%）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静态功耗：</w:t>
      </w:r>
      <w:r>
        <w:t xml:space="preserve"> </w:t>
      </w:r>
      <w:r>
        <w:t xml:space="preserve">644.5000 uW (0.000%)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工作温度：</w:t>
      </w:r>
      <w:r>
        <w:t xml:space="preserve"> </w:t>
      </w:r>
      <w:r>
        <w:t xml:space="preserve">80°C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电压条件：</w:t>
      </w:r>
      <w:r>
        <w:t xml:space="preserve"> </w:t>
      </w:r>
      <w:r>
        <w:t xml:space="preserve">LVT: 90%, HVT: 10%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芯片面积：</w:t>
      </w:r>
      <w:r>
        <w:t xml:space="preserve"> </w:t>
      </w:r>
      <w:r>
        <w:t xml:space="preserve">307052 um² (约0.31 mm²)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资源使用：</w:t>
      </w:r>
      <w:r>
        <w:t xml:space="preserve"> </w:t>
      </w:r>
      <w:r>
        <w:t xml:space="preserve">IOPAD: 0, PLL: 0, SRAM: 0</w:t>
      </w:r>
    </w:p>
    <w:p>
      <w:pPr>
        <w:pStyle w:val="FirstParagraph"/>
      </w:pPr>
      <w:r>
        <w:t xml:space="preserve">综合结果显示，设计规模达到77004个标准单元，时序性能优异，实际工作频率可达176.998MHz，远超设计目标的100MHz，所有时序路径均满足要求，无时序违例。时钟验证测试显示SPI时钟频率为10.204MHz（误差2.04%），占空比50.00%，完全满足设计要求。静态功耗仅644.5uW，满足低功耗设计要求。</w:t>
      </w:r>
    </w:p>
    <w:p>
      <w:pPr>
        <w:pStyle w:val="BodyText"/>
      </w:pPr>
      <w:r>
        <w:rPr>
          <w:b/>
        </w:rPr>
        <w:t xml:space="preserve">时钟验证结果：</w:t>
      </w:r>
      <w:r>
        <w:t xml:space="preserve"> </w:t>
      </w:r>
      <w:r>
        <w:t xml:space="preserve">- Chisel仿真测试：2/2通过（100%）</w:t>
      </w:r>
      <w:r>
        <w:t xml:space="preserve"> </w:t>
      </w:r>
      <w:r>
        <w:t xml:space="preserve">- SPI时钟频率：10.204MHz（目标10MHz，误差2.04%）</w:t>
      </w:r>
      <w:r>
        <w:t xml:space="preserve"> </w:t>
      </w:r>
      <w:r>
        <w:t xml:space="preserve">- SPI时钟占空比：50.00%（目标50%，偏差0.00%）</w:t>
      </w:r>
      <w:r>
        <w:t xml:space="preserve"> </w:t>
      </w:r>
      <w:r>
        <w:t xml:space="preserve">- 时钟约束文件：timing_complete.xdc（完整约束）</w:t>
      </w:r>
      <w:r>
        <w:t xml:space="preserve"> </w:t>
      </w:r>
      <w:r>
        <w:t xml:space="preserve">- 验证脚本：verify_clocks.tcl + run_clock_verification.sh</w:t>
      </w:r>
      <w:r>
        <w:t xml:space="preserve"> </w:t>
      </w:r>
      <w:r>
        <w:t xml:space="preserve">- 验证文档：9个完整的时钟验证文档</w:t>
      </w:r>
    </w:p>
    <w:p>
      <w:pPr>
        <w:pStyle w:val="CaptionedFigure"/>
      </w:pPr>
      <w:r>
        <w:drawing>
          <wp:inline>
            <wp:extent cx="5334000" cy="3140363"/>
            <wp:effectExtent b="0" l="0" r="0" t="0"/>
            <wp:docPr descr="图2 逻辑综合结果" title="" id="1" name="Picture"/>
            <a:graphic>
              <a:graphicData uri="http://schemas.openxmlformats.org/drawingml/2006/picture">
                <pic:pic>
                  <pic:nvPicPr>
                    <pic:cNvPr descr="image/synthesis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逻辑综合结果</w:t>
      </w:r>
    </w:p>
    <w:p>
      <w:pPr>
        <w:pStyle w:val="Heading3"/>
      </w:pPr>
      <w:bookmarkStart w:id="30" w:name="逻辑综合后网表仿真"/>
      <w:r>
        <w:t xml:space="preserve">2. 逻辑综合后网表仿真</w:t>
      </w:r>
      <w:bookmarkEnd w:id="30"/>
    </w:p>
    <w:p>
      <w:pPr>
        <w:pStyle w:val="FirstParagraph"/>
      </w:pPr>
      <w:r>
        <w:rPr>
          <w:b/>
        </w:rPr>
        <w:t xml:space="preserve">（注：对逻辑综合后的网表进行仿真，验证综合后网表功能的正确性）</w:t>
      </w:r>
    </w:p>
    <w:p>
      <w:pPr>
        <w:pStyle w:val="BodyText"/>
      </w:pPr>
      <w:r>
        <w:t xml:space="preserve">本设计使用Verilator进行功能仿真验证，完成以下测试用例：</w:t>
      </w:r>
      <w:r>
        <w:t xml:space="preserve"> </w:t>
      </w:r>
      <w:r>
        <w:t xml:space="preserve">- SimpleEdgeAiSoC系统集成测试</w:t>
      </w:r>
      <w:r>
        <w:t xml:space="preserve"> </w:t>
      </w:r>
      <w:r>
        <w:t xml:space="preserve">- CompactAccel 2x2和4x4矩阵乘法测试</w:t>
      </w:r>
      <w:r>
        <w:t xml:space="preserve"> </w:t>
      </w:r>
      <w:r>
        <w:t xml:space="preserve">- BitNetAccel 2x2、8x8 矩阵乘法测试</w:t>
      </w:r>
      <w:r>
        <w:t xml:space="preserve"> </w:t>
      </w:r>
      <w:r>
        <w:t xml:space="preserve">- GPIO功能测试</w:t>
      </w:r>
      <w:r>
        <w:t xml:space="preserve"> </w:t>
      </w:r>
      <w:r>
        <w:t xml:space="preserve">- PicoRV32与加速器交互测试</w:t>
      </w:r>
      <w:r>
        <w:t xml:space="preserve"> </w:t>
      </w:r>
      <w:r>
        <w:t xml:space="preserve">- 内存映射和地址解码测试</w:t>
      </w:r>
      <w:r>
        <w:t xml:space="preserve"> </w:t>
      </w:r>
      <w:r>
        <w:t xml:space="preserve">- 中断处理测试</w:t>
      </w:r>
    </w:p>
    <w:p>
      <w:pPr>
        <w:pStyle w:val="BodyText"/>
      </w:pPr>
      <w:r>
        <w:t xml:space="preserve">所有测试用例均通过验证，功能正确性得到确认。BitNetAccel在8x8矩阵测试中，计算周期518 cycles，跳过零权重168次，稀疏度达到26.2%，验证了稀疏性优化的有效性。</w:t>
      </w:r>
    </w:p>
    <w:p>
      <w:pPr>
        <w:pStyle w:val="BodyText"/>
      </w:pPr>
      <w:r>
        <w:t xml:space="preserve">如图3所示，运行测试效果如下：</w:t>
      </w:r>
      <w:r>
        <w:t xml:space="preserve"> </w:t>
      </w:r>
      <w:r>
        <w:rPr>
          <w:rStyle w:val="VerbatimChar"/>
        </w:rPr>
        <w:t xml:space="preserve">cd chisel bash run.sh test</w:t>
      </w:r>
    </w:p>
    <w:p>
      <w:pPr>
        <w:pStyle w:val="CaptionedFigure"/>
      </w:pPr>
      <w:r>
        <w:drawing>
          <wp:inline>
            <wp:extent cx="5334000" cy="5903831"/>
            <wp:effectExtent b="0" l="0" r="0" t="0"/>
            <wp:docPr descr="图3.1 矩阵计算系统测试截图" title="" id="1" name="Picture"/>
            <a:graphic>
              <a:graphicData uri="http://schemas.openxmlformats.org/drawingml/2006/picture">
                <pic:pic>
                  <pic:nvPicPr>
                    <pic:cNvPr descr="image/post_synthesis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图3.1 矩阵计算系统测试截图</w:t>
      </w:r>
    </w:p>
    <w:p>
      <w:pPr>
        <w:pStyle w:val="SourceCode"/>
      </w:pPr>
      <w:r>
        <w:rPr>
          <w:rStyle w:val="VerbatimChar"/>
        </w:rPr>
        <w:t xml:space="preserve"># 使用 ICS55 PDK</w:t>
      </w:r>
      <w:r>
        <w:br/>
      </w:r>
      <w:r>
        <w:rPr>
          <w:rStyle w:val="VerbatimChar"/>
        </w:rPr>
        <w:t xml:space="preserve">cd chisel/synthesis</w:t>
      </w:r>
      <w:r>
        <w:br/>
      </w:r>
      <w:r>
        <w:rPr>
          <w:rStyle w:val="VerbatimChar"/>
        </w:rPr>
        <w:t xml:space="preserve">./run_ics55_synthesis.sh</w:t>
      </w:r>
      <w:r>
        <w:br/>
      </w:r>
      <w:r>
        <w:rPr>
          <w:rStyle w:val="VerbatimChar"/>
        </w:rPr>
        <w:t xml:space="preserve">python run_post_syn_sim.py --simulator iverilog --netlist ics55</w:t>
      </w:r>
    </w:p>
    <w:p>
      <w:pPr>
        <w:pStyle w:val="FirstParagraph"/>
      </w:pPr>
      <w:r>
        <w:t xml:space="preserve">（一）添加IOPad的asic_top的顶层RTL仿真</w:t>
      </w:r>
      <w:r>
        <w:t xml:space="preserve"> </w:t>
      </w:r>
      <w:r>
        <w:drawing>
          <wp:inline>
            <wp:extent cx="5334000" cy="3337008"/>
            <wp:effectExtent b="0" l="0" r="0" t="0"/>
            <wp:docPr descr="图3.3 asic_top的顶层RTL仿真波形图" title="" id="1" name="Picture"/>
            <a:graphic>
              <a:graphicData uri="http://schemas.openxmlformats.org/drawingml/2006/picture">
                <pic:pic>
                  <pic:nvPicPr>
                    <pic:cNvPr descr="image/asic_top_rtl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（二）V1210的DC网表仿真（用于构建带IOPad的网表测试环境）</w:t>
      </w:r>
      <w:r>
        <w:t xml:space="preserve"> </w:t>
      </w:r>
      <w:r>
        <w:drawing>
          <wp:inline>
            <wp:extent cx="5334000" cy="3337008"/>
            <wp:effectExtent b="0" l="0" r="0" t="0"/>
            <wp:docPr descr="图3.4 V1210的DC网表仿真波形图" title="" id="1" name="Picture"/>
            <a:graphic>
              <a:graphicData uri="http://schemas.openxmlformats.org/drawingml/2006/picture">
                <pic:pic>
                  <pic:nvPicPr>
                    <pic:cNvPr descr="image/asic_top_rtl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（三）云平台版本的单独设计网表仿真</w:t>
      </w:r>
      <w:r>
        <w:t xml:space="preserve"> </w:t>
      </w:r>
      <w:r>
        <w:drawing>
          <wp:inline>
            <wp:extent cx="5334000" cy="3337008"/>
            <wp:effectExtent b="0" l="0" r="0" t="0"/>
            <wp:docPr descr="图3.5 云平台版本的单独设计网表仿真" title="" id="1" name="Picture"/>
            <a:graphic>
              <a:graphicData uri="http://schemas.openxmlformats.org/drawingml/2006/picture">
                <pic:pic>
                  <pic:nvPicPr>
                    <pic:cNvPr descr="image/asic_top_rtl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5" w:name="布局布线后网表仿真"/>
      <w:r>
        <w:t xml:space="preserve">3. 布局布线后网表仿真</w:t>
      </w:r>
      <w:bookmarkEnd w:id="35"/>
    </w:p>
    <w:p>
      <w:pPr>
        <w:pStyle w:val="FirstParagraph"/>
      </w:pPr>
      <w:r>
        <w:rPr>
          <w:b/>
        </w:rPr>
        <w:t xml:space="preserve">（注：对布局布线后的网表进行仿真，验证布局布线后网表功能的正确性）</w:t>
      </w:r>
    </w:p>
    <w:p>
      <w:pPr>
        <w:pStyle w:val="BodyText"/>
      </w:pPr>
      <w:r>
        <w:t xml:space="preserve">本设计计划使用VCS进行原型验证,布局布线后将进行完整的系统级测试，包括：</w:t>
      </w:r>
      <w:r>
        <w:t xml:space="preserve"> </w:t>
      </w:r>
      <w:r>
        <w:t xml:space="preserve">- 时序验证：确保所有路径满足100MHz时序要求</w:t>
      </w:r>
      <w:r>
        <w:t xml:space="preserve"> </w:t>
      </w:r>
      <w:r>
        <w:t xml:space="preserve">- 功能验证：重复前仿所有测试用例</w:t>
      </w:r>
      <w:r>
        <w:t xml:space="preserve"> </w:t>
      </w:r>
      <w:r>
        <w:t xml:space="preserve">- 性能测试：测量实际GOPS性能</w:t>
      </w:r>
      <w:r>
        <w:t xml:space="preserve"> </w:t>
      </w:r>
      <w:r>
        <w:t xml:space="preserve">- 功耗测试：验证功耗是否满足&lt;100mW目标</w:t>
      </w:r>
    </w:p>
    <w:p>
      <w:pPr>
        <w:pStyle w:val="BodyText"/>
      </w:pPr>
      <w:r>
        <w:rPr>
          <w:b/>
        </w:rPr>
        <w:t xml:space="preserve">图4 布局布线结果</w:t>
      </w:r>
      <w:r>
        <w:t xml:space="preserve"> </w:t>
      </w:r>
      <w:r>
        <w:drawing>
          <wp:inline>
            <wp:extent cx="5334000" cy="2080481"/>
            <wp:effectExtent b="0" l="0" r="0" t="0"/>
            <wp:docPr descr="图4.1 后仿真结果" title="" id="1" name="Picture"/>
            <a:graphic>
              <a:graphicData uri="http://schemas.openxmlformats.org/drawingml/2006/picture">
                <pic:pic>
                  <pic:nvPicPr>
                    <pic:cNvPr descr="image/post_si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7" w:name="物理验证结果"/>
      <w:r>
        <w:t xml:space="preserve">4. 物理验证结果</w:t>
      </w:r>
      <w:bookmarkEnd w:id="37"/>
    </w:p>
    <w:p>
      <w:pPr>
        <w:pStyle w:val="FirstParagraph"/>
      </w:pPr>
      <w:r>
        <w:rPr>
          <w:b/>
        </w:rPr>
        <w:t xml:space="preserve">（注：主要做DRC与LVS）</w:t>
      </w:r>
    </w:p>
    <w:p>
      <w:pPr>
        <w:pStyle w:val="BodyText"/>
      </w:pPr>
      <w:r>
        <w:t xml:space="preserve">本设计采用创芯55nm开源PDK工艺，芯片面积约0.31mm²。物理验证包括：</w:t>
      </w:r>
      <w:r>
        <w:t xml:space="preserve"> </w:t>
      </w:r>
      <w:r>
        <w:t xml:space="preserve">- DRC (Design Rule Check)：设计规则检查，确保版图符合创芯55nm工艺要求</w:t>
      </w:r>
      <w:r>
        <w:t xml:space="preserve"> </w:t>
      </w:r>
      <w:r>
        <w:t xml:space="preserve">- LVS (Layout Versus Schematic)：版图与原理图一致性检查</w:t>
      </w:r>
      <w:r>
        <w:t xml:space="preserve"> </w:t>
      </w:r>
      <w:r>
        <w:t xml:space="preserve">- 静态时序分析(STA)：验证时序收敛，目标频率100MHz</w:t>
      </w:r>
      <w:r>
        <w:t xml:space="preserve"> </w:t>
      </w:r>
      <w:r>
        <w:t xml:space="preserve">- 功耗分析：验证功耗指标，目标&lt;100mW</w:t>
      </w:r>
      <w:r>
        <w:t xml:space="preserve"> </w:t>
      </w:r>
      <w:r>
        <w:t xml:space="preserve">- 形式验证：确保综合后网表与RTL等价</w:t>
      </w:r>
    </w:p>
    <w:p>
      <w:pPr>
        <w:pStyle w:val="BodyText"/>
      </w:pPr>
      <w:r>
        <w:t xml:space="preserve">基于创芯55nm开源PDK的优势：</w:t>
      </w:r>
      <w:r>
        <w:t xml:space="preserve"> </w:t>
      </w:r>
      <w:r>
        <w:t xml:space="preserve">- 完全开源的工艺设计套件(PDK)</w:t>
      </w:r>
      <w:r>
        <w:t xml:space="preserve"> </w:t>
      </w:r>
      <w:r>
        <w:t xml:space="preserve">- 降低流片成本和门槛</w:t>
      </w:r>
      <w:r>
        <w:t xml:space="preserve"> </w:t>
      </w:r>
      <w:r>
        <w:t xml:space="preserve">- 支持开源EDA工具链</w:t>
      </w:r>
      <w:r>
        <w:t xml:space="preserve"> </w:t>
      </w:r>
      <w:r>
        <w:t xml:space="preserve">- 适合学术研究和原型验证</w:t>
      </w:r>
    </w:p>
    <w:p>
      <w:pPr>
        <w:pStyle w:val="CaptionedFigure"/>
      </w:pPr>
      <w:r>
        <w:drawing>
          <wp:inline>
            <wp:extent cx="5334000" cy="2121277"/>
            <wp:effectExtent b="0" l="0" r="0" t="0"/>
            <wp:docPr descr="图5 DRC检查和LVS验证结果" title="" id="1" name="Picture"/>
            <a:graphic>
              <a:graphicData uri="http://schemas.openxmlformats.org/drawingml/2006/picture">
                <pic:pic>
                  <pic:nvPicPr>
                    <pic:cNvPr descr="image/drc_lvs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 DRC检查和LVS验证结果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3" Target="media/rId33.jpg" /><Relationship Type="http://schemas.openxmlformats.org/officeDocument/2006/relationships/image" Id="rId34" Target="media/rId34.jpg" /><Relationship Type="http://schemas.openxmlformats.org/officeDocument/2006/relationships/image" Id="rId38" Target="media/rId38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2026-01-20T04:22:07Z</dcterms:created>
  <dcterms:modified xsi:type="dcterms:W3CDTF">2026-01-20T04:22:07Z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