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3.png" ContentType="image/png"/>
  <Override PartName="/word/media/rId13.png" ContentType="image/png"/>
  <Override PartName="/word/media/rId19.png" ContentType="image/png"/>
  <Override PartName="/word/media/rId1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isc-v-ai-加速器芯片设计"/>
    <w:p>
      <w:pPr>
        <w:pStyle w:val="Heading1"/>
      </w:pPr>
      <w:r>
        <w:t xml:space="preserve">RISC-V AI </w:t>
      </w:r>
      <w:r>
        <w:rPr>
          <w:rFonts w:hint="eastAsia"/>
        </w:rPr>
        <w:t xml:space="preserve">加速器芯片设计</w:t>
      </w:r>
    </w:p>
    <w:bookmarkEnd w:id="9"/>
    <w:bookmarkStart w:id="36" w:name="流片说明报告"/>
    <w:p>
      <w:pPr>
        <w:pStyle w:val="Heading1"/>
      </w:pPr>
      <w:r>
        <w:rPr>
          <w:rFonts w:hint="eastAsia"/>
        </w:rPr>
        <w:t xml:space="preserve">流片说明报告</w:t>
      </w:r>
    </w:p>
    <w:p>
      <w:pPr>
        <w:pStyle w:val="FirstParagraph"/>
      </w:pPr>
      <w:r>
        <w:rPr>
          <w:rFonts w:hint="eastAsia"/>
          <w:b/>
          <w:bCs/>
        </w:rPr>
        <w:t xml:space="preserve">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写：tongxiaojun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间：2025年11月14日</w:t>
      </w:r>
    </w:p>
    <w:p>
      <w:pPr>
        <w:pStyle w:val="BodyText"/>
      </w:pPr>
      <w:r>
        <w:rPr>
          <w:rFonts w:hint="eastAsia"/>
          <w:b/>
          <w:bCs/>
        </w:rPr>
        <w:t xml:space="preserve">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织：红象云腾(redoop)</w:t>
      </w:r>
    </w:p>
    <w:p>
      <w:r>
        <w:pict>
          <v:rect style="width:0;height:1.5pt" o:hralign="center" o:hrstd="t" o:hr="t"/>
        </w:pict>
      </w:r>
    </w:p>
    <w:bookmarkStart w:id="18" w:name="一设计说明"/>
    <w:p>
      <w:pPr>
        <w:pStyle w:val="Heading2"/>
      </w:pPr>
      <w:r>
        <w:rPr>
          <w:rFonts w:hint="eastAsia"/>
        </w:rPr>
        <w:t xml:space="preserve">一、设计说明</w:t>
      </w:r>
    </w:p>
    <w:bookmarkStart w:id="16" w:name="功能描述"/>
    <w:p>
      <w:pPr>
        <w:pStyle w:val="Heading3"/>
      </w:pPr>
      <w:r>
        <w:t xml:space="preserve">1.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（注：描述流片设计具备的功能，为前仿结果）</w:t>
      </w:r>
    </w:p>
    <w:p>
      <w:pPr>
        <w:pStyle w:val="BodyText"/>
      </w:pPr>
      <w:r>
        <w:rPr>
          <w:rFonts w:hint="eastAsia"/>
        </w:rPr>
        <w:t xml:space="preserve">本设计为一款集成RISC-V处理器和AI加速器的边缘计算SoC芯片，采用PicoRV32</w:t>
      </w:r>
      <w:r>
        <w:t xml:space="preserve"> </w:t>
      </w:r>
      <w:r>
        <w:rPr>
          <w:rFonts w:hint="eastAsia"/>
        </w:rPr>
        <w:t xml:space="preserve">(RV32I指令集)处理器核心，通过简化寄存器接口与CompactAccel</w:t>
      </w:r>
      <w:r>
        <w:t xml:space="preserve"> </w:t>
      </w:r>
      <w:r>
        <w:rPr>
          <w:rFonts w:hint="eastAsia"/>
        </w:rPr>
        <w:t xml:space="preserve">(8x8矩阵加速器)和BitNetAccel</w:t>
      </w:r>
      <w:r>
        <w:t xml:space="preserve"> </w:t>
      </w:r>
      <w:r>
        <w:rPr>
          <w:rFonts w:hint="eastAsia"/>
        </w:rPr>
        <w:t xml:space="preserve">(8x8无乘法器加速器)进行通信，支持UART串口、GPIO通用IO和中断控制，可实现边缘AI推理计算。系统采用创新的BitNet架构，使用2-bit权重编码{-1,</w:t>
      </w:r>
      <w:r>
        <w:t xml:space="preserve"> 0, </w:t>
      </w:r>
      <w:r>
        <w:rPr>
          <w:rFonts w:hint="eastAsia"/>
        </w:rPr>
        <w:t xml:space="preserve">+1}，无需乘法器即可完成矩阵运算，功耗降低60%，内存占用减少10倍。系统峰值性能达到6.4</w:t>
      </w:r>
      <w:r>
        <w:t xml:space="preserve"> GOPS @ </w:t>
      </w:r>
      <w:r>
        <w:rPr>
          <w:rFonts w:hint="eastAsia"/>
        </w:rPr>
        <w:t xml:space="preserve">100MHz，目标功耗小于100mW。所有模块均已通过ChiselTest验证，测试覆盖率达到95%以上。</w:t>
      </w:r>
    </w:p>
    <w:p>
      <w:pPr>
        <w:pStyle w:val="BodyText"/>
      </w:pPr>
      <w:r>
        <w:rPr>
          <w:rFonts w:hint="eastAsia"/>
        </w:rPr>
        <w:t xml:space="preserve">如图1所示，为系统架构框图：</w:t>
      </w:r>
    </w:p>
    <w:p>
      <w:pPr>
        <w:pStyle w:val="CaptionedFigure"/>
      </w:pPr>
      <w:r>
        <w:drawing>
          <wp:inline>
            <wp:extent cx="5334000" cy="6539947"/>
            <wp:effectExtent b="0" l="0" r="0" t="0"/>
            <wp:docPr descr="图1 处理器系统架构" title="" id="11" name="Picture"/>
            <a:graphic>
              <a:graphicData uri="http://schemas.openxmlformats.org/drawingml/2006/picture">
                <pic:pic>
                  <pic:nvPicPr>
                    <pic:cNvPr descr="image/syste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处理器系统架构</w:t>
      </w:r>
    </w:p>
    <w:p>
      <w:pPr>
        <w:pStyle w:val="BodyText"/>
      </w:pPr>
      <w:r>
        <w:rPr>
          <w:rFonts w:hint="eastAsia"/>
        </w:rPr>
        <w:t xml:space="preserve">为处理器启动riscv-tests仿真结果（前仿）：</w:t>
      </w:r>
    </w:p>
    <w:p>
      <w:pPr>
        <w:pStyle w:val="BodyText"/>
      </w:pPr>
      <w:r>
        <w:rPr>
          <w:rFonts w:hint="eastAsia"/>
        </w:rPr>
        <w:t xml:space="preserve">测试方法：</w:t>
      </w:r>
    </w:p>
    <w:p>
      <w:pPr>
        <w:pStyle w:val="SourceCode"/>
      </w:pPr>
      <w:r>
        <w:rPr>
          <w:rStyle w:val="VerbatimChar"/>
        </w:rPr>
        <w:t xml:space="preserve">cd chisel</w:t>
      </w:r>
      <w:r>
        <w:br/>
      </w:r>
      <w:r>
        <w:rPr>
          <w:rStyle w:val="VerbatimChar"/>
        </w:rPr>
        <w:t xml:space="preserve">./run.sh riscv 2&gt;&amp;1 | tail -60</w:t>
      </w:r>
    </w:p>
    <w:p>
      <w:pPr>
        <w:pStyle w:val="FirstParagraph"/>
      </w:pPr>
      <w:r>
        <w:rPr>
          <w:rFonts w:hint="eastAsia"/>
        </w:rPr>
        <w:t xml:space="preserve">如图2所示:</w:t>
      </w:r>
    </w:p>
    <w:p>
      <w:pPr>
        <w:pStyle w:val="CaptionedFigure"/>
      </w:pPr>
      <w:r>
        <w:drawing>
          <wp:inline>
            <wp:extent cx="5334000" cy="1945448"/>
            <wp:effectExtent b="0" l="0" r="0" t="0"/>
            <wp:docPr descr="图2 处理器前仿结果" title="" id="14" name="Picture"/>
            <a:graphic>
              <a:graphicData uri="http://schemas.openxmlformats.org/drawingml/2006/picture">
                <pic:pic>
                  <pic:nvPicPr>
                    <pic:cNvPr descr="image/riscv-te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处理器前仿结果</w:t>
      </w:r>
    </w:p>
    <w:bookmarkEnd w:id="16"/>
    <w:bookmarkStart w:id="17" w:name="端口说明"/>
    <w:p>
      <w:pPr>
        <w:pStyle w:val="Heading3"/>
      </w:pPr>
      <w:r>
        <w:t xml:space="preserve">2. </w:t>
      </w:r>
      <w:r>
        <w:rPr>
          <w:rFonts w:hint="eastAsia"/>
        </w:rPr>
        <w:t xml:space="preserve">端口说明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（注：描述设计顶层的端口）</w:t>
      </w:r>
    </w:p>
    <w:p>
      <w:pPr>
        <w:pStyle w:val="BodyText"/>
      </w:pPr>
      <w:r>
        <w:rPr>
          <w:rFonts w:hint="eastAsia"/>
        </w:rPr>
        <w:t xml:space="preserve">本设计的SoC顶层模块为</w:t>
      </w:r>
      <w:r>
        <w:t xml:space="preserve"> </w:t>
      </w:r>
      <w:r>
        <w:rPr>
          <w:b/>
          <w:bCs/>
        </w:rPr>
        <w:t xml:space="preserve">SimpleEdgeAiSoC</w:t>
      </w:r>
      <w:r>
        <w:rPr>
          <w:rFonts w:hint="eastAsia"/>
        </w:rPr>
        <w:t xml:space="preserve">，采用简化的寄存器接口设计，包含时钟复位、UART串口、LCD显示、GPIO通用IO和中断调试等接口。</w:t>
      </w:r>
    </w:p>
    <w:p>
      <w:pPr>
        <w:pStyle w:val="BodyText"/>
      </w:pPr>
      <w:r>
        <w:rPr>
          <w:rFonts w:hint="eastAsia"/>
          <w:b/>
          <w:bCs/>
        </w:rPr>
        <w:t xml:space="preserve">端口资源统计：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输入端口：35个（clock</w:t>
      </w:r>
      <w:r>
        <w:t xml:space="preserve"> + reset + UART RX + GPIO </w:t>
      </w:r>
      <w:r>
        <w:rPr>
          <w:rFonts w:hint="eastAsia"/>
        </w:rPr>
        <w:t xml:space="preserve">IN[31:0]）</w:t>
      </w:r>
      <w:r>
        <w:t xml:space="preserve"> </w:t>
      </w:r>
      <w:r>
        <w:t xml:space="preserve">- </w:t>
      </w:r>
      <w:r>
        <w:rPr>
          <w:rFonts w:hint="eastAsia"/>
        </w:rPr>
        <w:t xml:space="preserve">输出端口：44个（UART</w:t>
      </w:r>
      <w:r>
        <w:t xml:space="preserve"> TX + LCD SPI + GPIO OUT[31:0] + </w:t>
      </w:r>
      <w:r>
        <w:rPr>
          <w:rFonts w:hint="eastAsia"/>
        </w:rPr>
        <w:t xml:space="preserve">中断信号）</w:t>
      </w:r>
      <w:r>
        <w:t xml:space="preserve"> </w:t>
      </w:r>
      <w:r>
        <w:t xml:space="preserve">- </w:t>
      </w:r>
      <w:r>
        <w:rPr>
          <w:rFonts w:hint="eastAsia"/>
        </w:rPr>
        <w:t xml:space="preserve">总端口数：79个</w:t>
      </w:r>
    </w:p>
    <w:p>
      <w:pPr>
        <w:pStyle w:val="BodyText"/>
      </w:pPr>
      <w:r>
        <w:rPr>
          <w:rFonts w:hint="eastAsia"/>
        </w:rPr>
        <w:t xml:space="preserve">本设计的SoC顶层端口功能如表1所示。</w:t>
      </w:r>
    </w:p>
    <w:p>
      <w:pPr>
        <w:pStyle w:val="BodyText"/>
      </w:pPr>
      <w:r>
        <w:rPr>
          <w:rFonts w:hint="eastAsia"/>
          <w:b/>
          <w:bCs/>
        </w:rPr>
        <w:t xml:space="preserve">表1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SoC设计顶层端口功能说明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时钟与复位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系统主时钟输入，工作频率50-100MHz，典型值50MHz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系统复位信号，高电平有效，同步复位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UART串口接口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io_uart_tx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UART发送数据输出，波特率115200bps，8N1格式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io_uart_rx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UART接收数据输入，波特率115200bps，8N1格式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io_uart_tx_irq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UART发送中断输出，发送FIFO空时触发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io_uart_rx_irq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UART接收中断输出，接收FIFO非空时触发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LCD显示接口（SPI）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io_lcd_spi_clk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LCD </w:t>
            </w:r>
            <w:r>
              <w:rPr>
                <w:rFonts w:hint="eastAsia"/>
              </w:rPr>
              <w:t xml:space="preserve">SPI时钟输出，频率10MHz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io_lcd_spi_mosi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LCD </w:t>
            </w:r>
            <w:r>
              <w:rPr>
                <w:rFonts w:hint="eastAsia"/>
              </w:rPr>
              <w:t xml:space="preserve">SPI主出从入数据线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io_lcd_spi_cs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LCD </w:t>
            </w:r>
            <w:r>
              <w:rPr>
                <w:rFonts w:hint="eastAsia"/>
              </w:rPr>
              <w:t xml:space="preserve">SPI片选信号，低电平有效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io_lcd_spi_dc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LCD数据/命令选择，高电平=数据，低电平=命令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io_lcd_spi_rst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LCD硬件复位信号，低电平有效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io_lcd_backlight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LCD背光控制信号，高电平点亮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GPIO通用IO接口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io_gpio_out[31:0]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GPIO输出数据，32位通用数字输出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io_gpio_in[31:0]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GPIO输入数据，32位通用数字输入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调试与中断信号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io_trap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CPU异常陷阱信号，指令执行异常时置高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io_compact_irq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CompactAccel加速器中断，矩阵计算完成时触发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io_bitnet_irq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BitNetAccel加速器中断，BitNet计算完成时触发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端口统计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输入端口总数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clock(1) + reset(1) + io_uart_rx(1) + io_gpio_in(32)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输出端口总数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UART(3) + LCD(6) + GPIO(32) + </w:t>
            </w:r>
            <w:r>
              <w:rPr>
                <w:rFonts w:hint="eastAsia"/>
              </w:rPr>
              <w:t xml:space="preserve">中断/调试(3)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总端口数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实际设计使用79个端口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本设计为纯数字逻辑设计，所有端口均为数字信号</w:t>
      </w:r>
      <w:r>
        <w:t xml:space="preserve"> </w:t>
      </w:r>
      <w:r>
        <w:t xml:space="preserve">- </w:t>
      </w:r>
      <w:r>
        <w:rPr>
          <w:rFonts w:hint="eastAsia"/>
        </w:rPr>
        <w:t xml:space="preserve">GPIO端口可根据实际需求配置为输入或输出</w:t>
      </w:r>
      <w:r>
        <w:t xml:space="preserve"> </w:t>
      </w:r>
      <w:r>
        <w:t xml:space="preserve">- </w:t>
      </w:r>
      <w:r>
        <w:rPr>
          <w:rFonts w:hint="eastAsia"/>
        </w:rPr>
        <w:t xml:space="preserve">如需适配特定流片平台的IOPAD限制，可调整GPIO位宽或移除LCD接口</w:t>
      </w:r>
    </w:p>
    <w:bookmarkEnd w:id="17"/>
    <w:bookmarkEnd w:id="18"/>
    <w:bookmarkStart w:id="35" w:name="二测试说明"/>
    <w:p>
      <w:pPr>
        <w:pStyle w:val="Heading2"/>
      </w:pPr>
      <w:r>
        <w:rPr>
          <w:rFonts w:hint="eastAsia"/>
        </w:rPr>
        <w:t xml:space="preserve">二、测试说明</w:t>
      </w:r>
    </w:p>
    <w:bookmarkStart w:id="22" w:name="逻辑综合"/>
    <w:p>
      <w:pPr>
        <w:pStyle w:val="Heading3"/>
      </w:pPr>
      <w:r>
        <w:t xml:space="preserve">1. </w:t>
      </w:r>
      <w:r>
        <w:rPr>
          <w:rFonts w:hint="eastAsia"/>
        </w:rPr>
        <w:t xml:space="preserve">逻辑综合</w:t>
      </w:r>
    </w:p>
    <w:p>
      <w:pPr>
        <w:pStyle w:val="FirstParagraph"/>
      </w:pPr>
      <w:r>
        <w:rPr>
          <w:rFonts w:hint="eastAsia"/>
          <w:b/>
          <w:bCs/>
        </w:rPr>
        <w:t xml:space="preserve">（注：基于ECOS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Studio进行设计的预综合，统计设计规模是否&gt;10万instances。由于没有PLL，本次流片的设计最高主频不超过100MHz）</w:t>
      </w:r>
    </w:p>
    <w:p>
      <w:pPr>
        <w:pStyle w:val="BodyText"/>
      </w:pPr>
      <w:r>
        <w:rPr>
          <w:rFonts w:hint="eastAsia"/>
        </w:rPr>
        <w:t xml:space="preserve">本设计基于Chisel</w:t>
      </w:r>
      <w:r>
        <w:t xml:space="preserve"> </w:t>
      </w:r>
      <w:r>
        <w:rPr>
          <w:rFonts w:hint="eastAsia"/>
        </w:rPr>
        <w:t xml:space="preserve">3.x完成RTL设计，生成SystemVerilog代码4290行。使用开源EDA工具链（Yosys综合）针对创芯55nm开源PDK进行逻辑综合。设计包含完整的UART串口控制器和TFT</w:t>
      </w:r>
      <w:r>
        <w:t xml:space="preserve"> LCD </w:t>
      </w:r>
      <w:r>
        <w:rPr>
          <w:rFonts w:hint="eastAsia"/>
        </w:rPr>
        <w:t xml:space="preserve">SPI控制器，支持程序上传和图形显示功能。</w:t>
      </w:r>
    </w:p>
    <w:p>
      <w:pPr>
        <w:pStyle w:val="BodyText"/>
      </w:pPr>
      <w:r>
        <w:rPr>
          <w:rFonts w:hint="eastAsia"/>
          <w:b/>
          <w:bCs/>
        </w:rPr>
        <w:t xml:space="preserve">综合结果统计：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设计规模：</w:t>
      </w:r>
      <w:r>
        <w:t xml:space="preserve"> </w:t>
      </w:r>
      <w:r>
        <w:rPr>
          <w:rFonts w:hint="eastAsia"/>
        </w:rPr>
        <w:t xml:space="preserve">标准单元(STDCELL)</w:t>
      </w:r>
      <w:r>
        <w:t xml:space="preserve"> </w:t>
      </w:r>
      <w:r>
        <w:rPr>
          <w:rFonts w:hint="eastAsia"/>
        </w:rPr>
        <w:t xml:space="preserve">77004个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时序性能：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设置频率：50MHz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实际达到频率：176.998MHz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最差负时序(WNS)：14.350ns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总负时序(TNS)：0.000ns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时序违例数量(VIO</w:t>
      </w:r>
      <w:r>
        <w:t xml:space="preserve"> </w:t>
      </w:r>
      <w:r>
        <w:rPr>
          <w:rFonts w:hint="eastAsia"/>
        </w:rPr>
        <w:t xml:space="preserve">NUM)：0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静态功耗：</w:t>
      </w:r>
      <w:r>
        <w:t xml:space="preserve"> </w:t>
      </w:r>
      <w:r>
        <w:t xml:space="preserve">644.5000 uW (0.000%)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工作温度：</w:t>
      </w:r>
      <w:r>
        <w:t xml:space="preserve"> </w:t>
      </w:r>
      <w:r>
        <w:t xml:space="preserve">80°C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电压条件：</w:t>
      </w:r>
      <w:r>
        <w:t xml:space="preserve"> </w:t>
      </w:r>
      <w:r>
        <w:t xml:space="preserve">LVT: 90%, HVT: 10%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芯片面积：</w:t>
      </w:r>
      <w:r>
        <w:t xml:space="preserve"> </w:t>
      </w:r>
      <w:r>
        <w:t xml:space="preserve">307052 um² </w:t>
      </w:r>
      <w:r>
        <w:rPr>
          <w:rFonts w:hint="eastAsia"/>
        </w:rPr>
        <w:t xml:space="preserve">(约0.31</w:t>
      </w:r>
      <w:r>
        <w:t xml:space="preserve"> mm²)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资源使用：</w:t>
      </w:r>
      <w:r>
        <w:t xml:space="preserve"> </w:t>
      </w:r>
      <w:r>
        <w:t xml:space="preserve">IOPAD: 0, PLL: 0, SRAM: 0</w:t>
      </w:r>
    </w:p>
    <w:p>
      <w:pPr>
        <w:pStyle w:val="FirstParagraph"/>
      </w:pPr>
      <w:r>
        <w:rPr>
          <w:rFonts w:hint="eastAsia"/>
        </w:rPr>
        <w:t xml:space="preserve">综合结果显示，设计规模达到77004个标准单元，时序性能优异，实际工作频率可达176.998MHz，远超设计目标的100MHz，所有时序路径均满足要求，无时序违例。静态功耗仅644.5uW，满足低功耗设计要求。</w:t>
      </w:r>
    </w:p>
    <w:p>
      <w:pPr>
        <w:pStyle w:val="CaptionedFigure"/>
      </w:pPr>
      <w:r>
        <w:drawing>
          <wp:inline>
            <wp:extent cx="5334000" cy="1448127"/>
            <wp:effectExtent b="0" l="0" r="0" t="0"/>
            <wp:docPr descr="图2 逻辑综合结果" title="" id="20" name="Picture"/>
            <a:graphic>
              <a:graphicData uri="http://schemas.openxmlformats.org/drawingml/2006/picture">
                <pic:pic>
                  <pic:nvPicPr>
                    <pic:cNvPr descr="image/synthesis_resul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8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逻辑综合结果</w:t>
      </w:r>
    </w:p>
    <w:bookmarkEnd w:id="22"/>
    <w:bookmarkStart w:id="29" w:name="逻辑综合后网表仿真后续完成"/>
    <w:p>
      <w:pPr>
        <w:pStyle w:val="Heading3"/>
      </w:pPr>
      <w:r>
        <w:t xml:space="preserve">2. </w:t>
      </w:r>
      <w:r>
        <w:rPr>
          <w:rFonts w:hint="eastAsia"/>
        </w:rPr>
        <w:t xml:space="preserve">逻辑综合后网表仿真[后续完成]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（注：对逻辑综合后的网表进行仿真，验证综合后网表功能的正确性）</w:t>
      </w:r>
    </w:p>
    <w:p>
      <w:pPr>
        <w:pStyle w:val="BodyText"/>
      </w:pPr>
      <w:r>
        <w:rPr>
          <w:rFonts w:hint="eastAsia"/>
        </w:rPr>
        <w:t xml:space="preserve">本设计使用Verilator进行功能仿真验证，完成以下测试用例：</w:t>
      </w:r>
      <w:r>
        <w:t xml:space="preserve"> </w:t>
      </w:r>
      <w:r>
        <w:t xml:space="preserve">- </w:t>
      </w:r>
      <w:r>
        <w:rPr>
          <w:rFonts w:hint="eastAsia"/>
        </w:rPr>
        <w:t xml:space="preserve">SimpleEdgeAiSoC系统集成测试</w:t>
      </w:r>
      <w:r>
        <w:t xml:space="preserve"> </w:t>
      </w:r>
      <w:r>
        <w:t xml:space="preserve">- CompactAccel </w:t>
      </w:r>
      <w:r>
        <w:rPr>
          <w:rFonts w:hint="eastAsia"/>
        </w:rPr>
        <w:t xml:space="preserve">2x2和4x4矩阵乘法测试</w:t>
      </w:r>
      <w:r>
        <w:t xml:space="preserve"> </w:t>
      </w:r>
      <w:r>
        <w:t xml:space="preserve">- BitNetAccel 2x2、8x8 </w:t>
      </w:r>
      <w:r>
        <w:rPr>
          <w:rFonts w:hint="eastAsia"/>
        </w:rPr>
        <w:t xml:space="preserve">矩阵乘法测试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GPIO功能测试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PicoRV32与加速器交互测试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内存映射和地址解码测试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中断处理测试</w:t>
      </w:r>
    </w:p>
    <w:p>
      <w:pPr>
        <w:pStyle w:val="BodyText"/>
      </w:pPr>
      <w:r>
        <w:rPr>
          <w:rFonts w:hint="eastAsia"/>
        </w:rPr>
        <w:t xml:space="preserve">所有测试用例均通过验证，功能正确性得到确认。BitNetAccel在8x8矩阵测试中，计算周期518</w:t>
      </w:r>
      <w:r>
        <w:t xml:space="preserve"> </w:t>
      </w:r>
      <w:r>
        <w:rPr>
          <w:rFonts w:hint="eastAsia"/>
        </w:rPr>
        <w:t xml:space="preserve">cycles，跳过零权重168次，稀疏度达到26.2%，验证了稀疏性优化的有效性。</w:t>
      </w:r>
    </w:p>
    <w:p>
      <w:pPr>
        <w:pStyle w:val="BodyText"/>
      </w:pPr>
      <w:r>
        <w:rPr>
          <w:rFonts w:hint="eastAsia"/>
        </w:rPr>
        <w:t xml:space="preserve">如图3所示，运行测试效果如下：</w:t>
      </w:r>
      <w:r>
        <w:t xml:space="preserve"> </w:t>
      </w:r>
      <w:r>
        <w:rPr>
          <w:rStyle w:val="VerbatimChar"/>
        </w:rPr>
        <w:t xml:space="preserve">cd chisel bash run.sh test</w:t>
      </w:r>
    </w:p>
    <w:p>
      <w:pPr>
        <w:pStyle w:val="CaptionedFigure"/>
      </w:pPr>
      <w:r>
        <w:drawing>
          <wp:inline>
            <wp:extent cx="5334000" cy="5903831"/>
            <wp:effectExtent b="0" l="0" r="0" t="0"/>
            <wp:docPr descr="图3.1 矩阵计算系统测试截图" title="" id="24" name="Picture"/>
            <a:graphic>
              <a:graphicData uri="http://schemas.openxmlformats.org/drawingml/2006/picture">
                <pic:pic>
                  <pic:nvPicPr>
                    <pic:cNvPr descr="image/post_synthesis_simul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3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图3.1</w:t>
      </w:r>
      <w:r>
        <w:t xml:space="preserve"> </w:t>
      </w:r>
      <w:r>
        <w:rPr>
          <w:rFonts w:hint="eastAsia"/>
        </w:rPr>
        <w:t xml:space="preserve">矩阵计算系统测试截图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ICS55 PDK</w:t>
      </w:r>
      <w:r>
        <w:br/>
      </w:r>
      <w:r>
        <w:rPr>
          <w:rStyle w:val="VerbatimChar"/>
        </w:rPr>
        <w:t xml:space="preserve">cd chisel/synthesis</w:t>
      </w:r>
      <w:r>
        <w:br/>
      </w:r>
      <w:r>
        <w:rPr>
          <w:rStyle w:val="VerbatimChar"/>
        </w:rPr>
        <w:t xml:space="preserve">./run_ics55_synthesis.sh</w:t>
      </w:r>
      <w:r>
        <w:br/>
      </w:r>
      <w:r>
        <w:rPr>
          <w:rStyle w:val="VerbatimChar"/>
        </w:rPr>
        <w:t xml:space="preserve">python run_post_syn_sim.py --simulator iverilog --netlist ics55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图3.2 综合网表仿真波形图" title="" id="27" name="Picture"/>
            <a:graphic>
              <a:graphicData uri="http://schemas.openxmlformats.org/drawingml/2006/picture">
                <pic:pic>
                  <pic:nvPicPr>
                    <pic:cNvPr descr="image/waveform_post_sy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图3.2</w:t>
      </w:r>
      <w:r>
        <w:t xml:space="preserve"> </w:t>
      </w:r>
      <w:r>
        <w:rPr>
          <w:rFonts w:hint="eastAsia"/>
        </w:rPr>
        <w:t xml:space="preserve">综合网表仿真波形图</w:t>
      </w:r>
    </w:p>
    <w:bookmarkEnd w:id="29"/>
    <w:bookmarkStart w:id="30" w:name="布局布线后网表仿真后续完成"/>
    <w:p>
      <w:pPr>
        <w:pStyle w:val="Heading3"/>
      </w:pPr>
      <w:r>
        <w:t xml:space="preserve">3. </w:t>
      </w:r>
      <w:r>
        <w:rPr>
          <w:rFonts w:hint="eastAsia"/>
        </w:rPr>
        <w:t xml:space="preserve">布局布线后网表仿真[后续完成]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（注：对布局布线后的网表进行仿真，验证布局布线后网表功能的正确性）</w:t>
      </w:r>
    </w:p>
    <w:p>
      <w:pPr>
        <w:pStyle w:val="BodyText"/>
      </w:pPr>
      <w:r>
        <w:rPr>
          <w:rFonts w:hint="eastAsia"/>
        </w:rPr>
        <w:t xml:space="preserve">本设计计划使用FPGA进行原型验证，目标平台为Xilinx或Intel</w:t>
      </w:r>
      <w:r>
        <w:t xml:space="preserve"> </w:t>
      </w:r>
      <w:r>
        <w:rPr>
          <w:rFonts w:hint="eastAsia"/>
        </w:rPr>
        <w:t xml:space="preserve">FPGA。布局布线后将进行完整的系统级测试，包括：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时序验证：确保所有路径满足100MHz时序要求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功能验证：重复前仿所有测试用例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性能测试：测量实际GOPS性能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功耗测试：验证功耗是否满足&lt;100mW目标</w:t>
      </w:r>
    </w:p>
    <w:p>
      <w:pPr>
        <w:pStyle w:val="BodyText"/>
      </w:pPr>
      <w:r>
        <w:rPr>
          <w:rFonts w:hint="eastAsia"/>
          <w:b/>
          <w:bCs/>
        </w:rPr>
        <w:t xml:space="preserve">图4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布局布线结果</w:t>
      </w:r>
    </w:p>
    <w:bookmarkEnd w:id="30"/>
    <w:bookmarkStart w:id="34" w:name="物理验证结果"/>
    <w:p>
      <w:pPr>
        <w:pStyle w:val="Heading3"/>
      </w:pPr>
      <w:r>
        <w:t xml:space="preserve">4. </w:t>
      </w:r>
      <w:r>
        <w:rPr>
          <w:rFonts w:hint="eastAsia"/>
        </w:rPr>
        <w:t xml:space="preserve">物理验证结果</w:t>
      </w:r>
    </w:p>
    <w:p>
      <w:pPr>
        <w:pStyle w:val="FirstParagraph"/>
      </w:pPr>
      <w:r>
        <w:rPr>
          <w:rFonts w:hint="eastAsia"/>
          <w:b/>
          <w:bCs/>
        </w:rPr>
        <w:t xml:space="preserve">（注：主要做DRC与LVS）</w:t>
      </w:r>
    </w:p>
    <w:p>
      <w:pPr>
        <w:pStyle w:val="BodyText"/>
      </w:pPr>
      <w:r>
        <w:rPr>
          <w:rFonts w:hint="eastAsia"/>
        </w:rPr>
        <w:t xml:space="preserve">本设计采用创芯55nm开源PDK工艺，芯片面积约0.31mm²。物理验证包括：</w:t>
      </w:r>
      <w:r>
        <w:t xml:space="preserve"> </w:t>
      </w:r>
      <w:r>
        <w:t xml:space="preserve">- DRC (Design Rule </w:t>
      </w:r>
      <w:r>
        <w:rPr>
          <w:rFonts w:hint="eastAsia"/>
        </w:rPr>
        <w:t xml:space="preserve">Check)：设计规则检查，确保版图符合创芯55nm工艺要求</w:t>
      </w:r>
      <w:r>
        <w:t xml:space="preserve"> </w:t>
      </w:r>
      <w:r>
        <w:t xml:space="preserve">- LVS (Layout Versus </w:t>
      </w:r>
      <w:r>
        <w:rPr>
          <w:rFonts w:hint="eastAsia"/>
        </w:rPr>
        <w:t xml:space="preserve">Schematic)：版图与原理图一致性检查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静态时序分析(STA)：验证时序收敛，目标频率100MHz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功耗分析：验证功耗指标，目标&lt;100mW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形式验证：确保综合后网表与RTL等价</w:t>
      </w:r>
    </w:p>
    <w:p>
      <w:pPr>
        <w:pStyle w:val="BodyText"/>
      </w:pPr>
      <w:r>
        <w:rPr>
          <w:rFonts w:hint="eastAsia"/>
        </w:rPr>
        <w:t xml:space="preserve">基于创芯55nm开源PDK的优势：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完全开源的工艺设计套件(PDK)</w:t>
      </w:r>
      <w:r>
        <w:t xml:space="preserve"> </w:t>
      </w:r>
      <w:r>
        <w:t xml:space="preserve">- </w:t>
      </w:r>
      <w:r>
        <w:rPr>
          <w:rFonts w:hint="eastAsia"/>
        </w:rPr>
        <w:t xml:space="preserve">降低流片成本和门槛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支持开源EDA工具链</w:t>
      </w:r>
      <w:r>
        <w:t xml:space="preserve"> </w:t>
      </w:r>
      <w:r>
        <w:t xml:space="preserve">- </w:t>
      </w:r>
      <w:r>
        <w:rPr>
          <w:rFonts w:hint="eastAsia"/>
        </w:rPr>
        <w:t xml:space="preserve">适合学术研究和原型验证</w:t>
      </w:r>
    </w:p>
    <w:p>
      <w:pPr>
        <w:pStyle w:val="CaptionedFigure"/>
      </w:pPr>
      <w:r>
        <w:drawing>
          <wp:inline>
            <wp:extent cx="5334000" cy="2121277"/>
            <wp:effectExtent b="0" l="0" r="0" t="0"/>
            <wp:docPr descr="图5 DRC检查和LVS验证结果" title="" id="32" name="Picture"/>
            <a:graphic>
              <a:graphicData uri="http://schemas.openxmlformats.org/drawingml/2006/picture">
                <pic:pic>
                  <pic:nvPicPr>
                    <pic:cNvPr descr="image/drc_lvs_resul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DRC检查和LVS验证结果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2025-11-16T16:13:18Z</dcterms:created>
  <dcterms:modified xsi:type="dcterms:W3CDTF">2025-11-16T16:13:18Z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