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00" w:before="240"/>
        <w:jc w:val="center"/>
      </w:pPr>
      <w:r>
        <w:rPr>
          <w:rFonts w:ascii="Times New Roman" w:hAnsi="Times New Roman" w:eastAsia="新細明體"/>
          <w:b/>
          <w:i w:val="0"/>
          <w:sz w:val="36"/>
        </w:rPr>
        <w:t>人間性的歷史生成</w:t>
      </w:r>
    </w:p>
    <w:p>
      <w:pPr>
        <w:spacing w:line="360" w:lineRule="auto" w:after="200" w:before="240"/>
        <w:jc w:val="center"/>
      </w:pPr>
      <w:r>
        <w:rPr>
          <w:rFonts w:ascii="Times New Roman" w:hAnsi="Times New Roman" w:eastAsia="新細明體"/>
          <w:b/>
          <w:i w:val="0"/>
          <w:sz w:val="28"/>
        </w:rPr>
        <w:t>近代東亞宗教復興與戰後台灣佛教、基督教公共性之比較宗教史研究（1890–2020）</w:t>
      </w:r>
    </w:p>
    <w:p>
      <w:pPr>
        <w:spacing w:line="360" w:lineRule="auto" w:after="120"/>
        <w:jc w:val="center"/>
      </w:pPr>
      <w:r>
        <w:rPr>
          <w:rFonts w:ascii="Times New Roman" w:hAnsi="Times New Roman" w:eastAsia="新細明體"/>
          <w:b w:val="0"/>
          <w:i/>
          <w:sz w:val="24"/>
        </w:rPr>
        <w:t>The Making of the Human Realm: A Comparative Religious History of the East Asian Religious Revival and the Public Turn of Buddhism and Christianity in Taiwan, 1890–2020</w:t>
      </w:r>
    </w:p>
    <w:p>
      <w:pPr>
        <w:spacing w:line="360" w:lineRule="auto" w:after="120"/>
        <w:jc w:val="center"/>
      </w:pPr>
      <w:r>
        <w:rPr>
          <w:rFonts w:ascii="Times New Roman" w:hAnsi="Times New Roman" w:eastAsia="新細明體"/>
          <w:b w:val="0"/>
          <w:i w:val="0"/>
          <w:sz w:val="24"/>
        </w:rPr>
        <w:t>玄奘大學社會科學院宗教與文化學系博士班　研究計畫書</w:t>
      </w:r>
    </w:p>
    <w:p>
      <w:pPr>
        <w:spacing w:line="360" w:lineRule="auto" w:after="120"/>
        <w:jc w:val="center"/>
      </w:pPr>
      <w:r>
        <w:rPr>
          <w:rFonts w:ascii="Times New Roman" w:hAnsi="Times New Roman" w:eastAsia="新細明體"/>
          <w:b w:val="0"/>
          <w:i w:val="0"/>
          <w:sz w:val="24"/>
        </w:rPr>
        <w:t>張辰瑋　Chen-Wei Chang</w:t>
      </w:r>
    </w:p>
    <w:p>
      <w:pPr>
        <w:spacing w:line="360" w:lineRule="auto" w:after="200" w:before="240"/>
      </w:pPr>
      <w:r>
        <w:rPr>
          <w:rFonts w:ascii="Times New Roman" w:hAnsi="Times New Roman" w:eastAsia="新細明體"/>
          <w:b/>
          <w:i w:val="0"/>
          <w:sz w:val="28"/>
        </w:rPr>
        <w:t>摘要</w:t>
      </w:r>
    </w:p>
    <w:p>
      <w:pPr>
        <w:spacing w:line="360" w:lineRule="auto" w:after="120"/>
        <w:ind w:firstLine="480"/>
      </w:pPr>
      <w:r>
        <w:rPr>
          <w:rFonts w:ascii="Times New Roman" w:hAnsi="Times New Roman" w:eastAsia="新細明體"/>
          <w:b w:val="0"/>
          <w:i w:val="0"/>
          <w:sz w:val="24"/>
        </w:rPr>
        <w:t>本研究是一項比較宗教史（comparative religious history）的研究，處理的問題是：</w:t>
      </w:r>
      <w:r>
        <w:rPr>
          <w:rFonts w:ascii="Times New Roman" w:hAnsi="Times New Roman" w:eastAsia="新細明體"/>
          <w:b/>
          <w:i w:val="0"/>
          <w:sz w:val="24"/>
        </w:rPr>
        <w:t>戰後台灣的佛教與基督教，各自的「公共性」與「人間性」是怎樣在歷史中長出來的？</w:t>
      </w:r>
    </w:p>
    <w:p>
      <w:pPr>
        <w:spacing w:line="360" w:lineRule="auto" w:after="120"/>
        <w:ind w:firstLine="480"/>
      </w:pPr>
      <w:r>
        <w:rPr>
          <w:rFonts w:ascii="Times New Roman" w:hAnsi="Times New Roman" w:eastAsia="新細明體"/>
          <w:b w:val="0"/>
          <w:i w:val="0"/>
          <w:sz w:val="24"/>
        </w:rPr>
        <w:t>過去討論「人間佛教」與「本土神學」的研究，多半分屬佛教研究與神學研究兩個互不往來的學術社群，各自把對方視為背景；而在理論層面談論宗教對話者，又往往先取一套西方宗教學的框架（宗教多元論、救贖中心論、宗教現象學），再回頭尋找可以填入框架的東亞例證。本研究反其道而行：先做歷史，後論理論。</w:t>
      </w:r>
    </w:p>
    <w:p>
      <w:pPr>
        <w:spacing w:line="360" w:lineRule="auto" w:after="120"/>
        <w:ind w:firstLine="480"/>
      </w:pPr>
      <w:r>
        <w:rPr>
          <w:rFonts w:ascii="Times New Roman" w:hAnsi="Times New Roman" w:eastAsia="新細明體"/>
          <w:b w:val="0"/>
          <w:i w:val="0"/>
          <w:sz w:val="24"/>
        </w:rPr>
        <w:t>本研究先以四地並置的方式，重探近代東亞宗教復興的共同源頭——日本明治以降的佛教改革與基督教社會運動、中國自廟產興學危機而起的佛教革命與社會福音、朝鮮三一運動中的跨宗教結盟、台灣新文化運動中的宗教覺醒——指出「入世」並非某一宗教的內部教義發展，而是東亞各宗教在同一波現代性衝擊、殖民處境與救亡需求下，被迫重新界定自身與此世關係的共同結果。</w:t>
      </w:r>
    </w:p>
    <w:p>
      <w:pPr>
        <w:spacing w:line="360" w:lineRule="auto" w:after="120"/>
        <w:ind w:firstLine="480"/>
      </w:pPr>
      <w:r>
        <w:rPr>
          <w:rFonts w:ascii="Times New Roman" w:hAnsi="Times New Roman" w:eastAsia="新細明體"/>
          <w:b w:val="0"/>
          <w:i w:val="0"/>
          <w:sz w:val="24"/>
        </w:rPr>
        <w:t>在此背景上，本研究以兩條四人系譜，分別重建戰後台灣佛教與基督教公共性的形成過程：佛教一線為</w:t>
      </w:r>
      <w:r>
        <w:rPr>
          <w:rFonts w:ascii="Times New Roman" w:hAnsi="Times New Roman" w:eastAsia="新細明體"/>
          <w:b/>
          <w:i w:val="0"/>
          <w:sz w:val="24"/>
        </w:rPr>
        <w:t>太虛—印順—傳道—昭慧</w:t>
      </w:r>
      <w:r>
        <w:rPr>
          <w:rFonts w:ascii="Times New Roman" w:hAnsi="Times New Roman" w:eastAsia="新細明體"/>
          <w:b w:val="0"/>
          <w:i w:val="0"/>
          <w:sz w:val="24"/>
        </w:rPr>
        <w:t>，基督教一線為</w:t>
      </w:r>
      <w:r>
        <w:rPr>
          <w:rFonts w:ascii="Times New Roman" w:hAnsi="Times New Roman" w:eastAsia="新細明體"/>
          <w:b/>
          <w:i w:val="0"/>
          <w:sz w:val="24"/>
        </w:rPr>
        <w:t>黃彰輝—宋泉盛—王憲治—黃伯和</w:t>
      </w:r>
      <w:r>
        <w:rPr>
          <w:rFonts w:ascii="Times New Roman" w:hAnsi="Times New Roman" w:eastAsia="新細明體"/>
          <w:b w:val="0"/>
          <w:i w:val="0"/>
          <w:sz w:val="24"/>
        </w:rPr>
        <w:t>。兩條系譜的並置顯示出高度同構的四段結構：危機中的自我改革、教史／處境的重新詮釋、在地語言與草根實踐的落地、以及公共議題上的倫理建制化。</w:t>
      </w:r>
    </w:p>
    <w:p>
      <w:pPr>
        <w:spacing w:line="360" w:lineRule="auto" w:after="120"/>
        <w:ind w:firstLine="480"/>
      </w:pPr>
      <w:r>
        <w:rPr>
          <w:rFonts w:ascii="Times New Roman" w:hAnsi="Times New Roman" w:eastAsia="新細明體"/>
          <w:b w:val="0"/>
          <w:i w:val="0"/>
          <w:sz w:val="24"/>
        </w:rPr>
        <w:t>第四章處理兩條線的實際交會：戰後台灣佛耶關係如何從一九五〇年代的護教論戰，經一九八〇年代的對話，走向二〇〇〇年以降在反賭、動保、廢死、性別平權等議題上的結盟；此處輔以口述歷史訪談，補足文獻所不能保存的行動者自我理解。</w:t>
      </w:r>
    </w:p>
    <w:p>
      <w:pPr>
        <w:spacing w:line="360" w:lineRule="auto" w:after="120"/>
        <w:ind w:firstLine="480"/>
      </w:pPr>
      <w:r>
        <w:rPr>
          <w:rFonts w:ascii="Times New Roman" w:hAnsi="Times New Roman" w:eastAsia="新細明體"/>
          <w:b w:val="0"/>
          <w:i w:val="0"/>
          <w:sz w:val="24"/>
        </w:rPr>
        <w:t>第五章才回到理論：把前四章歸納出的歷史範式命名為「人間宗教」（Religion of the Human Realm），並檢討此一由歷史歸納而得的範式，對宗教學的世俗化理論與宗教多元論、以及對比較神學的方法論，各具有什麼樣的修正意義。本研究主張，「人間性」不是宗教的世俗化讓步，而是各宗教在現代處境中回到自身創教關懷的重新界定；而以歷史經驗為基礎的比較，比以形上學設定為基礎的比較，更能保全各宗教的主體性。</w:t>
      </w:r>
    </w:p>
    <w:p>
      <w:pPr>
        <w:spacing w:line="360" w:lineRule="auto" w:after="120"/>
        <w:ind w:firstLine="480"/>
      </w:pPr>
      <w:r>
        <w:rPr>
          <w:rFonts w:ascii="Times New Roman" w:hAnsi="Times New Roman" w:eastAsia="新細明體"/>
          <w:b/>
          <w:i w:val="0"/>
          <w:sz w:val="24"/>
        </w:rPr>
        <w:t>關鍵詞</w:t>
      </w:r>
      <w:r>
        <w:rPr>
          <w:rFonts w:ascii="Times New Roman" w:hAnsi="Times New Roman" w:eastAsia="新細明體"/>
          <w:b w:val="0"/>
          <w:i w:val="0"/>
          <w:sz w:val="24"/>
        </w:rPr>
        <w:t>：比較宗教史、人間佛教、本土神學、宗教公共性、台灣宗教史、人間宗教</w:t>
      </w:r>
    </w:p>
    <w:p>
      <w:pPr>
        <w:spacing w:line="360" w:lineRule="auto" w:after="200" w:before="240"/>
      </w:pPr>
      <w:r>
        <w:rPr>
          <w:rFonts w:ascii="Times New Roman" w:hAnsi="Times New Roman" w:eastAsia="新細明體"/>
          <w:b/>
          <w:i w:val="0"/>
          <w:sz w:val="28"/>
        </w:rPr>
        <w:t>一、研究動機與問題意識</w:t>
      </w:r>
    </w:p>
    <w:p>
      <w:pPr>
        <w:spacing w:line="360" w:lineRule="auto" w:after="200" w:before="160"/>
      </w:pPr>
      <w:r>
        <w:rPr>
          <w:rFonts w:ascii="Times New Roman" w:hAnsi="Times New Roman" w:eastAsia="新細明體"/>
          <w:b/>
          <w:i w:val="0"/>
          <w:sz w:val="26"/>
        </w:rPr>
        <w:t>（一）問題的起點：兩段被分開講述的歷史</w:t>
      </w:r>
    </w:p>
    <w:p>
      <w:pPr>
        <w:spacing w:line="360" w:lineRule="auto" w:after="120"/>
        <w:ind w:firstLine="480"/>
      </w:pPr>
      <w:r>
        <w:rPr>
          <w:rFonts w:ascii="Times New Roman" w:hAnsi="Times New Roman" w:eastAsia="新細明體"/>
          <w:b w:val="0"/>
          <w:i w:val="0"/>
          <w:sz w:val="24"/>
        </w:rPr>
        <w:t>在台灣的宗教研究裡，有兩段歷史被反覆講述，卻幾乎從不放在一起講。</w:t>
      </w:r>
    </w:p>
    <w:p>
      <w:pPr>
        <w:spacing w:line="360" w:lineRule="auto" w:after="120"/>
        <w:ind w:firstLine="480"/>
      </w:pPr>
      <w:r>
        <w:rPr>
          <w:rFonts w:ascii="Times New Roman" w:hAnsi="Times New Roman" w:eastAsia="新細明體"/>
          <w:b w:val="0"/>
          <w:i w:val="0"/>
          <w:sz w:val="24"/>
        </w:rPr>
        <w:t>一段是佛教的：太虛的佛教革命如何在民國佛教的存亡危機中被提出，印順如何以教史研究把佛教的關懷從天界與他方拉回「此時、此地、此人」，而後在戰後台灣長出妙心寺、弘誓、慈濟、法鼓、佛光等各具面貌的實踐路線。另一段是基督教的：台灣基督長老教會如何從宣教師的教會走向自立，黃彰輝如何在普世教會協會（WCC）提出「實況化」（contextualization），宋泉盛如何以亞洲人民的受苦經驗改寫神學的敘事方式，而後在一九七〇年代的三大聲明中，把神學轉化為公共政治的語言。</w:t>
      </w:r>
    </w:p>
    <w:p>
      <w:pPr>
        <w:spacing w:line="360" w:lineRule="auto" w:after="120"/>
        <w:ind w:firstLine="480"/>
      </w:pPr>
      <w:r>
        <w:rPr>
          <w:rFonts w:ascii="Times New Roman" w:hAnsi="Times New Roman" w:eastAsia="新細明體"/>
          <w:b w:val="0"/>
          <w:i w:val="0"/>
          <w:sz w:val="24"/>
        </w:rPr>
        <w:t>兩段歷史各有豐厚的研究積累，但它們幾乎是兩套互不引用的文獻。佛教研究者談印順時很少提黃彰輝，神學研究者談實況化時也很少提太虛。然而，若把時間軸拉開來看，會發現一件不容忽視的事：</w:t>
      </w:r>
      <w:r>
        <w:rPr>
          <w:rFonts w:ascii="Times New Roman" w:hAnsi="Times New Roman" w:eastAsia="新細明體"/>
          <w:b/>
          <w:i w:val="0"/>
          <w:sz w:val="24"/>
        </w:rPr>
        <w:t>這兩條線在時間上高度重疊，在結構上高度相似，在戰後台灣的公共場域中甚至反覆相遇。</w:t>
      </w:r>
      <w:r>
        <w:rPr>
          <w:rFonts w:ascii="Times New Roman" w:hAnsi="Times New Roman" w:eastAsia="新細明體"/>
          <w:b w:val="0"/>
          <w:i w:val="0"/>
          <w:sz w:val="24"/>
        </w:rPr>
        <w:t>兩者都在十九世紀末、二十世紀初的東亞危機中啟動；都經歷了「先自我批判、再重新詮釋自身傳統」的階段；都在一九七〇至九〇年代的台灣社會轉型中，把宗教語言轉譯為公共語言；也都在二十一世紀初，於同一批社會議題上出現在同一個街頭。</w:t>
      </w:r>
    </w:p>
    <w:p>
      <w:pPr>
        <w:spacing w:line="360" w:lineRule="auto" w:after="120"/>
        <w:ind w:firstLine="480"/>
      </w:pPr>
      <w:r>
        <w:rPr>
          <w:rFonts w:ascii="Times New Roman" w:hAnsi="Times New Roman" w:eastAsia="新細明體"/>
          <w:b w:val="0"/>
          <w:i w:val="0"/>
          <w:sz w:val="24"/>
        </w:rPr>
        <w:t>如果這種相似只是巧合，它不值得寫成一本論文。但如果它不是巧合——如果兩者其實源出同一波東亞宗教變革，只是分別在佛教與基督教的傳統語彙中被表述——那麼把它們分開講述，本身就是一種歷史敘述的失誤。</w:t>
      </w:r>
    </w:p>
    <w:p>
      <w:pPr>
        <w:spacing w:line="360" w:lineRule="auto" w:after="200" w:before="160"/>
      </w:pPr>
      <w:r>
        <w:rPr>
          <w:rFonts w:ascii="Times New Roman" w:hAnsi="Times New Roman" w:eastAsia="新細明體"/>
          <w:b/>
          <w:i w:val="0"/>
          <w:sz w:val="26"/>
        </w:rPr>
        <w:t>（二）為什麼要從歷史比較開始，而不是從理論開始</w:t>
      </w:r>
    </w:p>
    <w:p>
      <w:pPr>
        <w:spacing w:line="360" w:lineRule="auto" w:after="120"/>
        <w:ind w:firstLine="480"/>
      </w:pPr>
      <w:r>
        <w:rPr>
          <w:rFonts w:ascii="Times New Roman" w:hAnsi="Times New Roman" w:eastAsia="新細明體"/>
          <w:b w:val="0"/>
          <w:i w:val="0"/>
          <w:sz w:val="24"/>
        </w:rPr>
        <w:t>處理跨宗教議題時，一種常見的做法是先借用一套宗教學或宗教神學的理論框架，再以個案填充。這種做法有其效率，卻有兩個代價。</w:t>
      </w:r>
    </w:p>
    <w:p>
      <w:pPr>
        <w:spacing w:line="360" w:lineRule="auto" w:after="120"/>
        <w:ind w:firstLine="480"/>
      </w:pPr>
      <w:r>
        <w:rPr>
          <w:rFonts w:ascii="Times New Roman" w:hAnsi="Times New Roman" w:eastAsia="新細明體"/>
          <w:b w:val="0"/>
          <w:i w:val="0"/>
          <w:sz w:val="24"/>
        </w:rPr>
        <w:t>其一是</w:t>
      </w:r>
      <w:r>
        <w:rPr>
          <w:rFonts w:ascii="Times New Roman" w:hAnsi="Times New Roman" w:eastAsia="新細明體"/>
          <w:b/>
          <w:i w:val="0"/>
          <w:sz w:val="24"/>
        </w:rPr>
        <w:t>時序的顛倒</w:t>
      </w:r>
      <w:r>
        <w:rPr>
          <w:rFonts w:ascii="Times New Roman" w:hAnsi="Times New Roman" w:eastAsia="新細明體"/>
          <w:b w:val="0"/>
          <w:i w:val="0"/>
          <w:sz w:val="24"/>
        </w:rPr>
        <w:t>。宗教多元論、救贖中心論、宗教現象學等框架，各有其自身的歐美思想史脈絡；以之為前提去讀東亞史料，容易把史料切割成能被框架容納的碎片，把不合框架的部分當成例外或不成熟。其二是</w:t>
      </w:r>
      <w:r>
        <w:rPr>
          <w:rFonts w:ascii="Times New Roman" w:hAnsi="Times New Roman" w:eastAsia="新細明體"/>
          <w:b/>
          <w:i w:val="0"/>
          <w:sz w:val="24"/>
        </w:rPr>
        <w:t>主體性的折損</w:t>
      </w:r>
      <w:r>
        <w:rPr>
          <w:rFonts w:ascii="Times New Roman" w:hAnsi="Times New Roman" w:eastAsia="新細明體"/>
          <w:b w:val="0"/>
          <w:i w:val="0"/>
          <w:sz w:val="24"/>
        </w:rPr>
        <w:t>。當「對話的共同基礎」是由外部理論預先設定時，各宗教實際上是在為一個它們並未參與制定的標準作答。</w:t>
      </w:r>
    </w:p>
    <w:p>
      <w:pPr>
        <w:spacing w:line="360" w:lineRule="auto" w:after="120"/>
        <w:ind w:firstLine="480"/>
      </w:pPr>
      <w:r>
        <w:rPr>
          <w:rFonts w:ascii="Times New Roman" w:hAnsi="Times New Roman" w:eastAsia="新細明體"/>
          <w:b w:val="0"/>
          <w:i w:val="0"/>
          <w:sz w:val="24"/>
        </w:rPr>
        <w:t>因此本研究採取的順序是：</w:t>
      </w:r>
      <w:r>
        <w:rPr>
          <w:rFonts w:ascii="Times New Roman" w:hAnsi="Times New Roman" w:eastAsia="新細明體"/>
          <w:b/>
          <w:i w:val="0"/>
          <w:sz w:val="24"/>
        </w:rPr>
        <w:t>先問「歷史上發生了什麼」，再問「這件事在理論上意味著什麼」。</w:t>
      </w:r>
      <w:r>
        <w:rPr>
          <w:rFonts w:ascii="Times New Roman" w:hAnsi="Times New Roman" w:eastAsia="新細明體"/>
          <w:b w:val="0"/>
          <w:i w:val="0"/>
          <w:sz w:val="24"/>
        </w:rPr>
        <w:t>理論不是研究的起點，而是研究的結果。本研究的第五章之所以放在最後，正是因為「人間宗教」這個概念若要成立，它必須是從史料中歸納出來的，而不是先驗地提出來、再回頭尋找證據的。</w:t>
      </w:r>
    </w:p>
    <w:p>
      <w:pPr>
        <w:spacing w:line="360" w:lineRule="auto" w:after="120"/>
        <w:ind w:firstLine="480"/>
      </w:pPr>
      <w:r>
        <w:rPr>
          <w:rFonts w:ascii="Times New Roman" w:hAnsi="Times New Roman" w:eastAsia="新細明體"/>
          <w:b w:val="0"/>
          <w:i w:val="0"/>
          <w:sz w:val="24"/>
        </w:rPr>
        <w:t>這也決定了本研究的學科定位：</w:t>
      </w:r>
      <w:r>
        <w:rPr>
          <w:rFonts w:ascii="Times New Roman" w:hAnsi="Times New Roman" w:eastAsia="新細明體"/>
          <w:b/>
          <w:i w:val="0"/>
          <w:sz w:val="24"/>
        </w:rPr>
        <w:t>這是一份以歷史學為主要方法論的論文</w:t>
      </w:r>
      <w:r>
        <w:rPr>
          <w:rFonts w:ascii="Times New Roman" w:hAnsi="Times New Roman" w:eastAsia="新細明體"/>
          <w:b w:val="0"/>
          <w:i w:val="0"/>
          <w:sz w:val="24"/>
        </w:rPr>
        <w:t>，宗教學與比較神學是它的問題關懷與最終對話對象，而不是它的操作工具。</w:t>
      </w:r>
    </w:p>
    <w:p>
      <w:pPr>
        <w:spacing w:line="360" w:lineRule="auto" w:after="200" w:before="160"/>
      </w:pPr>
      <w:r>
        <w:rPr>
          <w:rFonts w:ascii="Times New Roman" w:hAnsi="Times New Roman" w:eastAsia="新細明體"/>
          <w:b/>
          <w:i w:val="0"/>
          <w:sz w:val="26"/>
        </w:rPr>
        <w:t>（三）核心提問</w:t>
      </w:r>
    </w:p>
    <w:p>
      <w:pPr>
        <w:spacing w:line="360" w:lineRule="auto" w:after="120"/>
        <w:ind w:firstLine="480"/>
      </w:pPr>
      <w:r>
        <w:rPr>
          <w:rFonts w:ascii="Times New Roman" w:hAnsi="Times New Roman" w:eastAsia="新細明體"/>
          <w:b w:val="0"/>
          <w:i w:val="0"/>
          <w:sz w:val="24"/>
        </w:rPr>
        <w:t>本研究提出三層彼此銜接的提問：</w:t>
      </w:r>
    </w:p>
    <w:p>
      <w:pPr>
        <w:spacing w:line="360" w:lineRule="auto" w:after="120"/>
        <w:ind w:firstLine="480"/>
      </w:pPr>
      <w:r>
        <w:rPr>
          <w:rFonts w:ascii="Times New Roman" w:hAnsi="Times New Roman" w:eastAsia="新細明體"/>
          <w:b/>
          <w:i w:val="0"/>
          <w:sz w:val="24"/>
        </w:rPr>
        <w:t>第一層（源頭）</w:t>
      </w:r>
      <w:r>
        <w:rPr>
          <w:rFonts w:ascii="Times New Roman" w:hAnsi="Times New Roman" w:eastAsia="新細明體"/>
          <w:b w:val="0"/>
          <w:i w:val="0"/>
          <w:sz w:val="24"/>
        </w:rPr>
        <w:t>：十九世紀末至二十世紀前期，日本、中國、朝鮮、台灣四地的宗教變革，是否共享同一組歷史條件？如果是，這組條件是什麼？各地的差異又由什麼決定？</w:t>
      </w:r>
    </w:p>
    <w:p>
      <w:pPr>
        <w:spacing w:line="360" w:lineRule="auto" w:after="120"/>
        <w:ind w:firstLine="480"/>
      </w:pPr>
      <w:r>
        <w:rPr>
          <w:rFonts w:ascii="Times New Roman" w:hAnsi="Times New Roman" w:eastAsia="新細明體"/>
          <w:b/>
          <w:i w:val="0"/>
          <w:sz w:val="24"/>
        </w:rPr>
        <w:t>第二層（生成）</w:t>
      </w:r>
      <w:r>
        <w:rPr>
          <w:rFonts w:ascii="Times New Roman" w:hAnsi="Times New Roman" w:eastAsia="新細明體"/>
          <w:b w:val="0"/>
          <w:i w:val="0"/>
          <w:sz w:val="24"/>
        </w:rPr>
        <w:t>：戰後台灣的佛教與基督教，其「公共性」（介入公共事務的正當性與能力）與「人間性」（把宗教關懷定位於此世的自我理解）分別經過哪些階段而形成？以太虛—印順—傳道—昭慧、黃彰輝—宋泉盛—王憲治—黃伯和兩條系譜為線索，兩者的生成機制是否同構？</w:t>
      </w:r>
    </w:p>
    <w:p>
      <w:pPr>
        <w:spacing w:line="360" w:lineRule="auto" w:after="120"/>
        <w:ind w:firstLine="480"/>
      </w:pPr>
      <w:r>
        <w:rPr>
          <w:rFonts w:ascii="Times New Roman" w:hAnsi="Times New Roman" w:eastAsia="新細明體"/>
          <w:b/>
          <w:i w:val="0"/>
          <w:sz w:val="24"/>
        </w:rPr>
        <w:t>第三層（意義）</w:t>
      </w:r>
      <w:r>
        <w:rPr>
          <w:rFonts w:ascii="Times New Roman" w:hAnsi="Times New Roman" w:eastAsia="新細明體"/>
          <w:b w:val="0"/>
          <w:i w:val="0"/>
          <w:sz w:val="24"/>
        </w:rPr>
        <w:t>：若上述歷史範式成立，它對宗教學處理世俗化與宗教多元的既有解釋、以及對比較神學的方法論，構成什麼樣的修正？能否據此歸納出一個可命名的範式——「人間宗教」？</w:t>
      </w:r>
    </w:p>
    <w:p>
      <w:pPr>
        <w:spacing w:line="360" w:lineRule="auto" w:after="200" w:before="160"/>
      </w:pPr>
      <w:r>
        <w:rPr>
          <w:rFonts w:ascii="Times New Roman" w:hAnsi="Times New Roman" w:eastAsia="新細明體"/>
          <w:b/>
          <w:i w:val="0"/>
          <w:sz w:val="26"/>
        </w:rPr>
        <w:t>（四）為什麼是這八個人</w:t>
      </w:r>
    </w:p>
    <w:p>
      <w:pPr>
        <w:spacing w:line="360" w:lineRule="auto" w:after="120"/>
        <w:ind w:firstLine="480"/>
      </w:pPr>
      <w:r>
        <w:rPr>
          <w:rFonts w:ascii="Times New Roman" w:hAnsi="Times New Roman" w:eastAsia="新細明體"/>
          <w:b w:val="0"/>
          <w:i w:val="0"/>
          <w:sz w:val="24"/>
        </w:rPr>
        <w:t>兩條系譜各取四人，不是為了對稱，而是因為這四個位置分別承擔了不同的歷史功能。</w:t>
      </w:r>
    </w:p>
    <w:p>
      <w:pPr>
        <w:spacing w:line="360" w:lineRule="auto" w:after="120"/>
        <w:ind w:firstLine="480"/>
      </w:pPr>
      <w:r>
        <w:rPr>
          <w:rFonts w:ascii="Times New Roman" w:hAnsi="Times New Roman" w:eastAsia="新細明體"/>
          <w:b w:val="0"/>
          <w:i w:val="0"/>
          <w:sz w:val="24"/>
        </w:rPr>
        <w:t>佛教一線：</w:t>
      </w:r>
      <w:r>
        <w:rPr>
          <w:rFonts w:ascii="Times New Roman" w:hAnsi="Times New Roman" w:eastAsia="新細明體"/>
          <w:b/>
          <w:i w:val="0"/>
          <w:sz w:val="24"/>
        </w:rPr>
        <w:t>太虛</w:t>
      </w:r>
      <w:r>
        <w:rPr>
          <w:rFonts w:ascii="Times New Roman" w:hAnsi="Times New Roman" w:eastAsia="新細明體"/>
          <w:b w:val="0"/>
          <w:i w:val="0"/>
          <w:sz w:val="24"/>
        </w:rPr>
        <w:t>是危機中的改革發動者，提出教理、教制、教產三大革命與「人生佛教」，但其改革在制度上大體受挫；</w:t>
      </w:r>
      <w:r>
        <w:rPr>
          <w:rFonts w:ascii="Times New Roman" w:hAnsi="Times New Roman" w:eastAsia="新細明體"/>
          <w:b/>
          <w:i w:val="0"/>
          <w:sz w:val="24"/>
        </w:rPr>
        <w:t>印順</w:t>
      </w:r>
      <w:r>
        <w:rPr>
          <w:rFonts w:ascii="Times New Roman" w:hAnsi="Times New Roman" w:eastAsia="新細明體"/>
          <w:b w:val="0"/>
          <w:i w:val="0"/>
          <w:sz w:val="24"/>
        </w:rPr>
        <w:t>把改革的重心從教制轉向教史與教理的重新詮釋，以「人間佛教」確立了理論範式；</w:t>
      </w:r>
      <w:r>
        <w:rPr>
          <w:rFonts w:ascii="Times New Roman" w:hAnsi="Times New Roman" w:eastAsia="新細明體"/>
          <w:b/>
          <w:i w:val="0"/>
          <w:sz w:val="24"/>
        </w:rPr>
        <w:t>傳道</w:t>
      </w:r>
      <w:r>
        <w:rPr>
          <w:rFonts w:ascii="Times New Roman" w:hAnsi="Times New Roman" w:eastAsia="新細明體"/>
          <w:b w:val="0"/>
          <w:i w:val="0"/>
          <w:sz w:val="24"/>
        </w:rPr>
        <w:t>是把這套範式落實到一間地方寺院、一種在地語言（台語弘法）與一批具體社會議題（環境、社區、教育）的實踐者，藍吉富在《臺灣佛教辭典》中將他與昭慧、宏印並列為印順學派的三大法系，然而學界對他的研究遠少於另外兩者；</w:t>
      </w:r>
      <w:r>
        <w:rPr>
          <w:rFonts w:ascii="Times New Roman" w:hAnsi="Times New Roman" w:eastAsia="新細明體"/>
          <w:b/>
          <w:i w:val="0"/>
          <w:sz w:val="24"/>
        </w:rPr>
        <w:t>昭慧</w:t>
      </w:r>
      <w:r>
        <w:rPr>
          <w:rFonts w:ascii="Times New Roman" w:hAnsi="Times New Roman" w:eastAsia="新細明體"/>
          <w:b w:val="0"/>
          <w:i w:val="0"/>
          <w:sz w:val="24"/>
        </w:rPr>
        <w:t>則把人間佛教推進到教內體制改革（律學重詮、廢除八敬法）與教外倫理建制（佛教倫理學、社會運動）的雙軌階段。</w:t>
      </w:r>
    </w:p>
    <w:p>
      <w:pPr>
        <w:spacing w:line="360" w:lineRule="auto" w:after="120"/>
        <w:ind w:firstLine="480"/>
      </w:pPr>
      <w:r>
        <w:rPr>
          <w:rFonts w:ascii="Times New Roman" w:hAnsi="Times New Roman" w:eastAsia="新細明體"/>
          <w:b w:val="0"/>
          <w:i w:val="0"/>
          <w:sz w:val="24"/>
        </w:rPr>
        <w:t>基督教一線：</w:t>
      </w:r>
      <w:r>
        <w:rPr>
          <w:rFonts w:ascii="Times New Roman" w:hAnsi="Times New Roman" w:eastAsia="新細明體"/>
          <w:b/>
          <w:i w:val="0"/>
          <w:sz w:val="24"/>
        </w:rPr>
        <w:t>黃彰輝</w:t>
      </w:r>
      <w:r>
        <w:rPr>
          <w:rFonts w:ascii="Times New Roman" w:hAnsi="Times New Roman" w:eastAsia="新細明體"/>
          <w:b w:val="0"/>
          <w:i w:val="0"/>
          <w:sz w:val="24"/>
        </w:rPr>
        <w:t>是概念的鑄造者，「實況化」由他自台灣經驗提煉、經 WCC 而成為普世神學語彙；</w:t>
      </w:r>
      <w:r>
        <w:rPr>
          <w:rFonts w:ascii="Times New Roman" w:hAnsi="Times New Roman" w:eastAsia="新細明體"/>
          <w:b/>
          <w:i w:val="0"/>
          <w:sz w:val="24"/>
        </w:rPr>
        <w:t>宋泉盛</w:t>
      </w:r>
      <w:r>
        <w:rPr>
          <w:rFonts w:ascii="Times New Roman" w:hAnsi="Times New Roman" w:eastAsia="新細明體"/>
          <w:b w:val="0"/>
          <w:i w:val="0"/>
          <w:sz w:val="24"/>
        </w:rPr>
        <w:t>把實況化推向方法論的具體形態——以亞洲民間故事與受苦記憶作為神學材料；</w:t>
      </w:r>
      <w:r>
        <w:rPr>
          <w:rFonts w:ascii="Times New Roman" w:hAnsi="Times New Roman" w:eastAsia="新細明體"/>
          <w:b/>
          <w:i w:val="0"/>
          <w:sz w:val="24"/>
        </w:rPr>
        <w:t>王憲治</w:t>
      </w:r>
      <w:r>
        <w:rPr>
          <w:rFonts w:ascii="Times New Roman" w:hAnsi="Times New Roman" w:eastAsia="新細明體"/>
          <w:b w:val="0"/>
          <w:i w:val="0"/>
          <w:sz w:val="24"/>
        </w:rPr>
        <w:t>把它落在「鄉土」這個更貼地的範疇上，以人民、鄉土、權力、上帝四個主題建構台灣鄉土神學，並直接連結自決議題，可惜英年早逝（1941–1996），至今研究稀少；</w:t>
      </w:r>
      <w:r>
        <w:rPr>
          <w:rFonts w:ascii="Times New Roman" w:hAnsi="Times New Roman" w:eastAsia="新細明體"/>
          <w:b/>
          <w:i w:val="0"/>
          <w:sz w:val="24"/>
        </w:rPr>
        <w:t>黃伯和</w:t>
      </w:r>
      <w:r>
        <w:rPr>
          <w:rFonts w:ascii="Times New Roman" w:hAnsi="Times New Roman" w:eastAsia="新細明體"/>
          <w:b w:val="0"/>
          <w:i w:val="0"/>
          <w:sz w:val="24"/>
        </w:rPr>
        <w:t>則承接鄉土神學的問題意識，發展「出頭天」神學，並將本土神學體制化為神學教育與普世網絡中的長期工程。</w:t>
      </w:r>
    </w:p>
    <w:p>
      <w:pPr>
        <w:spacing w:line="360" w:lineRule="auto" w:after="120"/>
        <w:ind w:firstLine="480"/>
      </w:pPr>
      <w:r>
        <w:rPr>
          <w:rFonts w:ascii="Times New Roman" w:hAnsi="Times New Roman" w:eastAsia="新細明體"/>
          <w:b w:val="0"/>
          <w:i w:val="0"/>
          <w:sz w:val="24"/>
        </w:rPr>
        <w:t>四對位置兩兩相應：</w:t>
      </w:r>
      <w:r>
        <w:rPr>
          <w:rFonts w:ascii="Times New Roman" w:hAnsi="Times New Roman" w:eastAsia="新細明體"/>
          <w:b/>
          <w:i w:val="0"/>
          <w:sz w:val="24"/>
        </w:rPr>
        <w:t>發動者—詮釋者—落地者—建制者</w:t>
      </w:r>
      <w:r>
        <w:rPr>
          <w:rFonts w:ascii="Times New Roman" w:hAnsi="Times New Roman" w:eastAsia="新細明體"/>
          <w:b w:val="0"/>
          <w:i w:val="0"/>
          <w:sz w:val="24"/>
        </w:rPr>
        <w:t>。這個對應本身就是本研究要論證的主要發現之一。</w:t>
      </w:r>
    </w:p>
    <w:p>
      <w:pPr>
        <w:spacing w:line="360" w:lineRule="auto" w:after="200" w:before="240"/>
      </w:pPr>
      <w:r>
        <w:rPr>
          <w:rFonts w:ascii="Times New Roman" w:hAnsi="Times New Roman" w:eastAsia="新細明體"/>
          <w:b/>
          <w:i w:val="0"/>
          <w:sz w:val="28"/>
        </w:rPr>
        <w:t>二、研究回顧</w:t>
      </w:r>
    </w:p>
    <w:p>
      <w:pPr>
        <w:spacing w:line="360" w:lineRule="auto" w:after="120"/>
        <w:ind w:firstLine="480"/>
      </w:pPr>
      <w:r>
        <w:rPr>
          <w:rFonts w:ascii="Times New Roman" w:hAnsi="Times New Roman" w:eastAsia="新細明體"/>
          <w:b w:val="0"/>
          <w:i w:val="0"/>
          <w:sz w:val="24"/>
        </w:rPr>
        <w:t>本研究的研究回顧不以宗教對話理論為主軸，而依歷史學的慣例，就本題所涉四個史學領域的研究積累與缺口逐一檢視。</w:t>
      </w:r>
    </w:p>
    <w:p>
      <w:pPr>
        <w:spacing w:line="360" w:lineRule="auto" w:after="200" w:before="160"/>
      </w:pPr>
      <w:r>
        <w:rPr>
          <w:rFonts w:ascii="Times New Roman" w:hAnsi="Times New Roman" w:eastAsia="新細明體"/>
          <w:b/>
          <w:i w:val="0"/>
          <w:sz w:val="26"/>
        </w:rPr>
        <w:t>（一）近代東亞宗教變革的比較史研究</w:t>
      </w:r>
    </w:p>
    <w:p>
      <w:pPr>
        <w:spacing w:line="360" w:lineRule="auto" w:after="120"/>
        <w:ind w:firstLine="480"/>
      </w:pPr>
      <w:r>
        <w:rPr>
          <w:rFonts w:ascii="Times New Roman" w:hAnsi="Times New Roman" w:eastAsia="新細明體"/>
          <w:b w:val="0"/>
          <w:i w:val="0"/>
          <w:sz w:val="24"/>
        </w:rPr>
        <w:t>近二十年的英語學界已逐步放棄「現代化＝世俗化」的單線敘事，轉而把近代東亞的宗教變革視為現代性的組成部分而非其對立面。Goossaert 與 Palmer 對近代中國「宗教問題」的長時段研究、Duara 對亞洲傳統與可持續未來的討論、Lian Xi 對中國本土基督教興起的分析、Xing Jun 對社會福音與中國基督教青年會的研究、Ritzinger 對太虛與印順運動的專論、Shields 對近代日本進步與激進佛教的考察、Queen 與 King 所編的入世佛教文集、以及 Madsen 對戰後台灣宗教復興與政治發展關係的社會學分析，共同構成了本研究的比較史基礎。</w:t>
      </w:r>
    </w:p>
    <w:p>
      <w:pPr>
        <w:spacing w:line="360" w:lineRule="auto" w:after="120"/>
        <w:ind w:firstLine="480"/>
      </w:pPr>
      <w:r>
        <w:rPr>
          <w:rFonts w:ascii="Times New Roman" w:hAnsi="Times New Roman" w:eastAsia="新細明體"/>
          <w:b/>
          <w:i w:val="0"/>
          <w:sz w:val="24"/>
        </w:rPr>
        <w:t>缺口</w:t>
      </w:r>
      <w:r>
        <w:rPr>
          <w:rFonts w:ascii="Times New Roman" w:hAnsi="Times New Roman" w:eastAsia="新細明體"/>
          <w:b w:val="0"/>
          <w:i w:val="0"/>
          <w:sz w:val="24"/>
        </w:rPr>
        <w:t>：這些研究大多以單一國別或單一宗教為單位。跨國別</w:t>
      </w:r>
      <w:r>
        <w:rPr>
          <w:rFonts w:ascii="Times New Roman" w:hAnsi="Times New Roman" w:eastAsia="新細明體"/>
          <w:b/>
          <w:i w:val="0"/>
          <w:sz w:val="24"/>
        </w:rPr>
        <w:t>且</w:t>
      </w:r>
      <w:r>
        <w:rPr>
          <w:rFonts w:ascii="Times New Roman" w:hAnsi="Times New Roman" w:eastAsia="新細明體"/>
          <w:b w:val="0"/>
          <w:i w:val="0"/>
          <w:sz w:val="24"/>
        </w:rPr>
        <w:t>跨宗教（佛教與基督教並置）的比較研究仍屬罕見；尤其是把台灣放進東亞比較框架、而非僅視為中國佛教史的延長線來處理者，更為少見。</w:t>
      </w:r>
    </w:p>
    <w:p>
      <w:pPr>
        <w:spacing w:line="360" w:lineRule="auto" w:after="200" w:before="160"/>
      </w:pPr>
      <w:r>
        <w:rPr>
          <w:rFonts w:ascii="Times New Roman" w:hAnsi="Times New Roman" w:eastAsia="新細明體"/>
          <w:b/>
          <w:i w:val="0"/>
          <w:sz w:val="26"/>
        </w:rPr>
        <w:t>（二）台灣佛教史與人間佛教研究</w:t>
      </w:r>
    </w:p>
    <w:p>
      <w:pPr>
        <w:spacing w:line="360" w:lineRule="auto" w:after="120"/>
        <w:ind w:firstLine="480"/>
      </w:pPr>
      <w:r>
        <w:rPr>
          <w:rFonts w:ascii="Times New Roman" w:hAnsi="Times New Roman" w:eastAsia="新細明體"/>
          <w:b w:val="0"/>
          <w:i w:val="0"/>
          <w:sz w:val="24"/>
        </w:rPr>
        <w:t>侯坤宏對民國佛教與戰後台灣佛教的一系列研究（《太虛時代》、《真實與方便》、《台灣佛教通史》）奠定了本題的史實基礎；藍吉富對「後印順時代」的判定、邱敏捷對印順思想與印順學派核心的分析、林建德對印順學派傳承譜系的辨析、闞正宗對傳道法師人間佛教理路的整理、以及楊惠南、江燦騰對當代台灣佛教入世性格的長期觀察，構成本研究第二章的直接對話對象。筆者本人的碩士論文與數篇期刊論文亦處理過昭慧、性廣對印順學的傳承問題。</w:t>
      </w:r>
    </w:p>
    <w:p>
      <w:pPr>
        <w:spacing w:line="360" w:lineRule="auto" w:after="120"/>
        <w:ind w:firstLine="480"/>
      </w:pPr>
      <w:r>
        <w:rPr>
          <w:rFonts w:ascii="Times New Roman" w:hAnsi="Times New Roman" w:eastAsia="新細明體"/>
          <w:b/>
          <w:i w:val="0"/>
          <w:sz w:val="24"/>
        </w:rPr>
        <w:t>缺口</w:t>
      </w:r>
      <w:r>
        <w:rPr>
          <w:rFonts w:ascii="Times New Roman" w:hAnsi="Times New Roman" w:eastAsia="新細明體"/>
          <w:b w:val="0"/>
          <w:i w:val="0"/>
          <w:sz w:val="24"/>
        </w:rPr>
        <w:t>：第一，太虛—印順的思想史關聯已有定論，但從印順到戰後具體寺院與運動的</w:t>
      </w:r>
      <w:r>
        <w:rPr>
          <w:rFonts w:ascii="Times New Roman" w:hAnsi="Times New Roman" w:eastAsia="新細明體"/>
          <w:b/>
          <w:i w:val="0"/>
          <w:sz w:val="24"/>
        </w:rPr>
        <w:t>落地機制</w:t>
      </w:r>
      <w:r>
        <w:rPr>
          <w:rFonts w:ascii="Times New Roman" w:hAnsi="Times New Roman" w:eastAsia="新細明體"/>
          <w:b w:val="0"/>
          <w:i w:val="0"/>
          <w:sz w:val="24"/>
        </w:rPr>
        <w:t>，特別是傳道與妙心寺一系，研究明顯不足；第二，既有研究多以「思想的傳承」為敘述框架，較少處理「公共性如何取得正當性」這一制度史與社會史問題。</w:t>
      </w:r>
    </w:p>
    <w:p>
      <w:pPr>
        <w:spacing w:line="360" w:lineRule="auto" w:after="200" w:before="160"/>
      </w:pPr>
      <w:r>
        <w:rPr>
          <w:rFonts w:ascii="Times New Roman" w:hAnsi="Times New Roman" w:eastAsia="新細明體"/>
          <w:b/>
          <w:i w:val="0"/>
          <w:sz w:val="26"/>
        </w:rPr>
        <w:t>（三）台灣基督教史與本土神學研究</w:t>
      </w:r>
    </w:p>
    <w:p>
      <w:pPr>
        <w:spacing w:line="360" w:lineRule="auto" w:after="120"/>
        <w:ind w:firstLine="480"/>
      </w:pPr>
      <w:r>
        <w:rPr>
          <w:rFonts w:ascii="Times New Roman" w:hAnsi="Times New Roman" w:eastAsia="新細明體"/>
          <w:b w:val="0"/>
          <w:i w:val="0"/>
          <w:sz w:val="24"/>
        </w:rPr>
        <w:t>鄭仰恩主編的《台灣基督長老教會史》兩卷、蔡榮芳對黃彰輝普世神學實踐的專著、張瑞雄的黃彰輝傳記、鄭睦群對長老教會國家認同論述轉換的研究、黃克先對監控檔案與政教關係的再探、莊雅棠與歐力仁對宋泉盛故事神學的方法論分析、邱凱莉的後殖民視角分析，構成第三章的基礎。</w:t>
      </w:r>
    </w:p>
    <w:p>
      <w:pPr>
        <w:spacing w:line="360" w:lineRule="auto" w:after="120"/>
        <w:ind w:firstLine="480"/>
      </w:pPr>
      <w:r>
        <w:rPr>
          <w:rFonts w:ascii="Times New Roman" w:hAnsi="Times New Roman" w:eastAsia="新細明體"/>
          <w:b/>
          <w:i w:val="0"/>
          <w:sz w:val="24"/>
        </w:rPr>
        <w:t>缺口</w:t>
      </w:r>
      <w:r>
        <w:rPr>
          <w:rFonts w:ascii="Times New Roman" w:hAnsi="Times New Roman" w:eastAsia="新細明體"/>
          <w:b w:val="0"/>
          <w:i w:val="0"/>
          <w:sz w:val="24"/>
        </w:rPr>
        <w:t>：黃彰輝與宋泉盛的研究相對充分，</w:t>
      </w:r>
      <w:r>
        <w:rPr>
          <w:rFonts w:ascii="Times New Roman" w:hAnsi="Times New Roman" w:eastAsia="新細明體"/>
          <w:b/>
          <w:i w:val="0"/>
          <w:sz w:val="24"/>
        </w:rPr>
        <w:t>王憲治幾乎無專門研究</w:t>
      </w:r>
      <w:r>
        <w:rPr>
          <w:rFonts w:ascii="Times New Roman" w:hAnsi="Times New Roman" w:eastAsia="新細明體"/>
          <w:b w:val="0"/>
          <w:i w:val="0"/>
          <w:sz w:val="24"/>
        </w:rPr>
        <w:t>（除莊雅棠的紀念性文章外），黃伯和的研究亦多為神學內部評述而非史學考察。台灣本土神學的「四代系譜」尚未被系統地寫成一段歷史。</w:t>
      </w:r>
    </w:p>
    <w:p>
      <w:pPr>
        <w:spacing w:line="360" w:lineRule="auto" w:after="200" w:before="160"/>
      </w:pPr>
      <w:r>
        <w:rPr>
          <w:rFonts w:ascii="Times New Roman" w:hAnsi="Times New Roman" w:eastAsia="新細明體"/>
          <w:b/>
          <w:i w:val="0"/>
          <w:sz w:val="26"/>
        </w:rPr>
        <w:t>（四）戰後台灣佛耶關係與跨宗教研究</w:t>
      </w:r>
    </w:p>
    <w:p>
      <w:pPr>
        <w:spacing w:line="360" w:lineRule="auto" w:after="120"/>
        <w:ind w:firstLine="480"/>
      </w:pPr>
      <w:r>
        <w:rPr>
          <w:rFonts w:ascii="Times New Roman" w:hAnsi="Times New Roman" w:eastAsia="新細明體"/>
          <w:b w:val="0"/>
          <w:i w:val="0"/>
          <w:sz w:val="24"/>
        </w:rPr>
        <w:t>賴品超及其與學愚合編的耶佛對話研究、賴賢宗對當代台灣佛耶對話的整理、莊秉潔的碩士論文、以及筆者關於昭慧法師與盧俊義牧師、洪山川主教之跨宗教友誼與合作的研究，是本題第四章的既有基礎。</w:t>
      </w:r>
    </w:p>
    <w:p>
      <w:pPr>
        <w:spacing w:line="360" w:lineRule="auto" w:after="120"/>
        <w:ind w:firstLine="480"/>
      </w:pPr>
      <w:r>
        <w:rPr>
          <w:rFonts w:ascii="Times New Roman" w:hAnsi="Times New Roman" w:eastAsia="新細明體"/>
          <w:b/>
          <w:i w:val="0"/>
          <w:sz w:val="24"/>
        </w:rPr>
        <w:t>缺口</w:t>
      </w:r>
      <w:r>
        <w:rPr>
          <w:rFonts w:ascii="Times New Roman" w:hAnsi="Times New Roman" w:eastAsia="新細明體"/>
          <w:b w:val="0"/>
          <w:i w:val="0"/>
          <w:sz w:val="24"/>
        </w:rPr>
        <w:t>：既有研究多集中於</w:t>
      </w:r>
      <w:r>
        <w:rPr>
          <w:rFonts w:ascii="Times New Roman" w:hAnsi="Times New Roman" w:eastAsia="新細明體"/>
          <w:b/>
          <w:i w:val="0"/>
          <w:sz w:val="24"/>
        </w:rPr>
        <w:t>教義層次的對話</w:t>
      </w:r>
      <w:r>
        <w:rPr>
          <w:rFonts w:ascii="Times New Roman" w:hAnsi="Times New Roman" w:eastAsia="新細明體"/>
          <w:b w:val="0"/>
          <w:i w:val="0"/>
          <w:sz w:val="24"/>
        </w:rPr>
        <w:t>與</w:t>
      </w:r>
      <w:r>
        <w:rPr>
          <w:rFonts w:ascii="Times New Roman" w:hAnsi="Times New Roman" w:eastAsia="新細明體"/>
          <w:b/>
          <w:i w:val="0"/>
          <w:sz w:val="24"/>
        </w:rPr>
        <w:t>知識菁英之間的交往</w:t>
      </w:r>
      <w:r>
        <w:rPr>
          <w:rFonts w:ascii="Times New Roman" w:hAnsi="Times New Roman" w:eastAsia="新細明體"/>
          <w:b w:val="0"/>
          <w:i w:val="0"/>
          <w:sz w:val="24"/>
        </w:rPr>
        <w:t>，對於一九九〇年代以降兩教在具體社會議題上的</w:t>
      </w:r>
      <w:r>
        <w:rPr>
          <w:rFonts w:ascii="Times New Roman" w:hAnsi="Times New Roman" w:eastAsia="新細明體"/>
          <w:b/>
          <w:i w:val="0"/>
          <w:sz w:val="24"/>
        </w:rPr>
        <w:t>行動結盟</w:t>
      </w:r>
      <w:r>
        <w:rPr>
          <w:rFonts w:ascii="Times New Roman" w:hAnsi="Times New Roman" w:eastAsia="新細明體"/>
          <w:b w:val="0"/>
          <w:i w:val="0"/>
          <w:sz w:val="24"/>
        </w:rPr>
        <w:t>——其發生機制、組織形式、話語協商過程——缺乏系統的歷史敘述；相關當事人多數仍在世，而口述史料尚未被有計畫地採集。</w:t>
      </w:r>
    </w:p>
    <w:p>
      <w:pPr>
        <w:spacing w:line="360" w:lineRule="auto" w:after="200" w:before="160"/>
      </w:pPr>
      <w:r>
        <w:rPr>
          <w:rFonts w:ascii="Times New Roman" w:hAnsi="Times New Roman" w:eastAsia="新細明體"/>
          <w:b/>
          <w:i w:val="0"/>
          <w:sz w:val="26"/>
        </w:rPr>
        <w:t>（五）本研究的定位</w:t>
      </w:r>
    </w:p>
    <w:p>
      <w:pPr>
        <w:spacing w:line="360" w:lineRule="auto" w:after="120"/>
        <w:ind w:firstLine="480"/>
      </w:pPr>
      <w:r>
        <w:rPr>
          <w:rFonts w:ascii="Times New Roman" w:hAnsi="Times New Roman" w:eastAsia="新細明體"/>
          <w:b w:val="0"/>
          <w:i w:val="0"/>
          <w:sz w:val="24"/>
        </w:rPr>
        <w:t>綜合以上，本研究的貢獻空間在於：以</w:t>
      </w:r>
      <w:r>
        <w:rPr>
          <w:rFonts w:ascii="Times New Roman" w:hAnsi="Times New Roman" w:eastAsia="新細明體"/>
          <w:b/>
          <w:i w:val="0"/>
          <w:sz w:val="24"/>
        </w:rPr>
        <w:t>比較宗教史</w:t>
      </w:r>
      <w:r>
        <w:rPr>
          <w:rFonts w:ascii="Times New Roman" w:hAnsi="Times New Roman" w:eastAsia="新細明體"/>
          <w:b w:val="0"/>
          <w:i w:val="0"/>
          <w:sz w:val="24"/>
        </w:rPr>
        <w:t>的方法，把上述四個各自發展的研究領域接合為一個問題——</w:t>
      </w:r>
      <w:r>
        <w:rPr>
          <w:rFonts w:ascii="Times New Roman" w:hAnsi="Times New Roman" w:eastAsia="新細明體"/>
          <w:b/>
          <w:i w:val="0"/>
          <w:sz w:val="24"/>
        </w:rPr>
        <w:t>宗教的公共性與人間性在近代東亞的歷史生成</w:t>
      </w:r>
      <w:r>
        <w:rPr>
          <w:rFonts w:ascii="Times New Roman" w:hAnsi="Times New Roman" w:eastAsia="新細明體"/>
          <w:b w:val="0"/>
          <w:i w:val="0"/>
          <w:sz w:val="24"/>
        </w:rPr>
        <w:t>——並在史實層面補足傳道、王憲治兩條研究薄弱的線索，最後才在第五章把歷史發現提升為理論命題。</w:t>
      </w:r>
    </w:p>
    <w:p>
      <w:pPr>
        <w:spacing w:line="360" w:lineRule="auto" w:after="200" w:before="240"/>
      </w:pPr>
      <w:r>
        <w:rPr>
          <w:rFonts w:ascii="Times New Roman" w:hAnsi="Times New Roman" w:eastAsia="新細明體"/>
          <w:b/>
          <w:i w:val="0"/>
          <w:sz w:val="28"/>
        </w:rPr>
        <w:t>三、研究方法與史料</w:t>
      </w:r>
    </w:p>
    <w:p>
      <w:pPr>
        <w:spacing w:line="360" w:lineRule="auto" w:after="120"/>
        <w:ind w:firstLine="480"/>
      </w:pPr>
      <w:r>
        <w:rPr>
          <w:rFonts w:ascii="Times New Roman" w:hAnsi="Times New Roman" w:eastAsia="新細明體"/>
          <w:b w:val="0"/>
          <w:i w:val="0"/>
          <w:sz w:val="24"/>
        </w:rPr>
        <w:t>本研究以歷史學為主要方法論，具體包含四種操作，並依研究對象的性質分工使用。</w:t>
      </w:r>
    </w:p>
    <w:p>
      <w:pPr>
        <w:spacing w:line="360" w:lineRule="auto" w:after="200" w:before="160"/>
      </w:pPr>
      <w:r>
        <w:rPr>
          <w:rFonts w:ascii="Times New Roman" w:hAnsi="Times New Roman" w:eastAsia="新細明體"/>
          <w:b/>
          <w:i w:val="0"/>
          <w:sz w:val="26"/>
        </w:rPr>
        <w:t>（一）比較宗教史（comparative religious history）</w:t>
      </w:r>
    </w:p>
    <w:p>
      <w:pPr>
        <w:spacing w:line="360" w:lineRule="auto" w:after="120"/>
        <w:ind w:firstLine="480"/>
      </w:pPr>
      <w:r>
        <w:rPr>
          <w:rFonts w:ascii="Times New Roman" w:hAnsi="Times New Roman" w:eastAsia="新細明體"/>
          <w:b w:val="0"/>
          <w:i w:val="0"/>
          <w:sz w:val="24"/>
        </w:rPr>
        <w:t>第一章與第五章的主要方法。比較的單位不是「教義」而是「處境—回應」的結構：把日本、中國、朝鮮、台灣四地放在同一組歷史條件（帝國主義擴張、國家對宗教財產與制度的整編、殖民統治、民族救亡、社會主義與社會福音思潮的傳入）之下，比較各地宗教如何回應，以及回應方式的差異由哪些變項決定（國家形態、宗教與國家的既有關係、殖民者與被殖民者的宗教歸屬）。</w:t>
      </w:r>
    </w:p>
    <w:p>
      <w:pPr>
        <w:spacing w:line="360" w:lineRule="auto" w:after="120"/>
        <w:ind w:firstLine="480"/>
      </w:pPr>
      <w:r>
        <w:rPr>
          <w:rFonts w:ascii="Times New Roman" w:hAnsi="Times New Roman" w:eastAsia="新細明體"/>
          <w:b w:val="0"/>
          <w:i w:val="0"/>
          <w:sz w:val="24"/>
        </w:rPr>
        <w:t>比較的目的不是排名或求同，而是</w:t>
      </w:r>
      <w:r>
        <w:rPr>
          <w:rFonts w:ascii="Times New Roman" w:hAnsi="Times New Roman" w:eastAsia="新細明體"/>
          <w:b/>
          <w:i w:val="0"/>
          <w:sz w:val="24"/>
        </w:rPr>
        <w:t>辨識共同的歷史條件與各自的路徑依賴</w:t>
      </w:r>
      <w:r>
        <w:rPr>
          <w:rFonts w:ascii="Times New Roman" w:hAnsi="Times New Roman" w:eastAsia="新細明體"/>
          <w:b w:val="0"/>
          <w:i w:val="0"/>
          <w:sz w:val="24"/>
        </w:rPr>
        <w:t>。這使得「入世轉向」可以被當成一個歷史事件來檢證，而不是一個價值主張。</w:t>
      </w:r>
    </w:p>
    <w:p>
      <w:pPr>
        <w:spacing w:line="360" w:lineRule="auto" w:after="200" w:before="160"/>
      </w:pPr>
      <w:r>
        <w:rPr>
          <w:rFonts w:ascii="Times New Roman" w:hAnsi="Times New Roman" w:eastAsia="新細明體"/>
          <w:b/>
          <w:i w:val="0"/>
          <w:sz w:val="26"/>
        </w:rPr>
        <w:t>（二）思想史與概念史（intellectual history / Begriffsgeschichte）</w:t>
      </w:r>
    </w:p>
    <w:p>
      <w:pPr>
        <w:spacing w:line="360" w:lineRule="auto" w:after="120"/>
        <w:ind w:firstLine="480"/>
      </w:pPr>
      <w:r>
        <w:rPr>
          <w:rFonts w:ascii="Times New Roman" w:hAnsi="Times New Roman" w:eastAsia="新細明體"/>
          <w:b w:val="0"/>
          <w:i w:val="0"/>
          <w:sz w:val="24"/>
        </w:rPr>
        <w:t>第二、三章的主要方法。本研究特別追蹤四組關鍵詞在文獻中的</w:t>
      </w:r>
      <w:r>
        <w:rPr>
          <w:rFonts w:ascii="Times New Roman" w:hAnsi="Times New Roman" w:eastAsia="新細明體"/>
          <w:b/>
          <w:i w:val="0"/>
          <w:sz w:val="24"/>
        </w:rPr>
        <w:t>出現、變形與制度化</w:t>
      </w:r>
      <w:r>
        <w:rPr>
          <w:rFonts w:ascii="Times New Roman" w:hAnsi="Times New Roman" w:eastAsia="新細明體"/>
          <w:b w:val="0"/>
          <w:i w:val="0"/>
          <w:sz w:val="24"/>
        </w:rPr>
        <w:t>：</w:t>
      </w:r>
    </w:p>
    <w:p>
      <w:pPr>
        <w:spacing w:line="360" w:lineRule="auto" w:after="120"/>
        <w:ind w:firstLine="480"/>
      </w:pPr>
      <w:r>
        <w:rPr>
          <w:rFonts w:ascii="Times New Roman" w:hAnsi="Times New Roman" w:eastAsia="新細明體"/>
          <w:b w:val="0"/>
          <w:i w:val="0"/>
          <w:sz w:val="24"/>
        </w:rPr>
        <w:t>- 佛教一線：「人生佛教」→「人間佛教」→「此時、此地、此人」→「護生」「佛教倫理」</w:t>
      </w:r>
    </w:p>
    <w:p>
      <w:pPr>
        <w:spacing w:line="360" w:lineRule="auto" w:after="120"/>
        <w:ind w:firstLine="480"/>
      </w:pPr>
      <w:r>
        <w:rPr>
          <w:rFonts w:ascii="Times New Roman" w:hAnsi="Times New Roman" w:eastAsia="新細明體"/>
          <w:b w:val="0"/>
          <w:i w:val="0"/>
          <w:sz w:val="24"/>
        </w:rPr>
        <w:t>- 基督教一線：「本色化」→「實況化」（contextualization）→「鄉土」→「出頭天」</w:t>
      </w:r>
    </w:p>
    <w:p>
      <w:pPr>
        <w:spacing w:line="360" w:lineRule="auto" w:after="120"/>
        <w:ind w:firstLine="480"/>
      </w:pPr>
      <w:r>
        <w:rPr>
          <w:rFonts w:ascii="Times New Roman" w:hAnsi="Times New Roman" w:eastAsia="新細明體"/>
          <w:b w:val="0"/>
          <w:i w:val="0"/>
          <w:sz w:val="24"/>
        </w:rPr>
        <w:t>概念的用法變化本身就是史料。例如太虛的「人生佛教」與印順的「人間佛教」之間的一字之差，涉及對天乘與鬼神信仰的不同判定；「本色化」與「實況化」之間的替換，則涉及神學主體從文化適應轉向處境批判。這類詞語史的追蹤，可以避免把後起的定義回溯地加在早期文獻上。</w:t>
      </w:r>
    </w:p>
    <w:p>
      <w:pPr>
        <w:spacing w:line="360" w:lineRule="auto" w:after="200" w:before="160"/>
      </w:pPr>
      <w:r>
        <w:rPr>
          <w:rFonts w:ascii="Times New Roman" w:hAnsi="Times New Roman" w:eastAsia="新細明體"/>
          <w:b/>
          <w:i w:val="0"/>
          <w:sz w:val="26"/>
        </w:rPr>
        <w:t>（三）文獻史料學</w:t>
      </w:r>
    </w:p>
    <w:p>
      <w:pPr>
        <w:spacing w:line="360" w:lineRule="auto" w:after="120"/>
        <w:ind w:firstLine="480"/>
      </w:pPr>
      <w:r>
        <w:rPr>
          <w:rFonts w:ascii="Times New Roman" w:hAnsi="Times New Roman" w:eastAsia="新細明體"/>
          <w:b w:val="0"/>
          <w:i w:val="0"/>
          <w:sz w:val="24"/>
        </w:rPr>
        <w:t>以原典與教團刊物為主，兼及檔案。主要史料群如下：</w:t>
      </w:r>
    </w:p>
    <w:p>
      <w:pPr>
        <w:spacing w:line="360" w:lineRule="auto" w:after="120"/>
        <w:ind w:firstLine="480"/>
      </w:pPr>
      <w:r>
        <w:rPr>
          <w:rFonts w:ascii="Times New Roman" w:hAnsi="Times New Roman" w:eastAsia="新細明體"/>
          <w:b/>
          <w:i w:val="0"/>
          <w:sz w:val="24"/>
        </w:rPr>
        <w:t>佛教</w:t>
      </w:r>
      <w:r>
        <w:rPr>
          <w:rFonts w:ascii="Times New Roman" w:hAnsi="Times New Roman" w:eastAsia="新細明體"/>
          <w:b w:val="0"/>
          <w:i w:val="0"/>
          <w:sz w:val="24"/>
        </w:rPr>
        <w:t>：《太虛大師全書》；印順著作全集（正聞出版社，含《妙雲集》、《華雨集》及各教史專著）；傳道法師著述與《妙心雜誌》；昭慧法師律學與倫理學著作、《弘誓雙月刊》、《法印學報》；國史館所編佛教人物口述歷史（含《人間佛教的理論與實踐——傳道法師訪談錄》、《浩蕩赴前程：昭慧法師訪談錄》）。</w:t>
      </w:r>
    </w:p>
    <w:p>
      <w:pPr>
        <w:spacing w:line="360" w:lineRule="auto" w:after="120"/>
        <w:ind w:firstLine="480"/>
      </w:pPr>
      <w:r>
        <w:rPr>
          <w:rFonts w:ascii="Times New Roman" w:hAnsi="Times New Roman" w:eastAsia="新細明體"/>
          <w:b/>
          <w:i w:val="0"/>
          <w:sz w:val="24"/>
        </w:rPr>
        <w:t>基督教</w:t>
      </w:r>
      <w:r>
        <w:rPr>
          <w:rFonts w:ascii="Times New Roman" w:hAnsi="Times New Roman" w:eastAsia="新細明體"/>
          <w:b w:val="0"/>
          <w:i w:val="0"/>
          <w:sz w:val="24"/>
        </w:rPr>
        <w:t>：黃彰輝回憶錄與文集（含 WCC 神學教育基金會時期文獻）；宋泉盛中英文著作；王憲治《台灣鄉土神學論文集》及其南神時期論述；黃伯和自一九九〇年代至二〇二二年的系列著作；《台灣教會公報》、《新使者》、《神學與教會》、《道雜誌》；台灣基督長老教會歷次聲明與總會檔案。</w:t>
      </w:r>
    </w:p>
    <w:p>
      <w:pPr>
        <w:spacing w:line="360" w:lineRule="auto" w:after="120"/>
        <w:ind w:firstLine="480"/>
      </w:pPr>
      <w:r>
        <w:rPr>
          <w:rFonts w:ascii="Times New Roman" w:hAnsi="Times New Roman" w:eastAsia="新細明體"/>
          <w:b/>
          <w:i w:val="0"/>
          <w:sz w:val="24"/>
        </w:rPr>
        <w:t>跨宗教</w:t>
      </w:r>
      <w:r>
        <w:rPr>
          <w:rFonts w:ascii="Times New Roman" w:hAnsi="Times New Roman" w:eastAsia="新細明體"/>
          <w:b w:val="0"/>
          <w:i w:val="0"/>
          <w:sz w:val="24"/>
        </w:rPr>
        <w:t>：一九五〇至七〇年代護教論戰文獻（煮雲、聖嚴、吳恩溥、龔天民等）；一九八〇年代以降對話文獻；關懷生命協會、台灣動物社會研究會、廢死聯盟等組織的運動文件與新聞報導。</w:t>
      </w:r>
    </w:p>
    <w:p>
      <w:pPr>
        <w:spacing w:line="360" w:lineRule="auto" w:after="120"/>
        <w:ind w:firstLine="480"/>
      </w:pPr>
      <w:r>
        <w:rPr>
          <w:rFonts w:ascii="Times New Roman" w:hAnsi="Times New Roman" w:eastAsia="新細明體"/>
          <w:b w:val="0"/>
          <w:i w:val="0"/>
          <w:sz w:val="24"/>
        </w:rPr>
        <w:t>史料使用上遵守兩項原則：</w:t>
      </w:r>
      <w:r>
        <w:rPr>
          <w:rFonts w:ascii="Times New Roman" w:hAnsi="Times New Roman" w:eastAsia="新細明體"/>
          <w:b/>
          <w:i w:val="0"/>
          <w:sz w:val="24"/>
        </w:rPr>
        <w:t>其一，優先使用當時文獻而非後來的追述</w:t>
      </w:r>
      <w:r>
        <w:rPr>
          <w:rFonts w:ascii="Times New Roman" w:hAnsi="Times New Roman" w:eastAsia="新細明體"/>
          <w:b w:val="0"/>
          <w:i w:val="0"/>
          <w:sz w:val="24"/>
        </w:rPr>
        <w:t>；</w:t>
      </w:r>
      <w:r>
        <w:rPr>
          <w:rFonts w:ascii="Times New Roman" w:hAnsi="Times New Roman" w:eastAsia="新細明體"/>
          <w:b/>
          <w:i w:val="0"/>
          <w:sz w:val="24"/>
        </w:rPr>
        <w:t>其二，教團自述與外部報導並置比對</w:t>
      </w:r>
      <w:r>
        <w:rPr>
          <w:rFonts w:ascii="Times New Roman" w:hAnsi="Times New Roman" w:eastAsia="新細明體"/>
          <w:b w:val="0"/>
          <w:i w:val="0"/>
          <w:sz w:val="24"/>
        </w:rPr>
        <w:t>，避免單方敘事。</w:t>
      </w:r>
    </w:p>
    <w:p>
      <w:pPr>
        <w:spacing w:line="360" w:lineRule="auto" w:after="200" w:before="160"/>
      </w:pPr>
      <w:r>
        <w:rPr>
          <w:rFonts w:ascii="Times New Roman" w:hAnsi="Times New Roman" w:eastAsia="新細明體"/>
          <w:b/>
          <w:i w:val="0"/>
          <w:sz w:val="26"/>
        </w:rPr>
        <w:t>（四）口述歷史</w:t>
      </w:r>
    </w:p>
    <w:p>
      <w:pPr>
        <w:spacing w:line="360" w:lineRule="auto" w:after="120"/>
        <w:ind w:firstLine="480"/>
      </w:pPr>
      <w:r>
        <w:rPr>
          <w:rFonts w:ascii="Times New Roman" w:hAnsi="Times New Roman" w:eastAsia="新細明體"/>
          <w:b w:val="0"/>
          <w:i w:val="0"/>
          <w:sz w:val="24"/>
        </w:rPr>
        <w:t>用於第四章。針對一九九〇年代以降跨宗教行動結盟的參與者——包含教界領袖、神職人員、社運工作者——進行半結構式訪談，補足文獻中不會留下的協商過程、認知落差與情感因素。訪談稿依學術倫理程序取得受訪人同意後使用，並與同時期文獻交叉查核。筆者過去已完成數次相關訪談（含昭慧法師），具備延續此一工作的基礎。</w:t>
      </w:r>
    </w:p>
    <w:p>
      <w:pPr>
        <w:spacing w:line="360" w:lineRule="auto" w:after="200" w:before="160"/>
      </w:pPr>
      <w:r>
        <w:rPr>
          <w:rFonts w:ascii="Times New Roman" w:hAnsi="Times New Roman" w:eastAsia="新細明體"/>
          <w:b/>
          <w:i w:val="0"/>
          <w:sz w:val="26"/>
        </w:rPr>
        <w:t>（五）研究範圍與斷限</w:t>
      </w:r>
    </w:p>
    <w:p>
      <w:pPr>
        <w:spacing w:line="360" w:lineRule="auto" w:after="120"/>
        <w:ind w:firstLine="480"/>
      </w:pPr>
      <w:r>
        <w:rPr>
          <w:rFonts w:ascii="Times New Roman" w:hAnsi="Times New Roman" w:eastAsia="新細明體"/>
          <w:b/>
          <w:i w:val="0"/>
          <w:sz w:val="24"/>
        </w:rPr>
        <w:t>時間</w:t>
      </w:r>
      <w:r>
        <w:rPr>
          <w:rFonts w:ascii="Times New Roman" w:hAnsi="Times New Roman" w:eastAsia="新細明體"/>
          <w:b w:val="0"/>
          <w:i w:val="0"/>
          <w:sz w:val="24"/>
        </w:rPr>
        <w:t>：一八九〇年代至二〇二〇年代。上限取明治佛教改革與廟產興學危機成形之際，下限取當前跨宗教議題結盟的最新發展。</w:t>
      </w:r>
    </w:p>
    <w:p>
      <w:pPr>
        <w:spacing w:line="360" w:lineRule="auto" w:after="120"/>
        <w:ind w:firstLine="480"/>
      </w:pPr>
      <w:r>
        <w:rPr>
          <w:rFonts w:ascii="Times New Roman" w:hAnsi="Times New Roman" w:eastAsia="新細明體"/>
          <w:b/>
          <w:i w:val="0"/>
          <w:sz w:val="24"/>
        </w:rPr>
        <w:t>空間</w:t>
      </w:r>
      <w:r>
        <w:rPr>
          <w:rFonts w:ascii="Times New Roman" w:hAnsi="Times New Roman" w:eastAsia="新細明體"/>
          <w:b w:val="0"/>
          <w:i w:val="0"/>
          <w:sz w:val="24"/>
        </w:rPr>
        <w:t>：以台灣為核心個案，以日本、中國、朝鮮為比較背景。第一章之外，其餘各章均以台灣為主。</w:t>
      </w:r>
    </w:p>
    <w:p>
      <w:pPr>
        <w:spacing w:line="360" w:lineRule="auto" w:after="120"/>
        <w:ind w:firstLine="480"/>
      </w:pPr>
      <w:r>
        <w:rPr>
          <w:rFonts w:ascii="Times New Roman" w:hAnsi="Times New Roman" w:eastAsia="新細明體"/>
          <w:b/>
          <w:i w:val="0"/>
          <w:sz w:val="24"/>
        </w:rPr>
        <w:t>宗教</w:t>
      </w:r>
      <w:r>
        <w:rPr>
          <w:rFonts w:ascii="Times New Roman" w:hAnsi="Times New Roman" w:eastAsia="新細明體"/>
          <w:b w:val="0"/>
          <w:i w:val="0"/>
          <w:sz w:val="24"/>
        </w:rPr>
        <w:t>：以佛教與基督教（特別是台灣基督長老教會）為兩條主線。天主教（單國璽、洪山川等）在第四章的議題結盟中作為重要參與者出現，但不另立系譜。</w:t>
      </w:r>
    </w:p>
    <w:p>
      <w:pPr>
        <w:spacing w:line="360" w:lineRule="auto" w:after="200" w:before="160"/>
      </w:pPr>
      <w:r>
        <w:rPr>
          <w:rFonts w:ascii="Times New Roman" w:hAnsi="Times New Roman" w:eastAsia="新細明體"/>
          <w:b/>
          <w:i w:val="0"/>
          <w:sz w:val="26"/>
        </w:rPr>
        <w:t>（六）研究限制</w:t>
      </w:r>
    </w:p>
    <w:p>
      <w:pPr>
        <w:spacing w:line="360" w:lineRule="auto" w:after="120"/>
        <w:ind w:firstLine="480"/>
      </w:pPr>
      <w:r>
        <w:rPr>
          <w:rFonts w:ascii="Times New Roman" w:hAnsi="Times New Roman" w:eastAsia="新細明體"/>
          <w:b w:val="0"/>
          <w:i w:val="0"/>
          <w:sz w:val="24"/>
        </w:rPr>
        <w:t>第一，四地比較必然仰賴既有的專題研究與譯本，本研究在日文、韓文一手史料上的處理深度有其限度，故第一章定位為比較框架的建立，而非各地宗教史的原創考證。第二，口述歷史受限於受訪者的記憶與立場，其效力在於補充而非取代文獻。第三，本研究處理的是宗教菁英與組織層次的公共性，一般信眾的態度變遷需要另一套量化方法，不在本研究範圍之內。</w:t>
      </w:r>
    </w:p>
    <w:p>
      <w:pPr>
        <w:spacing w:line="360" w:lineRule="auto" w:after="200" w:before="240"/>
      </w:pPr>
      <w:r>
        <w:rPr>
          <w:rFonts w:ascii="Times New Roman" w:hAnsi="Times New Roman" w:eastAsia="新細明體"/>
          <w:b/>
          <w:i w:val="0"/>
          <w:sz w:val="28"/>
        </w:rPr>
        <w:t>四、章節架構</w:t>
      </w:r>
    </w:p>
    <w:p>
      <w:pPr>
        <w:spacing w:line="360" w:lineRule="auto" w:after="200" w:before="160"/>
      </w:pPr>
      <w:r>
        <w:rPr>
          <w:rFonts w:ascii="Times New Roman" w:hAnsi="Times New Roman" w:eastAsia="新細明體"/>
          <w:b/>
          <w:i w:val="0"/>
          <w:sz w:val="26"/>
        </w:rPr>
        <w:t>緒論</w:t>
      </w:r>
    </w:p>
    <w:p>
      <w:pPr>
        <w:spacing w:line="360" w:lineRule="auto" w:after="120"/>
        <w:ind w:firstLine="480"/>
      </w:pPr>
      <w:r>
        <w:rPr>
          <w:rFonts w:ascii="Times New Roman" w:hAnsi="Times New Roman" w:eastAsia="新細明體"/>
          <w:b w:val="0"/>
          <w:i w:val="0"/>
          <w:sz w:val="24"/>
        </w:rPr>
        <w:t>一、研究動機與問題意識　二、研究回顧　三、研究方法與史料　四、章節安排</w:t>
      </w:r>
    </w:p>
    <w:p>
      <w:pPr>
        <w:spacing w:line="360" w:lineRule="auto" w:after="200" w:before="160"/>
      </w:pPr>
      <w:r>
        <w:rPr>
          <w:rFonts w:ascii="Times New Roman" w:hAnsi="Times New Roman" w:eastAsia="新細明體"/>
          <w:b/>
          <w:i w:val="0"/>
          <w:sz w:val="26"/>
        </w:rPr>
        <w:t>第一章　近代東亞宗教復興的源頭：一個比較的考察（1890–1945）</w:t>
      </w:r>
    </w:p>
    <w:p>
      <w:pPr>
        <w:spacing w:line="360" w:lineRule="auto" w:after="120"/>
        <w:ind w:firstLine="480"/>
      </w:pPr>
      <w:r>
        <w:rPr>
          <w:rFonts w:ascii="Times New Roman" w:hAnsi="Times New Roman" w:eastAsia="新細明體"/>
          <w:b/>
          <w:i w:val="0"/>
          <w:sz w:val="24"/>
        </w:rPr>
        <w:t>第一節　共同的歷史條件</w:t>
      </w:r>
      <w:r>
        <w:rPr>
          <w:rFonts w:ascii="Times New Roman" w:hAnsi="Times New Roman" w:eastAsia="新細明體"/>
          <w:b w:val="0"/>
          <w:i w:val="0"/>
          <w:sz w:val="24"/>
        </w:rPr>
        <w:t>：帝國主義擴張下的東亞秩序重組；近代國家對宗教財產與制度的整編（日本神佛分離與廢佛毀釋的餘波、中國廟產興學、朝鮮總督府的宗教政策、台灣總督府的寺廟整理）；宗教在「迷信—科學」新知識體制中的正當性危機。</w:t>
      </w:r>
    </w:p>
    <w:p>
      <w:pPr>
        <w:spacing w:line="360" w:lineRule="auto" w:after="120"/>
        <w:ind w:firstLine="480"/>
      </w:pPr>
      <w:r>
        <w:rPr>
          <w:rFonts w:ascii="Times New Roman" w:hAnsi="Times New Roman" w:eastAsia="新細明體"/>
          <w:b/>
          <w:i w:val="0"/>
          <w:sz w:val="24"/>
        </w:rPr>
        <w:t>第二節　日本：改革與左翼的兩條線</w:t>
      </w:r>
      <w:r>
        <w:rPr>
          <w:rFonts w:ascii="Times New Roman" w:hAnsi="Times New Roman" w:eastAsia="新細明體"/>
          <w:b w:val="0"/>
          <w:i w:val="0"/>
          <w:sz w:val="24"/>
        </w:rPr>
        <w:t>。清沢満之的精神主義與新佛教徒運動；日蓮主義的國家化與其反面；內村鑑三的無教會主義與矢內原忠雄的批判傳統；賀川豐彥的基督教社會運動；妹尾義郎與新興佛教青年同盟。此節說明「宗教的社會化」在日本如何同時開出國家主義與社會主義兩種截然不同的方向。</w:t>
      </w:r>
    </w:p>
    <w:p>
      <w:pPr>
        <w:spacing w:line="360" w:lineRule="auto" w:after="120"/>
        <w:ind w:firstLine="480"/>
      </w:pPr>
      <w:r>
        <w:rPr>
          <w:rFonts w:ascii="Times New Roman" w:hAnsi="Times New Roman" w:eastAsia="新細明體"/>
          <w:b/>
          <w:i w:val="0"/>
          <w:sz w:val="24"/>
        </w:rPr>
        <w:t>第三節　中國：從存亡危機到佛教革命與社會福音</w:t>
      </w:r>
      <w:r>
        <w:rPr>
          <w:rFonts w:ascii="Times New Roman" w:hAnsi="Times New Roman" w:eastAsia="新細明體"/>
          <w:b w:val="0"/>
          <w:i w:val="0"/>
          <w:sz w:val="24"/>
        </w:rPr>
        <w:t>。廟產興學危機與佛教界的組織性回應；太虛的三大革命與人生佛教；基督教方面吳耀宗與青年會系統的社會福音路線。此節指出「革命」語彙如何同時進入佛教與基督教的自我表述。</w:t>
      </w:r>
    </w:p>
    <w:p>
      <w:pPr>
        <w:spacing w:line="360" w:lineRule="auto" w:after="120"/>
        <w:ind w:firstLine="480"/>
      </w:pPr>
      <w:r>
        <w:rPr>
          <w:rFonts w:ascii="Times New Roman" w:hAnsi="Times New Roman" w:eastAsia="新細明體"/>
          <w:b/>
          <w:i w:val="0"/>
          <w:sz w:val="24"/>
        </w:rPr>
        <w:t>第四節　朝鮮：三一運動中的跨宗教結盟</w:t>
      </w:r>
      <w:r>
        <w:rPr>
          <w:rFonts w:ascii="Times New Roman" w:hAnsi="Times New Roman" w:eastAsia="新細明體"/>
          <w:b w:val="0"/>
          <w:i w:val="0"/>
          <w:sz w:val="24"/>
        </w:rPr>
        <w:t>。東學至天道教的轉化；一九一九年獨立宣言簽署者的宗教組成所顯示的結盟事實；韓龍雲的佛教維新論；此一經驗如何成為後來民眾神學的前史。</w:t>
      </w:r>
    </w:p>
    <w:p>
      <w:pPr>
        <w:spacing w:line="360" w:lineRule="auto" w:after="120"/>
        <w:ind w:firstLine="480"/>
      </w:pPr>
      <w:r>
        <w:rPr>
          <w:rFonts w:ascii="Times New Roman" w:hAnsi="Times New Roman" w:eastAsia="新細明體"/>
          <w:b/>
          <w:i w:val="0"/>
          <w:sz w:val="24"/>
        </w:rPr>
        <w:t>第五節　台灣：新文化運動中的宗教覺醒</w:t>
      </w:r>
      <w:r>
        <w:rPr>
          <w:rFonts w:ascii="Times New Roman" w:hAnsi="Times New Roman" w:eastAsia="新細明體"/>
          <w:b w:val="0"/>
          <w:i w:val="0"/>
          <w:sz w:val="24"/>
        </w:rPr>
        <w:t>。台灣文化協會與新文化運動的宗教面向；林秋梧（證峰）的社會主義佛教論述；南瀛佛教會體制下的僧侶教育；長老教會自日治時期起的自立運動與教育事業。</w:t>
      </w:r>
    </w:p>
    <w:p>
      <w:pPr>
        <w:spacing w:line="360" w:lineRule="auto" w:after="120"/>
        <w:ind w:firstLine="480"/>
      </w:pPr>
      <w:r>
        <w:rPr>
          <w:rFonts w:ascii="Times New Roman" w:hAnsi="Times New Roman" w:eastAsia="新細明體"/>
          <w:b/>
          <w:i w:val="0"/>
          <w:sz w:val="24"/>
        </w:rPr>
        <w:t>第六節　比較與歸納</w:t>
      </w:r>
      <w:r>
        <w:rPr>
          <w:rFonts w:ascii="Times New Roman" w:hAnsi="Times New Roman" w:eastAsia="新細明體"/>
          <w:b w:val="0"/>
          <w:i w:val="0"/>
          <w:sz w:val="24"/>
        </w:rPr>
        <w:t>。四地共享的三項條件（國家整編、殖民或半殖民處境、外來社會思潮）與兩項差異變項（宗教與國家的既有關係、殖民者與被殖民者的宗教歸屬）；「入世」作為東亞宗教的共同轉向，其性質是回應性的、跨宗教的、且與民族處境緊密綁定。此一結論構成後續兩章的歷史前提。</w:t>
      </w:r>
    </w:p>
    <w:p>
      <w:pPr>
        <w:spacing w:line="360" w:lineRule="auto" w:after="200" w:before="160"/>
      </w:pPr>
      <w:r>
        <w:rPr>
          <w:rFonts w:ascii="Times New Roman" w:hAnsi="Times New Roman" w:eastAsia="新細明體"/>
          <w:b/>
          <w:i w:val="0"/>
          <w:sz w:val="26"/>
        </w:rPr>
        <w:t>第二章　台灣佛教公共性與人間性的產生：太虛—印順—傳道—昭慧（1920–2020）</w:t>
      </w:r>
    </w:p>
    <w:p>
      <w:pPr>
        <w:spacing w:line="360" w:lineRule="auto" w:after="120"/>
        <w:ind w:firstLine="480"/>
      </w:pPr>
      <w:r>
        <w:rPr>
          <w:rFonts w:ascii="Times New Roman" w:hAnsi="Times New Roman" w:eastAsia="新細明體"/>
          <w:b/>
          <w:i w:val="0"/>
          <w:sz w:val="24"/>
        </w:rPr>
        <w:t>第一節　太虛：發動者</w:t>
      </w:r>
      <w:r>
        <w:rPr>
          <w:rFonts w:ascii="Times New Roman" w:hAnsi="Times New Roman" w:eastAsia="新細明體"/>
          <w:b w:val="0"/>
          <w:i w:val="0"/>
          <w:sz w:val="24"/>
        </w:rPr>
        <w:t>。三大革命的內容與其制度上的受挫；「人生佛教」的提出與其對天乘與鬼神信仰的批判；太虛路線在戰後台灣的殘留與轉化。</w:t>
      </w:r>
    </w:p>
    <w:p>
      <w:pPr>
        <w:spacing w:line="360" w:lineRule="auto" w:after="120"/>
        <w:ind w:firstLine="480"/>
      </w:pPr>
      <w:r>
        <w:rPr>
          <w:rFonts w:ascii="Times New Roman" w:hAnsi="Times New Roman" w:eastAsia="新細明體"/>
          <w:b/>
          <w:i w:val="0"/>
          <w:sz w:val="24"/>
        </w:rPr>
        <w:t>第二節　印順：詮釋者</w:t>
      </w:r>
      <w:r>
        <w:rPr>
          <w:rFonts w:ascii="Times New Roman" w:hAnsi="Times New Roman" w:eastAsia="新細明體"/>
          <w:b w:val="0"/>
          <w:i w:val="0"/>
          <w:sz w:val="24"/>
        </w:rPr>
        <w:t>。以教史研究重新界定佛教的核心關懷；《印度之佛教》至《印度佛教思想史》的教史重詮工程；〈契理契機之人間佛教〉所確立的方法論；「此時、此地、此人」何以不是世俗化的讓步，而是對佛陀本懷與初期大乘精神的重新宣稱。</w:t>
      </w:r>
    </w:p>
    <w:p>
      <w:pPr>
        <w:spacing w:line="360" w:lineRule="auto" w:after="120"/>
        <w:ind w:firstLine="480"/>
      </w:pPr>
      <w:r>
        <w:rPr>
          <w:rFonts w:ascii="Times New Roman" w:hAnsi="Times New Roman" w:eastAsia="新細明體"/>
          <w:b/>
          <w:i w:val="0"/>
          <w:sz w:val="24"/>
        </w:rPr>
        <w:t>第三節　傳道：落地者</w:t>
      </w:r>
      <w:r>
        <w:rPr>
          <w:rFonts w:ascii="Times New Roman" w:hAnsi="Times New Roman" w:eastAsia="新細明體"/>
          <w:b w:val="0"/>
          <w:i w:val="0"/>
          <w:sz w:val="24"/>
        </w:rPr>
        <w:t>。妙心寺路線的形成；台語弘法與在地語言的宗教意義；《妙心雜誌》與中華佛教百科文獻基金會的文獻事業；環境、社區與教育議題上的參與；作為印順學派三大法系之一，妙心寺一系與弘誓一系在實踐取向上的分工與差異。</w:t>
      </w:r>
    </w:p>
    <w:p>
      <w:pPr>
        <w:spacing w:line="360" w:lineRule="auto" w:after="120"/>
        <w:ind w:firstLine="480"/>
      </w:pPr>
      <w:r>
        <w:rPr>
          <w:rFonts w:ascii="Times New Roman" w:hAnsi="Times New Roman" w:eastAsia="新細明體"/>
          <w:b/>
          <w:i w:val="0"/>
          <w:sz w:val="24"/>
        </w:rPr>
        <w:t>第四節　昭慧：建制者</w:t>
      </w:r>
      <w:r>
        <w:rPr>
          <w:rFonts w:ascii="Times New Roman" w:hAnsi="Times New Roman" w:eastAsia="新細明體"/>
          <w:b w:val="0"/>
          <w:i w:val="0"/>
          <w:sz w:val="24"/>
        </w:rPr>
        <w:t>。律學重詮與教內體制改革（含廢除八敬法的訴求及其爭議）；從護教運動到社會運動的路徑；《佛教倫理學》至《佛教規範倫理學》的體系化，如何把佛教立場轉譯為可與世俗倫理學對話的公共論述。</w:t>
      </w:r>
    </w:p>
    <w:p>
      <w:pPr>
        <w:spacing w:line="360" w:lineRule="auto" w:after="120"/>
        <w:ind w:firstLine="480"/>
      </w:pPr>
      <w:r>
        <w:rPr>
          <w:rFonts w:ascii="Times New Roman" w:hAnsi="Times New Roman" w:eastAsia="新細明體"/>
          <w:b/>
          <w:i w:val="0"/>
          <w:sz w:val="24"/>
        </w:rPr>
        <w:t>第五節　小結：佛教人間性的生成機制</w:t>
      </w:r>
      <w:r>
        <w:rPr>
          <w:rFonts w:ascii="Times New Roman" w:hAnsi="Times New Roman" w:eastAsia="新細明體"/>
          <w:b w:val="0"/>
          <w:i w:val="0"/>
          <w:sz w:val="24"/>
        </w:rPr>
        <w:t>。四階段結構的提出：危機中的改革發動→教史與教理的重新詮釋→在地語言與草根組織的落實→倫理論述的建制化與公共化。</w:t>
      </w:r>
    </w:p>
    <w:p>
      <w:pPr>
        <w:spacing w:line="360" w:lineRule="auto" w:after="200" w:before="160"/>
      </w:pPr>
      <w:r>
        <w:rPr>
          <w:rFonts w:ascii="Times New Roman" w:hAnsi="Times New Roman" w:eastAsia="新細明體"/>
          <w:b/>
          <w:i w:val="0"/>
          <w:sz w:val="26"/>
        </w:rPr>
        <w:t>第三章　台灣基督教公共性與人間性的產生：黃彰輝—宋泉盛—王憲治—黃伯和（1940–2020）</w:t>
      </w:r>
    </w:p>
    <w:p>
      <w:pPr>
        <w:spacing w:line="360" w:lineRule="auto" w:after="120"/>
        <w:ind w:firstLine="480"/>
      </w:pPr>
      <w:r>
        <w:rPr>
          <w:rFonts w:ascii="Times New Roman" w:hAnsi="Times New Roman" w:eastAsia="新細明體"/>
          <w:b/>
          <w:i w:val="0"/>
          <w:sz w:val="24"/>
        </w:rPr>
        <w:t>第一節　黃彰輝：概念的鑄造</w:t>
      </w:r>
      <w:r>
        <w:rPr>
          <w:rFonts w:ascii="Times New Roman" w:hAnsi="Times New Roman" w:eastAsia="新細明體"/>
          <w:b w:val="0"/>
          <w:i w:val="0"/>
          <w:sz w:val="24"/>
        </w:rPr>
        <w:t>。自台南神學院復校至 WCC 神學教育基金會；「實況化」（contextualization）相對於「本色化」（indigenization）的概念轉折；台灣經驗如何成為一個普世神學概念的來源；一九七〇年代台灣人民自決運動中的角色。</w:t>
      </w:r>
    </w:p>
    <w:p>
      <w:pPr>
        <w:spacing w:line="360" w:lineRule="auto" w:after="120"/>
        <w:ind w:firstLine="480"/>
      </w:pPr>
      <w:r>
        <w:rPr>
          <w:rFonts w:ascii="Times New Roman" w:hAnsi="Times New Roman" w:eastAsia="新細明體"/>
          <w:b/>
          <w:i w:val="0"/>
          <w:sz w:val="24"/>
        </w:rPr>
        <w:t>第二節　宋泉盛：方法的具體化</w:t>
      </w:r>
      <w:r>
        <w:rPr>
          <w:rFonts w:ascii="Times New Roman" w:hAnsi="Times New Roman" w:eastAsia="新細明體"/>
          <w:b w:val="0"/>
          <w:i w:val="0"/>
          <w:sz w:val="24"/>
        </w:rPr>
        <w:t>。以亞洲民間故事與受苦記憶作為神學材料；《第三眼神學》至《耶穌，被釘十字架的人民》的方法演進；在 WCC 體制內的位置與影響。</w:t>
      </w:r>
    </w:p>
    <w:p>
      <w:pPr>
        <w:spacing w:line="360" w:lineRule="auto" w:after="120"/>
        <w:ind w:firstLine="480"/>
      </w:pPr>
      <w:r>
        <w:rPr>
          <w:rFonts w:ascii="Times New Roman" w:hAnsi="Times New Roman" w:eastAsia="新細明體"/>
          <w:b/>
          <w:i w:val="0"/>
          <w:sz w:val="24"/>
        </w:rPr>
        <w:t>第三節　王憲治：鄉土的落地</w:t>
      </w:r>
      <w:r>
        <w:rPr>
          <w:rFonts w:ascii="Times New Roman" w:hAnsi="Times New Roman" w:eastAsia="新細明體"/>
          <w:b w:val="0"/>
          <w:i w:val="0"/>
          <w:sz w:val="24"/>
        </w:rPr>
        <w:t>。《台灣鄉土神學論文集》的問題架構——人民、鄉土、權力、上帝四主題；鄉土神學與自決論述的接合；南神教學現場作為神學生產的場所；此一路線因其早逝而中斷的部分，以及由誰承接。</w:t>
      </w:r>
    </w:p>
    <w:p>
      <w:pPr>
        <w:spacing w:line="360" w:lineRule="auto" w:after="120"/>
        <w:ind w:firstLine="480"/>
      </w:pPr>
      <w:r>
        <w:rPr>
          <w:rFonts w:ascii="Times New Roman" w:hAnsi="Times New Roman" w:eastAsia="新細明體"/>
          <w:b/>
          <w:i w:val="0"/>
          <w:sz w:val="24"/>
        </w:rPr>
        <w:t>第四節　黃伯和：本土神學的體制化</w:t>
      </w:r>
      <w:r>
        <w:rPr>
          <w:rFonts w:ascii="Times New Roman" w:hAnsi="Times New Roman" w:eastAsia="新細明體"/>
          <w:b w:val="0"/>
          <w:i w:val="0"/>
          <w:sz w:val="24"/>
        </w:rPr>
        <w:t>。「出頭天」作為神學範疇的提出；自《宗教與自決》、《奔向出頭天的子民》至二〇二二年五卷本系列的長期工程；神學教育與亞洲普世網絡中的制度性佈局。</w:t>
      </w:r>
    </w:p>
    <w:p>
      <w:pPr>
        <w:spacing w:line="360" w:lineRule="auto" w:after="120"/>
        <w:ind w:firstLine="480"/>
      </w:pPr>
      <w:r>
        <w:rPr>
          <w:rFonts w:ascii="Times New Roman" w:hAnsi="Times New Roman" w:eastAsia="新細明體"/>
          <w:b/>
          <w:i w:val="0"/>
          <w:sz w:val="24"/>
        </w:rPr>
        <w:t>第五節　小結：基督教人間性的生成機制</w:t>
      </w:r>
      <w:r>
        <w:rPr>
          <w:rFonts w:ascii="Times New Roman" w:hAnsi="Times New Roman" w:eastAsia="新細明體"/>
          <w:b w:val="0"/>
          <w:i w:val="0"/>
          <w:sz w:val="24"/>
        </w:rPr>
        <w:t>。同樣四階段結構的驗證，以及與佛教一線的異同：基督教一線的「發動」較早進入普世體制，佛教一線的「建制」則較深地嵌入公民社會組織。</w:t>
      </w:r>
    </w:p>
    <w:p>
      <w:pPr>
        <w:spacing w:line="360" w:lineRule="auto" w:after="200" w:before="160"/>
      </w:pPr>
      <w:r>
        <w:rPr>
          <w:rFonts w:ascii="Times New Roman" w:hAnsi="Times New Roman" w:eastAsia="新細明體"/>
          <w:b/>
          <w:i w:val="0"/>
          <w:sz w:val="26"/>
        </w:rPr>
        <w:t>第四章　交會與結盟：戰後台灣佛耶關係史（1950–2020）</w:t>
      </w:r>
    </w:p>
    <w:p>
      <w:pPr>
        <w:spacing w:line="360" w:lineRule="auto" w:after="120"/>
        <w:ind w:firstLine="480"/>
      </w:pPr>
      <w:r>
        <w:rPr>
          <w:rFonts w:ascii="Times New Roman" w:hAnsi="Times New Roman" w:eastAsia="新細明體"/>
          <w:b/>
          <w:i w:val="0"/>
          <w:sz w:val="24"/>
        </w:rPr>
        <w:t>第一節　護教論戰期（1950s–1970s）</w:t>
      </w:r>
      <w:r>
        <w:rPr>
          <w:rFonts w:ascii="Times New Roman" w:hAnsi="Times New Roman" w:eastAsia="新細明體"/>
          <w:b w:val="0"/>
          <w:i w:val="0"/>
          <w:sz w:val="24"/>
        </w:rPr>
        <w:t>。煮雲、聖嚴與吳恩溥、龔天民等人的論戰文獻；論戰的社會條件（傳教競爭、美援背景、戒嚴體制）。</w:t>
      </w:r>
    </w:p>
    <w:p>
      <w:pPr>
        <w:spacing w:line="360" w:lineRule="auto" w:after="120"/>
        <w:ind w:firstLine="480"/>
      </w:pPr>
      <w:r>
        <w:rPr>
          <w:rFonts w:ascii="Times New Roman" w:hAnsi="Times New Roman" w:eastAsia="新細明體"/>
          <w:b/>
          <w:i w:val="0"/>
          <w:sz w:val="24"/>
        </w:rPr>
        <w:t>第二節　對話期（1980s–1990s）</w:t>
      </w:r>
      <w:r>
        <w:rPr>
          <w:rFonts w:ascii="Times New Roman" w:hAnsi="Times New Roman" w:eastAsia="新細明體"/>
          <w:b w:val="0"/>
          <w:i w:val="0"/>
          <w:sz w:val="24"/>
        </w:rPr>
        <w:t>。學界與教界對話管道的建立；宗教交談的體制化嘗試；此期對話為何多停留在教義與靈修層次。</w:t>
      </w:r>
    </w:p>
    <w:p>
      <w:pPr>
        <w:spacing w:line="360" w:lineRule="auto" w:after="120"/>
        <w:ind w:firstLine="480"/>
      </w:pPr>
      <w:r>
        <w:rPr>
          <w:rFonts w:ascii="Times New Roman" w:hAnsi="Times New Roman" w:eastAsia="新細明體"/>
          <w:b/>
          <w:i w:val="0"/>
          <w:sz w:val="24"/>
        </w:rPr>
        <w:t>第三節　議題結盟期（2000s–2020s）</w:t>
      </w:r>
      <w:r>
        <w:rPr>
          <w:rFonts w:ascii="Times New Roman" w:hAnsi="Times New Roman" w:eastAsia="新細明體"/>
          <w:b w:val="0"/>
          <w:i w:val="0"/>
          <w:sz w:val="24"/>
        </w:rPr>
        <w:t>。反賭博合法化、動物保護、廢除死刑、性別平權等議題上的跨宗教合作；結盟如何在「不談教義、只談議題」的默契下運作；佛教的護生與緣起論述如何與基督教的先知傳統與人權論述並置而不衝突。</w:t>
      </w:r>
    </w:p>
    <w:p>
      <w:pPr>
        <w:spacing w:line="360" w:lineRule="auto" w:after="120"/>
        <w:ind w:firstLine="480"/>
      </w:pPr>
      <w:r>
        <w:rPr>
          <w:rFonts w:ascii="Times New Roman" w:hAnsi="Times New Roman" w:eastAsia="新細明體"/>
          <w:b/>
          <w:i w:val="0"/>
          <w:sz w:val="24"/>
        </w:rPr>
        <w:t>第四節　口述歷史：行動者的自我理解</w:t>
      </w:r>
      <w:r>
        <w:rPr>
          <w:rFonts w:ascii="Times New Roman" w:hAnsi="Times New Roman" w:eastAsia="新細明體"/>
          <w:b w:val="0"/>
          <w:i w:val="0"/>
          <w:sz w:val="24"/>
        </w:rPr>
        <w:t>。透過訪談呈現文獻不會記錄的部分——結盟的發起過程、彼此的認知落差、對「一起做事會不會被自己人質疑」的處理。</w:t>
      </w:r>
    </w:p>
    <w:p>
      <w:pPr>
        <w:spacing w:line="360" w:lineRule="auto" w:after="120"/>
        <w:ind w:firstLine="480"/>
      </w:pPr>
      <w:r>
        <w:rPr>
          <w:rFonts w:ascii="Times New Roman" w:hAnsi="Times New Roman" w:eastAsia="新細明體"/>
          <w:b/>
          <w:i w:val="0"/>
          <w:sz w:val="24"/>
        </w:rPr>
        <w:t>第五節　小結</w:t>
      </w:r>
      <w:r>
        <w:rPr>
          <w:rFonts w:ascii="Times New Roman" w:hAnsi="Times New Roman" w:eastAsia="新細明體"/>
          <w:b w:val="0"/>
          <w:i w:val="0"/>
          <w:sz w:val="24"/>
        </w:rPr>
        <w:t>。佛耶交會史的階段變化，證明第二、三章所述兩條生成路線並非平行而不相交，而是在公共領域中實際會合。</w:t>
      </w:r>
    </w:p>
    <w:p>
      <w:pPr>
        <w:spacing w:line="360" w:lineRule="auto" w:after="200" w:before="160"/>
      </w:pPr>
      <w:r>
        <w:rPr>
          <w:rFonts w:ascii="Times New Roman" w:hAnsi="Times New Roman" w:eastAsia="新細明體"/>
          <w:b/>
          <w:i w:val="0"/>
          <w:sz w:val="26"/>
        </w:rPr>
        <w:t>第五章　歷史範式的理論意義：作為新範式的「人間宗教」</w:t>
      </w:r>
    </w:p>
    <w:p>
      <w:pPr>
        <w:spacing w:line="360" w:lineRule="auto" w:after="120"/>
        <w:ind w:firstLine="480"/>
      </w:pPr>
      <w:r>
        <w:rPr>
          <w:rFonts w:ascii="Times New Roman" w:hAnsi="Times New Roman" w:eastAsia="新細明體"/>
          <w:b/>
          <w:i w:val="0"/>
          <w:sz w:val="24"/>
        </w:rPr>
        <w:t>第一節　從歷史歸納到範式命名</w:t>
      </w:r>
      <w:r>
        <w:rPr>
          <w:rFonts w:ascii="Times New Roman" w:hAnsi="Times New Roman" w:eastAsia="新細明體"/>
          <w:b w:val="0"/>
          <w:i w:val="0"/>
          <w:sz w:val="24"/>
        </w:rPr>
        <w:t>。整理前四章的發現，提出「人間宗教」（Religion of the Human Realm）作為對此一歷史範式的命名，並界定其三項成分：關懷定位於此世、正當性訴諸各自傳統的本源、公共參與作為宗教性實踐本身。</w:t>
      </w:r>
    </w:p>
    <w:p>
      <w:pPr>
        <w:spacing w:line="360" w:lineRule="auto" w:after="120"/>
        <w:ind w:firstLine="480"/>
      </w:pPr>
      <w:r>
        <w:rPr>
          <w:rFonts w:ascii="Times New Roman" w:hAnsi="Times New Roman" w:eastAsia="新細明體"/>
          <w:b/>
          <w:i w:val="0"/>
          <w:sz w:val="24"/>
        </w:rPr>
        <w:t>第二節　對宗教學的意義</w:t>
      </w:r>
      <w:r>
        <w:rPr>
          <w:rFonts w:ascii="Times New Roman" w:hAnsi="Times New Roman" w:eastAsia="新細明體"/>
          <w:b w:val="0"/>
          <w:i w:val="0"/>
          <w:sz w:val="24"/>
        </w:rPr>
        <w:t>。以東亞經驗檢討世俗化理論——這裡的宗教並非在現代化中退場，而是藉由入世而復振；並檢討宗教多元論的預設：當比較的基礎由形上學設定改為歷史經驗時，各宗教的主體性得以保全，而對話不必以教義讓步為代價。此節將與希克、尼特、潘尼卡等既有理論進行有節制的對話，但立場是以歷史材料檢驗理論，而非以理論裁決歷史。</w:t>
      </w:r>
    </w:p>
    <w:p>
      <w:pPr>
        <w:spacing w:line="360" w:lineRule="auto" w:after="120"/>
        <w:ind w:firstLine="480"/>
      </w:pPr>
      <w:r>
        <w:rPr>
          <w:rFonts w:ascii="Times New Roman" w:hAnsi="Times New Roman" w:eastAsia="新細明體"/>
          <w:b/>
          <w:i w:val="0"/>
          <w:sz w:val="24"/>
        </w:rPr>
        <w:t>第三節　對比較神學的意義</w:t>
      </w:r>
      <w:r>
        <w:rPr>
          <w:rFonts w:ascii="Times New Roman" w:hAnsi="Times New Roman" w:eastAsia="新細明體"/>
          <w:b w:val="0"/>
          <w:i w:val="0"/>
          <w:sz w:val="24"/>
        </w:rPr>
        <w:t>。比較神學若以「歷史處境的相似」而非「教義命題的對應」作為比較單位，可以得到什麼？本節以第二、三章所得的四階段結構為例，說明一種</w:t>
      </w:r>
      <w:r>
        <w:rPr>
          <w:rFonts w:ascii="Times New Roman" w:hAnsi="Times New Roman" w:eastAsia="新細明體"/>
          <w:b/>
          <w:i w:val="0"/>
          <w:sz w:val="24"/>
        </w:rPr>
        <w:t>以歷史為基礎的比較神學</w:t>
      </w:r>
      <w:r>
        <w:rPr>
          <w:rFonts w:ascii="Times New Roman" w:hAnsi="Times New Roman" w:eastAsia="新細明體"/>
          <w:b w:val="0"/>
          <w:i w:val="0"/>
          <w:sz w:val="24"/>
        </w:rPr>
        <w:t>的可能操作方式。</w:t>
      </w:r>
    </w:p>
    <w:p>
      <w:pPr>
        <w:spacing w:line="360" w:lineRule="auto" w:after="120"/>
        <w:ind w:firstLine="480"/>
      </w:pPr>
      <w:r>
        <w:rPr>
          <w:rFonts w:ascii="Times New Roman" w:hAnsi="Times New Roman" w:eastAsia="新細明體"/>
          <w:b/>
          <w:i w:val="0"/>
          <w:sz w:val="24"/>
        </w:rPr>
        <w:t>第四節　「人間」作為空間場域</w:t>
      </w:r>
      <w:r>
        <w:rPr>
          <w:rFonts w:ascii="Times New Roman" w:hAnsi="Times New Roman" w:eastAsia="新細明體"/>
          <w:b w:val="0"/>
          <w:i w:val="0"/>
          <w:sz w:val="24"/>
        </w:rPr>
        <w:t>。從歷史材料中的護生、環境、動物、生態關懷出發，論證兩條系譜實際上都已把「人間」擴張為涵蓋非人受造物的場域，因而此一範式內在地具備超越人類中心主義的延伸能力。</w:t>
      </w:r>
    </w:p>
    <w:p>
      <w:pPr>
        <w:spacing w:line="360" w:lineRule="auto" w:after="120"/>
        <w:ind w:firstLine="480"/>
      </w:pPr>
      <w:r>
        <w:rPr>
          <w:rFonts w:ascii="Times New Roman" w:hAnsi="Times New Roman" w:eastAsia="新細明體"/>
          <w:b/>
          <w:i w:val="0"/>
          <w:sz w:val="24"/>
        </w:rPr>
        <w:t>第五節　範式的限度</w:t>
      </w:r>
      <w:r>
        <w:rPr>
          <w:rFonts w:ascii="Times New Roman" w:hAnsi="Times New Roman" w:eastAsia="新細明體"/>
          <w:b w:val="0"/>
          <w:i w:val="0"/>
          <w:sz w:val="24"/>
        </w:rPr>
        <w:t>。本範式適用於何種條件下的宗教（有本源可資訴諸、有公共空間可資參與、有處境壓力可資回應）；不適用於何種情況；以及把台灣經驗普遍化時應有的保留。</w:t>
      </w:r>
    </w:p>
    <w:p>
      <w:pPr>
        <w:spacing w:line="360" w:lineRule="auto" w:after="200" w:before="160"/>
      </w:pPr>
      <w:r>
        <w:rPr>
          <w:rFonts w:ascii="Times New Roman" w:hAnsi="Times New Roman" w:eastAsia="新細明體"/>
          <w:b/>
          <w:i w:val="0"/>
          <w:sz w:val="26"/>
        </w:rPr>
        <w:t>結論</w:t>
      </w:r>
    </w:p>
    <w:p>
      <w:pPr>
        <w:spacing w:line="360" w:lineRule="auto" w:after="120"/>
        <w:ind w:firstLine="480"/>
      </w:pPr>
      <w:r>
        <w:rPr>
          <w:rFonts w:ascii="Times New Roman" w:hAnsi="Times New Roman" w:eastAsia="新細明體"/>
          <w:b w:val="0"/>
          <w:i w:val="0"/>
          <w:sz w:val="24"/>
        </w:rPr>
        <w:t>一、歷史發現的總結　二、「人間宗教」範式的成立條件與理論位置　三、未來研究方向：東亞其他個案的檢證、跨宗教公共倫理的可能形態</w:t>
      </w:r>
    </w:p>
    <w:p>
      <w:pPr>
        <w:spacing w:line="360" w:lineRule="auto" w:after="200" w:before="240"/>
      </w:pPr>
      <w:r>
        <w:rPr>
          <w:rFonts w:ascii="Times New Roman" w:hAnsi="Times New Roman" w:eastAsia="新細明體"/>
          <w:b/>
          <w:i w:val="0"/>
          <w:sz w:val="28"/>
        </w:rPr>
        <w:t>五、預期研究成果與貢獻</w:t>
      </w:r>
    </w:p>
    <w:p>
      <w:pPr>
        <w:spacing w:line="360" w:lineRule="auto" w:after="200" w:before="160"/>
      </w:pPr>
      <w:r>
        <w:rPr>
          <w:rFonts w:ascii="Times New Roman" w:hAnsi="Times New Roman" w:eastAsia="新細明體"/>
          <w:b/>
          <w:i w:val="0"/>
          <w:sz w:val="26"/>
        </w:rPr>
        <w:t>（一）史學貢獻：兩段歷史的接合與兩條線索的補白</w:t>
      </w:r>
    </w:p>
    <w:p>
      <w:pPr>
        <w:spacing w:line="360" w:lineRule="auto" w:after="120"/>
        <w:ind w:firstLine="480"/>
      </w:pPr>
      <w:r>
        <w:rPr>
          <w:rFonts w:ascii="Times New Roman" w:hAnsi="Times New Roman" w:eastAsia="新細明體"/>
          <w:b w:val="0"/>
          <w:i w:val="0"/>
          <w:sz w:val="24"/>
        </w:rPr>
        <w:t>本研究預期完成的第一件事，是把台灣佛教史與台灣基督教史這兩段一向分開講述的歷史，放在同一個問題（公共性與人間性的生成）之下接合起來，並以四地比較的東亞背景為之定位。其次，在史實層面補足兩條研究薄弱的線索：</w:t>
      </w:r>
      <w:r>
        <w:rPr>
          <w:rFonts w:ascii="Times New Roman" w:hAnsi="Times New Roman" w:eastAsia="新細明體"/>
          <w:b/>
          <w:i w:val="0"/>
          <w:sz w:val="24"/>
        </w:rPr>
        <w:t>傳道法師與妙心寺一系</w:t>
      </w:r>
      <w:r>
        <w:rPr>
          <w:rFonts w:ascii="Times New Roman" w:hAnsi="Times New Roman" w:eastAsia="新細明體"/>
          <w:b w:val="0"/>
          <w:i w:val="0"/>
          <w:sz w:val="24"/>
        </w:rPr>
        <w:t>在人間佛教落地過程中的位置，以及</w:t>
      </w:r>
      <w:r>
        <w:rPr>
          <w:rFonts w:ascii="Times New Roman" w:hAnsi="Times New Roman" w:eastAsia="新細明體"/>
          <w:b/>
          <w:i w:val="0"/>
          <w:sz w:val="24"/>
        </w:rPr>
        <w:t>王憲治與台灣鄉土神學</w:t>
      </w:r>
      <w:r>
        <w:rPr>
          <w:rFonts w:ascii="Times New Roman" w:hAnsi="Times New Roman" w:eastAsia="新細明體"/>
          <w:b w:val="0"/>
          <w:i w:val="0"/>
          <w:sz w:val="24"/>
        </w:rPr>
        <w:t>在本土神學系譜中的中介角色。這兩項補白本身即具獨立的學術價值。</w:t>
      </w:r>
    </w:p>
    <w:p>
      <w:pPr>
        <w:spacing w:line="360" w:lineRule="auto" w:after="200" w:before="160"/>
      </w:pPr>
      <w:r>
        <w:rPr>
          <w:rFonts w:ascii="Times New Roman" w:hAnsi="Times New Roman" w:eastAsia="新細明體"/>
          <w:b/>
          <w:i w:val="0"/>
          <w:sz w:val="26"/>
        </w:rPr>
        <w:t>（二）方法貢獻：以歷史經驗為基礎的宗教比較</w:t>
      </w:r>
    </w:p>
    <w:p>
      <w:pPr>
        <w:spacing w:line="360" w:lineRule="auto" w:after="120"/>
        <w:ind w:firstLine="480"/>
      </w:pPr>
      <w:r>
        <w:rPr>
          <w:rFonts w:ascii="Times New Roman" w:hAnsi="Times New Roman" w:eastAsia="新細明體"/>
          <w:b w:val="0"/>
          <w:i w:val="0"/>
          <w:sz w:val="24"/>
        </w:rPr>
        <w:t>本研究示範一種操作程序：先以比較宗教史建立歷史範式，再據以檢討既有理論。相對於「以理論框架收編個案」的常見做法，此一程序把理論的正當性建立在史料之上，因而對於被比較的各宗教而言，其主體性的折損最小。此一程序若成立，可推廣至東亞其他個案（韓國民眾神學與圓佛教、日本的入世佛教與無教會主義、越南的入世佛教）。</w:t>
      </w:r>
    </w:p>
    <w:p>
      <w:pPr>
        <w:spacing w:line="360" w:lineRule="auto" w:after="200" w:before="160"/>
      </w:pPr>
      <w:r>
        <w:rPr>
          <w:rFonts w:ascii="Times New Roman" w:hAnsi="Times New Roman" w:eastAsia="新細明體"/>
          <w:b/>
          <w:i w:val="0"/>
          <w:sz w:val="26"/>
        </w:rPr>
        <w:t>（三）理論貢獻：「人間宗教」作為一個經歷史檢證的範式</w:t>
      </w:r>
    </w:p>
    <w:p>
      <w:pPr>
        <w:spacing w:line="360" w:lineRule="auto" w:after="120"/>
        <w:ind w:firstLine="480"/>
      </w:pPr>
      <w:r>
        <w:rPr>
          <w:rFonts w:ascii="Times New Roman" w:hAnsi="Times New Roman" w:eastAsia="新細明體"/>
          <w:b w:val="0"/>
          <w:i w:val="0"/>
          <w:sz w:val="24"/>
        </w:rPr>
        <w:t>本研究預期提出的「人間宗教」，與過去以「宗教對話理論」形式出現的各種主張不同之處在於：它不是一項應然的倡議，而是對一段已發生之歷史的歸納。其可檢驗性即在於此——它可以被更多的歷史個案支持或否證。就當代處境而言，此一範式對於兩個現實問題具有參考價值：面對生態與動物倫理等跨越信仰界線的議題時，各宗教如何在不放棄自身傳統的前提下共同行動；以及面對宗教在公共領域中日益兩極化的處境時，是否存在一條既保有神聖向度、又具備自我改革能力的路徑。</w:t>
      </w:r>
    </w:p>
    <w:p>
      <w:pPr>
        <w:spacing w:line="360" w:lineRule="auto" w:after="200" w:before="240"/>
      </w:pPr>
      <w:r>
        <w:rPr>
          <w:rFonts w:ascii="Times New Roman" w:hAnsi="Times New Roman" w:eastAsia="新細明體"/>
          <w:b/>
          <w:i w:val="0"/>
          <w:sz w:val="28"/>
        </w:rPr>
        <w:t>六、研究進度規劃</w:t>
      </w:r>
    </w:p>
    <w:p>
      <w:pPr>
        <w:spacing w:line="360" w:lineRule="auto" w:after="120"/>
        <w:ind w:firstLine="480"/>
      </w:pPr>
      <w:r>
        <w:rPr>
          <w:rFonts w:ascii="Times New Roman" w:hAnsi="Times New Roman" w:eastAsia="新細明體"/>
          <w:b w:val="0"/>
          <w:i w:val="0"/>
          <w:sz w:val="24"/>
        </w:rPr>
        <w:t>本研究預定以四年完成。第一年完成第一章與研究架構的確立，並開始口述訪談的規劃；第二年完成第二章與第三章的史料處理與初稿；第三年完成第四章（含口述歷史採集）與第五章初稿；第四年進行全稿修訂、部分成果投稿與學位考試準備。</w:t>
      </w:r>
    </w:p>
    <w:p>
      <w:pPr>
        <w:spacing w:line="360" w:lineRule="auto" w:after="120"/>
        <w:ind w:firstLine="480"/>
      </w:pPr>
      <w:r>
        <w:rPr>
          <w:rFonts w:ascii="Times New Roman" w:hAnsi="Times New Roman" w:eastAsia="新細明體"/>
          <w:b w:val="0"/>
          <w:i w:val="0"/>
          <w:sz w:val="24"/>
        </w:rPr>
        <w:t>其中</w:t>
      </w:r>
      <w:r>
        <w:rPr>
          <w:rFonts w:ascii="Times New Roman" w:hAnsi="Times New Roman" w:eastAsia="新細明體"/>
          <w:b/>
          <w:i w:val="0"/>
          <w:sz w:val="24"/>
        </w:rPr>
        <w:t>未來十個月（2026年9月至2027年6月）</w:t>
      </w:r>
      <w:r>
        <w:rPr>
          <w:rFonts w:ascii="Times New Roman" w:hAnsi="Times New Roman" w:eastAsia="新細明體"/>
          <w:b w:val="0"/>
          <w:i w:val="0"/>
          <w:sz w:val="24"/>
        </w:rPr>
        <w:t>的具體工作項目與指導安排，詳見文末附錄〈指導教授十個月指導目標〉。</w:t>
      </w:r>
    </w:p>
    <w:p>
      <w:pPr>
        <w:spacing w:line="360" w:lineRule="auto" w:after="200" w:before="240"/>
      </w:pPr>
      <w:r>
        <w:rPr>
          <w:rFonts w:ascii="Times New Roman" w:hAnsi="Times New Roman" w:eastAsia="新細明體"/>
          <w:b/>
          <w:i w:val="0"/>
          <w:sz w:val="28"/>
        </w:rPr>
        <w:t>參考書目</w:t>
      </w:r>
    </w:p>
    <w:p>
      <w:pPr>
        <w:spacing w:line="360" w:lineRule="auto" w:after="200" w:before="160"/>
      </w:pPr>
      <w:r>
        <w:rPr>
          <w:rFonts w:ascii="Times New Roman" w:hAnsi="Times New Roman" w:eastAsia="新細明體"/>
          <w:b/>
          <w:i w:val="0"/>
          <w:sz w:val="26"/>
        </w:rPr>
        <w:t>一、史料與原典</w:t>
      </w:r>
    </w:p>
    <w:p>
      <w:pPr>
        <w:spacing w:line="360" w:lineRule="auto" w:after="200" w:before="160"/>
      </w:pPr>
      <w:r>
        <w:rPr>
          <w:rFonts w:ascii="Times New Roman" w:hAnsi="Times New Roman" w:eastAsia="新細明體"/>
          <w:b/>
          <w:i w:val="0"/>
          <w:sz w:val="24"/>
        </w:rPr>
        <w:t>（一）佛教</w:t>
      </w:r>
    </w:p>
    <w:p>
      <w:pPr>
        <w:spacing w:line="360" w:lineRule="auto" w:after="80"/>
        <w:ind w:left="482" w:hanging="482"/>
      </w:pPr>
      <w:r>
        <w:rPr>
          <w:rFonts w:ascii="Times New Roman" w:hAnsi="Times New Roman" w:eastAsia="新細明體"/>
          <w:b w:val="0"/>
          <w:i w:val="0"/>
          <w:sz w:val="24"/>
        </w:rPr>
        <w:t>釋太虛（1980）。《太虛大師全書》（全二十編）。台北：善導寺佛經流通處。</w:t>
      </w:r>
    </w:p>
    <w:p>
      <w:pPr>
        <w:spacing w:line="360" w:lineRule="auto" w:after="80"/>
        <w:ind w:left="482" w:hanging="482"/>
      </w:pPr>
      <w:r>
        <w:rPr>
          <w:rFonts w:ascii="Times New Roman" w:hAnsi="Times New Roman" w:eastAsia="新細明體"/>
          <w:b w:val="0"/>
          <w:i w:val="0"/>
          <w:sz w:val="24"/>
        </w:rPr>
        <w:t>釋印順（1988）。《印度之佛教》。新竹：正聞出版社。</w:t>
      </w:r>
    </w:p>
    <w:p>
      <w:pPr>
        <w:spacing w:line="360" w:lineRule="auto" w:after="80"/>
        <w:ind w:left="482" w:hanging="482"/>
      </w:pPr>
      <w:r>
        <w:rPr>
          <w:rFonts w:ascii="Times New Roman" w:hAnsi="Times New Roman" w:eastAsia="新細明體"/>
          <w:b w:val="0"/>
          <w:i w:val="0"/>
          <w:sz w:val="24"/>
        </w:rPr>
        <w:t>釋印順（1992）。《說一切有部為主的論書與論師之研究》。新竹：正聞出版社。</w:t>
      </w:r>
    </w:p>
    <w:p>
      <w:pPr>
        <w:spacing w:line="360" w:lineRule="auto" w:after="80"/>
        <w:ind w:left="482" w:hanging="482"/>
      </w:pPr>
      <w:r>
        <w:rPr>
          <w:rFonts w:ascii="Times New Roman" w:hAnsi="Times New Roman" w:eastAsia="新細明體"/>
          <w:b w:val="0"/>
          <w:i w:val="0"/>
          <w:sz w:val="24"/>
        </w:rPr>
        <w:t>釋印順（1993）。《印度佛教思想史》。新竹：正聞出版社。</w:t>
      </w:r>
    </w:p>
    <w:p>
      <w:pPr>
        <w:spacing w:line="360" w:lineRule="auto" w:after="80"/>
        <w:ind w:left="482" w:hanging="482"/>
      </w:pPr>
      <w:r>
        <w:rPr>
          <w:rFonts w:ascii="Times New Roman" w:hAnsi="Times New Roman" w:eastAsia="新細明體"/>
          <w:b w:val="0"/>
          <w:i w:val="0"/>
          <w:sz w:val="24"/>
        </w:rPr>
        <w:t>釋印順（1993）。《初期大乘佛教之起源與開展》。新竹：正聞出版社。</w:t>
      </w:r>
    </w:p>
    <w:p>
      <w:pPr>
        <w:spacing w:line="360" w:lineRule="auto" w:after="80"/>
        <w:ind w:left="482" w:hanging="482"/>
      </w:pPr>
      <w:r>
        <w:rPr>
          <w:rFonts w:ascii="Times New Roman" w:hAnsi="Times New Roman" w:eastAsia="新細明體"/>
          <w:b w:val="0"/>
          <w:i w:val="0"/>
          <w:sz w:val="24"/>
        </w:rPr>
        <w:t>釋印順（1993）。《華雨集》（全五冊）。新竹：正聞出版社。</w:t>
      </w:r>
    </w:p>
    <w:p>
      <w:pPr>
        <w:spacing w:line="360" w:lineRule="auto" w:after="80"/>
        <w:ind w:left="482" w:hanging="482"/>
      </w:pPr>
      <w:r>
        <w:rPr>
          <w:rFonts w:ascii="Times New Roman" w:hAnsi="Times New Roman" w:eastAsia="新細明體"/>
          <w:b w:val="0"/>
          <w:i w:val="0"/>
          <w:sz w:val="24"/>
        </w:rPr>
        <w:t>釋印順（1994）。《原始佛教聖典之集成》。新竹：正聞出版社。</w:t>
      </w:r>
    </w:p>
    <w:p>
      <w:pPr>
        <w:spacing w:line="360" w:lineRule="auto" w:after="80"/>
        <w:ind w:left="482" w:hanging="482"/>
      </w:pPr>
      <w:r>
        <w:rPr>
          <w:rFonts w:ascii="Times New Roman" w:hAnsi="Times New Roman" w:eastAsia="新細明體"/>
          <w:b w:val="0"/>
          <w:i w:val="0"/>
          <w:sz w:val="24"/>
        </w:rPr>
        <w:t>釋印順（2000）。《太虛大師年譜》。新竹：正聞出版社。</w:t>
      </w:r>
    </w:p>
    <w:p>
      <w:pPr>
        <w:spacing w:line="360" w:lineRule="auto" w:after="80"/>
        <w:ind w:left="482" w:hanging="482"/>
      </w:pPr>
      <w:r>
        <w:rPr>
          <w:rFonts w:ascii="Times New Roman" w:hAnsi="Times New Roman" w:eastAsia="新細明體"/>
          <w:b w:val="0"/>
          <w:i w:val="0"/>
          <w:sz w:val="24"/>
        </w:rPr>
        <w:t>釋印順（2000）。《佛在人間》。新竹：正聞出版社。</w:t>
      </w:r>
    </w:p>
    <w:p>
      <w:pPr>
        <w:spacing w:line="360" w:lineRule="auto" w:after="80"/>
        <w:ind w:left="482" w:hanging="482"/>
      </w:pPr>
      <w:r>
        <w:rPr>
          <w:rFonts w:ascii="Times New Roman" w:hAnsi="Times New Roman" w:eastAsia="新細明體"/>
          <w:b w:val="0"/>
          <w:i w:val="0"/>
          <w:sz w:val="24"/>
        </w:rPr>
        <w:t>釋印順（2000）。《佛法概論》。新竹：正聞出版社。</w:t>
      </w:r>
    </w:p>
    <w:p>
      <w:pPr>
        <w:spacing w:line="360" w:lineRule="auto" w:after="80"/>
        <w:ind w:left="482" w:hanging="482"/>
      </w:pPr>
      <w:r>
        <w:rPr>
          <w:rFonts w:ascii="Times New Roman" w:hAnsi="Times New Roman" w:eastAsia="新細明體"/>
          <w:b w:val="0"/>
          <w:i w:val="0"/>
          <w:sz w:val="24"/>
        </w:rPr>
        <w:t>釋印順（2000）。《我之宗教觀》（收錄於《妙雲集》下篇）。新竹：正聞出版社。</w:t>
      </w:r>
    </w:p>
    <w:p>
      <w:pPr>
        <w:spacing w:line="360" w:lineRule="auto" w:after="80"/>
        <w:ind w:left="482" w:hanging="482"/>
      </w:pPr>
      <w:r>
        <w:rPr>
          <w:rFonts w:ascii="Times New Roman" w:hAnsi="Times New Roman" w:eastAsia="新細明體"/>
          <w:b w:val="0"/>
          <w:i w:val="0"/>
          <w:sz w:val="24"/>
        </w:rPr>
        <w:t>釋印順（2000）。《青年的佛教》。新竹：正聞出版社。</w:t>
      </w:r>
    </w:p>
    <w:p>
      <w:pPr>
        <w:spacing w:line="360" w:lineRule="auto" w:after="80"/>
        <w:ind w:left="482" w:hanging="482"/>
      </w:pPr>
      <w:r>
        <w:rPr>
          <w:rFonts w:ascii="Times New Roman" w:hAnsi="Times New Roman" w:eastAsia="新細明體"/>
          <w:b w:val="0"/>
          <w:i w:val="0"/>
          <w:sz w:val="24"/>
        </w:rPr>
        <w:t>釋印順（2000）。《教制教典與教學》。新竹：正聞出版社。</w:t>
      </w:r>
    </w:p>
    <w:p>
      <w:pPr>
        <w:spacing w:line="360" w:lineRule="auto" w:after="80"/>
        <w:ind w:left="482" w:hanging="482"/>
      </w:pPr>
      <w:r>
        <w:rPr>
          <w:rFonts w:ascii="Times New Roman" w:hAnsi="Times New Roman" w:eastAsia="新細明體"/>
          <w:b w:val="0"/>
          <w:i w:val="0"/>
          <w:sz w:val="24"/>
        </w:rPr>
        <w:t>釋印順（2000）。《成佛之道》。新竹：正聞出版社。</w:t>
      </w:r>
    </w:p>
    <w:p>
      <w:pPr>
        <w:spacing w:line="360" w:lineRule="auto" w:after="80"/>
        <w:ind w:left="482" w:hanging="482"/>
      </w:pPr>
      <w:r>
        <w:rPr>
          <w:rFonts w:ascii="Times New Roman" w:hAnsi="Times New Roman" w:eastAsia="新細明體"/>
          <w:b w:val="0"/>
          <w:i w:val="0"/>
          <w:sz w:val="24"/>
        </w:rPr>
        <w:t>釋印順（2011）。《平凡的一生》（重訂本）。新竹：正聞出版社。</w:t>
      </w:r>
    </w:p>
    <w:p>
      <w:pPr>
        <w:spacing w:line="360" w:lineRule="auto" w:after="80"/>
        <w:ind w:left="482" w:hanging="482"/>
      </w:pPr>
      <w:r>
        <w:rPr>
          <w:rFonts w:ascii="Times New Roman" w:hAnsi="Times New Roman" w:eastAsia="新細明體"/>
          <w:b w:val="0"/>
          <w:i w:val="0"/>
          <w:sz w:val="24"/>
        </w:rPr>
        <w:t>釋傳道（2001）。《印順導師與人間佛教》。台南：中華佛教百科文獻基金會。</w:t>
      </w:r>
    </w:p>
    <w:p>
      <w:pPr>
        <w:spacing w:line="360" w:lineRule="auto" w:after="80"/>
        <w:ind w:left="482" w:hanging="482"/>
      </w:pPr>
      <w:r>
        <w:rPr>
          <w:rFonts w:ascii="Times New Roman" w:hAnsi="Times New Roman" w:eastAsia="新細明體"/>
          <w:b w:val="0"/>
          <w:i w:val="0"/>
          <w:sz w:val="24"/>
        </w:rPr>
        <w:t>釋傳道。《法句經講記》（一）～（三）。台南：妙心出版社。</w:t>
      </w:r>
    </w:p>
    <w:p>
      <w:pPr>
        <w:spacing w:line="360" w:lineRule="auto" w:after="80"/>
        <w:ind w:left="482" w:hanging="482"/>
      </w:pPr>
      <w:r>
        <w:rPr>
          <w:rFonts w:ascii="Times New Roman" w:hAnsi="Times New Roman" w:eastAsia="新細明體"/>
          <w:b w:val="0"/>
          <w:i w:val="0"/>
          <w:sz w:val="24"/>
        </w:rPr>
        <w:t>釋傳道（1997）。〈太虛大師對僧伽教育的貢獻〉。《妙心雜誌》，(16)，2-4。</w:t>
      </w:r>
    </w:p>
    <w:p>
      <w:pPr>
        <w:spacing w:line="360" w:lineRule="auto" w:after="80"/>
        <w:ind w:left="482" w:hanging="482"/>
      </w:pPr>
      <w:r>
        <w:rPr>
          <w:rFonts w:ascii="Times New Roman" w:hAnsi="Times New Roman" w:eastAsia="新細明體"/>
          <w:b w:val="0"/>
          <w:i w:val="0"/>
          <w:sz w:val="24"/>
        </w:rPr>
        <w:t>釋傳道、伍麗滿（2005）。〈印順導師「人間佛教思想」之實踐——以妙心寺為例〉。載於玄奘大學宗教學系（編），《第六屆「印順導師思想之理論與實踐」學術會議論文集》。新竹：玄奘大學宗教學系。</w:t>
      </w:r>
    </w:p>
    <w:p>
      <w:pPr>
        <w:spacing w:line="360" w:lineRule="auto" w:after="80"/>
        <w:ind w:left="482" w:hanging="482"/>
      </w:pPr>
      <w:r>
        <w:rPr>
          <w:rFonts w:ascii="Times New Roman" w:hAnsi="Times New Roman" w:eastAsia="新細明體"/>
          <w:b w:val="0"/>
          <w:i w:val="0"/>
          <w:sz w:val="24"/>
        </w:rPr>
        <w:t>釋昭慧（1995）。《佛教倫理學》。台北：法界出版社。</w:t>
      </w:r>
    </w:p>
    <w:p>
      <w:pPr>
        <w:spacing w:line="360" w:lineRule="auto" w:after="80"/>
        <w:ind w:left="482" w:hanging="482"/>
      </w:pPr>
      <w:r>
        <w:rPr>
          <w:rFonts w:ascii="Times New Roman" w:hAnsi="Times New Roman" w:eastAsia="新細明體"/>
          <w:b w:val="0"/>
          <w:i w:val="0"/>
          <w:sz w:val="24"/>
        </w:rPr>
        <w:t>釋昭慧（1995）。《願同弱少抗強權》。台北：法界出版社。</w:t>
      </w:r>
    </w:p>
    <w:p>
      <w:pPr>
        <w:spacing w:line="360" w:lineRule="auto" w:after="80"/>
        <w:ind w:left="482" w:hanging="482"/>
      </w:pPr>
      <w:r>
        <w:rPr>
          <w:rFonts w:ascii="Times New Roman" w:hAnsi="Times New Roman" w:eastAsia="新細明體"/>
          <w:b w:val="0"/>
          <w:i w:val="0"/>
          <w:sz w:val="24"/>
        </w:rPr>
        <w:t>釋昭慧（1999）。《律學今詮》。台北：法界出版社。</w:t>
      </w:r>
    </w:p>
    <w:p>
      <w:pPr>
        <w:spacing w:line="360" w:lineRule="auto" w:after="80"/>
        <w:ind w:left="482" w:hanging="482"/>
      </w:pPr>
      <w:r>
        <w:rPr>
          <w:rFonts w:ascii="Times New Roman" w:hAnsi="Times New Roman" w:eastAsia="新細明體"/>
          <w:b w:val="0"/>
          <w:i w:val="0"/>
          <w:sz w:val="24"/>
        </w:rPr>
        <w:t>釋昭慧（2001）。《千載沉吟——新世紀的佛教女性思維》。台北：法界出版社。</w:t>
      </w:r>
    </w:p>
    <w:p>
      <w:pPr>
        <w:spacing w:line="360" w:lineRule="auto" w:after="80"/>
        <w:ind w:left="482" w:hanging="482"/>
      </w:pPr>
      <w:r>
        <w:rPr>
          <w:rFonts w:ascii="Times New Roman" w:hAnsi="Times New Roman" w:eastAsia="新細明體"/>
          <w:b w:val="0"/>
          <w:i w:val="0"/>
          <w:sz w:val="24"/>
        </w:rPr>
        <w:t>釋昭慧（2003）。《佛教規範倫理學》。台北：法界出版社。</w:t>
      </w:r>
    </w:p>
    <w:p>
      <w:pPr>
        <w:spacing w:line="360" w:lineRule="auto" w:after="80"/>
        <w:ind w:left="482" w:hanging="482"/>
      </w:pPr>
      <w:r>
        <w:rPr>
          <w:rFonts w:ascii="Times New Roman" w:hAnsi="Times New Roman" w:eastAsia="新細明體"/>
          <w:b w:val="0"/>
          <w:i w:val="0"/>
          <w:sz w:val="24"/>
        </w:rPr>
        <w:t>釋昭慧（2008）。《佛教後設倫理學》。台北：法界出版社。</w:t>
      </w:r>
    </w:p>
    <w:p>
      <w:pPr>
        <w:spacing w:line="360" w:lineRule="auto" w:after="80"/>
        <w:ind w:left="482" w:hanging="482"/>
      </w:pPr>
      <w:r>
        <w:rPr>
          <w:rFonts w:ascii="Times New Roman" w:hAnsi="Times New Roman" w:eastAsia="新細明體"/>
          <w:b w:val="0"/>
          <w:i w:val="0"/>
          <w:sz w:val="24"/>
        </w:rPr>
        <w:t>釋昭慧（2009）。《法與律之深層探索》。台北：法界出版社。</w:t>
      </w:r>
    </w:p>
    <w:p>
      <w:pPr>
        <w:spacing w:line="360" w:lineRule="auto" w:after="80"/>
        <w:ind w:left="482" w:hanging="482"/>
      </w:pPr>
      <w:r>
        <w:rPr>
          <w:rFonts w:ascii="Times New Roman" w:hAnsi="Times New Roman" w:eastAsia="新細明體"/>
          <w:b w:val="0"/>
          <w:i w:val="0"/>
          <w:sz w:val="24"/>
        </w:rPr>
        <w:t>釋昭慧（2022）。《生命倫理與環境倫理——倫理抉擇的中道智慧(一)》。桃園：法界出版社。</w:t>
      </w:r>
    </w:p>
    <w:p>
      <w:pPr>
        <w:spacing w:line="360" w:lineRule="auto" w:after="80"/>
        <w:ind w:left="482" w:hanging="482"/>
      </w:pPr>
      <w:r>
        <w:rPr>
          <w:rFonts w:ascii="Times New Roman" w:hAnsi="Times New Roman" w:eastAsia="新細明體"/>
          <w:b w:val="0"/>
          <w:i w:val="0"/>
          <w:sz w:val="24"/>
        </w:rPr>
        <w:t>釋昭慧（2022）。《性別倫理與社會關懷——倫理抉擇的中道智慧(二)》。桃園：法界出版社。</w:t>
      </w:r>
    </w:p>
    <w:p>
      <w:pPr>
        <w:spacing w:line="360" w:lineRule="auto" w:after="80"/>
        <w:ind w:left="482" w:hanging="482"/>
      </w:pPr>
      <w:r>
        <w:rPr>
          <w:rFonts w:ascii="Times New Roman" w:hAnsi="Times New Roman" w:eastAsia="新細明體"/>
          <w:b w:val="0"/>
          <w:i w:val="0"/>
          <w:sz w:val="24"/>
        </w:rPr>
        <w:t>釋昭慧（2023）。《令梵行久住——僧制與戒規之當代詮釋》。桃園：法界出版社。</w:t>
      </w:r>
    </w:p>
    <w:p>
      <w:pPr>
        <w:spacing w:line="360" w:lineRule="auto" w:after="80"/>
        <w:ind w:left="482" w:hanging="482"/>
      </w:pPr>
      <w:r>
        <w:rPr>
          <w:rFonts w:ascii="Times New Roman" w:hAnsi="Times New Roman" w:eastAsia="新細明體"/>
          <w:b w:val="0"/>
          <w:i w:val="0"/>
          <w:sz w:val="24"/>
        </w:rPr>
        <w:t>釋昭慧、江燦騰編（2002）。《世紀新聲：當代台灣佛教的入世與出世之爭》。台北：法界出版社。</w:t>
      </w:r>
    </w:p>
    <w:p>
      <w:pPr>
        <w:spacing w:line="360" w:lineRule="auto" w:after="80"/>
        <w:ind w:left="482" w:hanging="482"/>
      </w:pPr>
      <w:r>
        <w:rPr>
          <w:rFonts w:ascii="Times New Roman" w:hAnsi="Times New Roman" w:eastAsia="新細明體"/>
          <w:b w:val="0"/>
          <w:i w:val="0"/>
          <w:sz w:val="24"/>
        </w:rPr>
        <w:t>釋性廣（2001）。《人間佛教禪法及其當代實踐：印順導師禪學思想研究》。台北：法界出版社。</w:t>
      </w:r>
    </w:p>
    <w:p>
      <w:pPr>
        <w:spacing w:line="360" w:lineRule="auto" w:after="80"/>
        <w:ind w:left="482" w:hanging="482"/>
      </w:pPr>
      <w:r>
        <w:rPr>
          <w:rFonts w:ascii="Times New Roman" w:hAnsi="Times New Roman" w:eastAsia="新細明體"/>
          <w:b w:val="0"/>
          <w:i w:val="0"/>
          <w:sz w:val="24"/>
        </w:rPr>
        <w:t>闞正宗、卓遵宏、侯坤宏訪問（2007）。《人間佛教的理論與實踐——傳道法師訪談錄》。台北：國史館。</w:t>
      </w:r>
    </w:p>
    <w:p>
      <w:pPr>
        <w:spacing w:line="360" w:lineRule="auto" w:after="80"/>
        <w:ind w:left="482" w:hanging="482"/>
      </w:pPr>
      <w:r>
        <w:rPr>
          <w:rFonts w:ascii="Times New Roman" w:hAnsi="Times New Roman" w:eastAsia="新細明體"/>
          <w:b w:val="0"/>
          <w:i w:val="0"/>
          <w:sz w:val="24"/>
        </w:rPr>
        <w:t>釋昭慧口述，侯坤宏、卓遵宏訪問（2017）。《浩蕩赴前程：昭慧法師訪談錄》。桃園：法界出版社。</w:t>
      </w:r>
    </w:p>
    <w:p>
      <w:pPr>
        <w:spacing w:line="360" w:lineRule="auto" w:after="80"/>
        <w:ind w:left="482" w:hanging="482"/>
      </w:pPr>
      <w:r>
        <w:rPr>
          <w:rFonts w:ascii="Times New Roman" w:hAnsi="Times New Roman" w:eastAsia="新細明體"/>
          <w:b w:val="0"/>
          <w:i w:val="0"/>
          <w:sz w:val="24"/>
        </w:rPr>
        <w:t>《妙心雜誌》（台南：妙心寺，1993–）。</w:t>
      </w:r>
    </w:p>
    <w:p>
      <w:pPr>
        <w:spacing w:line="360" w:lineRule="auto" w:after="80"/>
        <w:ind w:left="482" w:hanging="482"/>
      </w:pPr>
      <w:r>
        <w:rPr>
          <w:rFonts w:ascii="Times New Roman" w:hAnsi="Times New Roman" w:eastAsia="新細明體"/>
          <w:b w:val="0"/>
          <w:i w:val="0"/>
          <w:sz w:val="24"/>
        </w:rPr>
        <w:t>《弘誓雙月刊》（桃園：佛教弘誓學院，1993–）。</w:t>
      </w:r>
    </w:p>
    <w:p>
      <w:pPr>
        <w:spacing w:line="360" w:lineRule="auto" w:after="80"/>
        <w:ind w:left="482" w:hanging="482"/>
      </w:pPr>
      <w:r>
        <w:rPr>
          <w:rFonts w:ascii="Times New Roman" w:hAnsi="Times New Roman" w:eastAsia="新細明體"/>
          <w:b w:val="0"/>
          <w:i w:val="0"/>
          <w:sz w:val="24"/>
        </w:rPr>
        <w:t>《法印學報》（桃園：佛教弘誓學院，2011–）。</w:t>
      </w:r>
    </w:p>
    <w:p>
      <w:pPr>
        <w:spacing w:line="360" w:lineRule="auto" w:after="200" w:before="160"/>
      </w:pPr>
      <w:r>
        <w:rPr>
          <w:rFonts w:ascii="Times New Roman" w:hAnsi="Times New Roman" w:eastAsia="新細明體"/>
          <w:b/>
          <w:i w:val="0"/>
          <w:sz w:val="24"/>
        </w:rPr>
        <w:t>（二）基督教</w:t>
      </w:r>
    </w:p>
    <w:p>
      <w:pPr>
        <w:spacing w:line="360" w:lineRule="auto" w:after="80"/>
        <w:ind w:left="482" w:hanging="482"/>
      </w:pPr>
      <w:r>
        <w:rPr>
          <w:rFonts w:ascii="Times New Roman" w:hAnsi="Times New Roman" w:eastAsia="新細明體"/>
          <w:b w:val="0"/>
          <w:i w:val="0"/>
          <w:sz w:val="24"/>
        </w:rPr>
        <w:t>Coe, S.（黃彰輝）(1993). *Recollections and reflections*. New York: The Rev. Dr. Shoki Coe's Memorial Fund.</w:t>
      </w:r>
    </w:p>
    <w:p>
      <w:pPr>
        <w:spacing w:line="360" w:lineRule="auto" w:after="80"/>
        <w:ind w:left="482" w:hanging="482"/>
      </w:pPr>
      <w:r>
        <w:rPr>
          <w:rFonts w:ascii="Times New Roman" w:hAnsi="Times New Roman" w:eastAsia="新細明體"/>
          <w:b w:val="0"/>
          <w:i w:val="0"/>
          <w:sz w:val="24"/>
        </w:rPr>
        <w:t>Coe, S.（黃彰輝）(2011). *Christian mission in the context of Asian nation building*. New Jersey: Princeton Theological Seminary Educational Media.</w:t>
      </w:r>
    </w:p>
    <w:p>
      <w:pPr>
        <w:spacing w:line="360" w:lineRule="auto" w:after="80"/>
        <w:ind w:left="482" w:hanging="482"/>
      </w:pPr>
      <w:r>
        <w:rPr>
          <w:rFonts w:ascii="Times New Roman" w:hAnsi="Times New Roman" w:eastAsia="新細明體"/>
          <w:b w:val="0"/>
          <w:i w:val="0"/>
          <w:sz w:val="24"/>
        </w:rPr>
        <w:t>Coe, S.（黃彰輝）(2012). *Christian mission and the test of discipleship*. New Jersey: Princeton Theological Seminary Educational Media.</w:t>
      </w:r>
    </w:p>
    <w:p>
      <w:pPr>
        <w:spacing w:line="360" w:lineRule="auto" w:after="80"/>
        <w:ind w:left="482" w:hanging="482"/>
      </w:pPr>
      <w:r>
        <w:rPr>
          <w:rFonts w:ascii="Times New Roman" w:hAnsi="Times New Roman" w:eastAsia="新細明體"/>
          <w:b w:val="0"/>
          <w:i w:val="0"/>
          <w:sz w:val="24"/>
        </w:rPr>
        <w:t>黃彰輝（2000）。〈不斷處境化的神學〉（林毓芬譯）。《台灣教會公報》，(2539)，12版。</w:t>
      </w:r>
    </w:p>
    <w:p>
      <w:pPr>
        <w:spacing w:line="360" w:lineRule="auto" w:after="80"/>
        <w:ind w:left="482" w:hanging="482"/>
      </w:pPr>
      <w:r>
        <w:rPr>
          <w:rFonts w:ascii="Times New Roman" w:hAnsi="Times New Roman" w:eastAsia="新細明體"/>
          <w:b w:val="0"/>
          <w:i w:val="0"/>
          <w:sz w:val="24"/>
        </w:rPr>
        <w:t>宋泉盛（1989）。《第三眼神學》（莊雅棠譯）。台南：台灣教會公報社。</w:t>
      </w:r>
    </w:p>
    <w:p>
      <w:pPr>
        <w:spacing w:line="360" w:lineRule="auto" w:after="80"/>
        <w:ind w:left="482" w:hanging="482"/>
      </w:pPr>
      <w:r>
        <w:rPr>
          <w:rFonts w:ascii="Times New Roman" w:hAnsi="Times New Roman" w:eastAsia="新細明體"/>
          <w:b w:val="0"/>
          <w:i w:val="0"/>
          <w:sz w:val="24"/>
        </w:rPr>
        <w:t>宋泉盛（1990）。《故事神學》（莊雅棠譯）。台南：台灣教會公報社。</w:t>
      </w:r>
    </w:p>
    <w:p>
      <w:pPr>
        <w:spacing w:line="360" w:lineRule="auto" w:after="80"/>
        <w:ind w:left="482" w:hanging="482"/>
      </w:pPr>
      <w:r>
        <w:rPr>
          <w:rFonts w:ascii="Times New Roman" w:hAnsi="Times New Roman" w:eastAsia="新細明體"/>
          <w:b w:val="0"/>
          <w:i w:val="0"/>
          <w:sz w:val="24"/>
        </w:rPr>
        <w:t>宋泉盛（2002）。《孟姜女的眼淚》（鄭加泰譯）。台南：人光出版社。</w:t>
      </w:r>
    </w:p>
    <w:p>
      <w:pPr>
        <w:spacing w:line="360" w:lineRule="auto" w:after="80"/>
        <w:ind w:left="482" w:hanging="482"/>
      </w:pPr>
      <w:r>
        <w:rPr>
          <w:rFonts w:ascii="Times New Roman" w:hAnsi="Times New Roman" w:eastAsia="新細明體"/>
          <w:b w:val="0"/>
          <w:i w:val="0"/>
          <w:sz w:val="24"/>
        </w:rPr>
        <w:t>宋泉盛（2002）。《耶穌，被釘十字架的人民》（莊雅棠譯）。台南：人光出版社。</w:t>
      </w:r>
    </w:p>
    <w:p>
      <w:pPr>
        <w:spacing w:line="360" w:lineRule="auto" w:after="80"/>
        <w:ind w:left="482" w:hanging="482"/>
      </w:pPr>
      <w:r>
        <w:rPr>
          <w:rFonts w:ascii="Times New Roman" w:hAnsi="Times New Roman" w:eastAsia="新細明體"/>
          <w:b w:val="0"/>
          <w:i w:val="0"/>
          <w:sz w:val="24"/>
        </w:rPr>
        <w:t>宋泉盛（2012）。《悲天憫人的上帝》（林弘宣譯）。台南：台灣教會公報社。</w:t>
      </w:r>
    </w:p>
    <w:p>
      <w:pPr>
        <w:spacing w:line="360" w:lineRule="auto" w:after="80"/>
        <w:ind w:left="482" w:hanging="482"/>
      </w:pPr>
      <w:r>
        <w:rPr>
          <w:rFonts w:ascii="Times New Roman" w:hAnsi="Times New Roman" w:eastAsia="新細明體"/>
          <w:b w:val="0"/>
          <w:i w:val="0"/>
          <w:sz w:val="24"/>
        </w:rPr>
        <w:t>陳榮爝編（2025）。《故事神學家開講——宋泉盛牧師文集》。台南：南神出版社。</w:t>
      </w:r>
    </w:p>
    <w:p>
      <w:pPr>
        <w:spacing w:line="360" w:lineRule="auto" w:after="80"/>
        <w:ind w:left="482" w:hanging="482"/>
      </w:pPr>
      <w:r>
        <w:rPr>
          <w:rFonts w:ascii="Times New Roman" w:hAnsi="Times New Roman" w:eastAsia="新細明體"/>
          <w:b w:val="0"/>
          <w:i w:val="0"/>
          <w:sz w:val="24"/>
        </w:rPr>
        <w:t>王憲治（1988）。《台灣鄉土神學論文集（一）》。台南：台南神學院。</w:t>
      </w:r>
    </w:p>
    <w:p>
      <w:pPr>
        <w:spacing w:line="360" w:lineRule="auto" w:after="80"/>
        <w:ind w:left="482" w:hanging="482"/>
      </w:pPr>
      <w:r>
        <w:rPr>
          <w:rFonts w:ascii="Times New Roman" w:hAnsi="Times New Roman" w:eastAsia="新細明體"/>
          <w:b w:val="0"/>
          <w:i w:val="0"/>
          <w:sz w:val="24"/>
        </w:rPr>
        <w:t>王憲治（1978）。《道德經之自然觀及其神學意義》（神學博士論文）。東南亞神學研究院。</w:t>
      </w:r>
    </w:p>
    <w:p>
      <w:pPr>
        <w:spacing w:line="360" w:lineRule="auto" w:after="80"/>
        <w:ind w:left="482" w:hanging="482"/>
      </w:pPr>
      <w:r>
        <w:rPr>
          <w:rFonts w:ascii="Times New Roman" w:hAnsi="Times New Roman" w:eastAsia="新細明體"/>
          <w:b w:val="0"/>
          <w:i w:val="0"/>
          <w:sz w:val="24"/>
        </w:rPr>
        <w:t>黃伯和（1990）。《宗教與自決》。台北：稻鄉出版社。</w:t>
      </w:r>
    </w:p>
    <w:p>
      <w:pPr>
        <w:spacing w:line="360" w:lineRule="auto" w:after="80"/>
        <w:ind w:left="482" w:hanging="482"/>
      </w:pPr>
      <w:r>
        <w:rPr>
          <w:rFonts w:ascii="Times New Roman" w:hAnsi="Times New Roman" w:eastAsia="新細明體"/>
          <w:b w:val="0"/>
          <w:i w:val="0"/>
          <w:sz w:val="24"/>
        </w:rPr>
        <w:t>黃伯和（1991）。《奔向出頭天的子民》。台北：稻鄉出版社。</w:t>
      </w:r>
    </w:p>
    <w:p>
      <w:pPr>
        <w:spacing w:line="360" w:lineRule="auto" w:after="80"/>
        <w:ind w:left="482" w:hanging="482"/>
      </w:pPr>
      <w:r>
        <w:rPr>
          <w:rFonts w:ascii="Times New Roman" w:hAnsi="Times New Roman" w:eastAsia="新細明體"/>
          <w:b w:val="0"/>
          <w:i w:val="0"/>
          <w:sz w:val="24"/>
        </w:rPr>
        <w:t>黃伯和（2022）。《道‧自決出頭天：神學的道成肉身》。台南：恩惠文教基金會。</w:t>
      </w:r>
    </w:p>
    <w:p>
      <w:pPr>
        <w:spacing w:line="360" w:lineRule="auto" w:after="80"/>
        <w:ind w:left="482" w:hanging="482"/>
      </w:pPr>
      <w:r>
        <w:rPr>
          <w:rFonts w:ascii="Times New Roman" w:hAnsi="Times New Roman" w:eastAsia="新細明體"/>
          <w:b w:val="0"/>
          <w:i w:val="0"/>
          <w:sz w:val="24"/>
        </w:rPr>
        <w:t>黃伯和（2022）。《旅‧轉身與啟程：神學的典範轉移》。台南：恩惠文教基金會。</w:t>
      </w:r>
    </w:p>
    <w:p>
      <w:pPr>
        <w:spacing w:line="360" w:lineRule="auto" w:after="80"/>
        <w:ind w:left="482" w:hanging="482"/>
      </w:pPr>
      <w:r>
        <w:rPr>
          <w:rFonts w:ascii="Times New Roman" w:hAnsi="Times New Roman" w:eastAsia="新細明體"/>
          <w:b w:val="0"/>
          <w:i w:val="0"/>
          <w:sz w:val="24"/>
        </w:rPr>
        <w:t>黃伯和（2022）。《盼‧委身再告白：神學的應許之地》。台南：恩惠文教基金會。</w:t>
      </w:r>
    </w:p>
    <w:p>
      <w:pPr>
        <w:spacing w:line="360" w:lineRule="auto" w:after="80"/>
        <w:ind w:left="482" w:hanging="482"/>
      </w:pPr>
      <w:r>
        <w:rPr>
          <w:rFonts w:ascii="Times New Roman" w:hAnsi="Times New Roman" w:eastAsia="新細明體"/>
          <w:b w:val="0"/>
          <w:i w:val="0"/>
          <w:sz w:val="24"/>
        </w:rPr>
        <w:t>黃伯和（2022）。《悲憫‧虛己的愛：本土的倫理學》。台南：恩惠文教基金會。</w:t>
      </w:r>
    </w:p>
    <w:p>
      <w:pPr>
        <w:spacing w:line="360" w:lineRule="auto" w:after="80"/>
        <w:ind w:left="482" w:hanging="482"/>
      </w:pPr>
      <w:r>
        <w:rPr>
          <w:rFonts w:ascii="Times New Roman" w:hAnsi="Times New Roman" w:eastAsia="新細明體"/>
          <w:b w:val="0"/>
          <w:i w:val="0"/>
          <w:sz w:val="24"/>
        </w:rPr>
        <w:t>黃伯和（2022）。《希望‧使命傳承：處境化神學教育》。台南：恩惠文教基金會。</w:t>
      </w:r>
    </w:p>
    <w:p>
      <w:pPr>
        <w:spacing w:line="360" w:lineRule="auto" w:after="80"/>
        <w:ind w:left="482" w:hanging="482"/>
      </w:pPr>
      <w:r>
        <w:rPr>
          <w:rFonts w:ascii="Times New Roman" w:hAnsi="Times New Roman" w:eastAsia="新細明體"/>
          <w:b w:val="0"/>
          <w:i w:val="0"/>
          <w:sz w:val="24"/>
        </w:rPr>
        <w:t>林芳仲主編（2014）。《台灣新而獨立的國家——台灣基督長老教會人權宣言30週年國際研討會文集》。台北：台灣基督長老教會信仰與教制委員會。</w:t>
      </w:r>
    </w:p>
    <w:p>
      <w:pPr>
        <w:spacing w:line="360" w:lineRule="auto" w:after="80"/>
        <w:ind w:left="482" w:hanging="482"/>
      </w:pPr>
      <w:r>
        <w:rPr>
          <w:rFonts w:ascii="Times New Roman" w:hAnsi="Times New Roman" w:eastAsia="新細明體"/>
          <w:b w:val="0"/>
          <w:i w:val="0"/>
          <w:sz w:val="24"/>
        </w:rPr>
        <w:t>《台灣教會公報》（台南：台灣教會公報社）。</w:t>
      </w:r>
    </w:p>
    <w:p>
      <w:pPr>
        <w:spacing w:line="360" w:lineRule="auto" w:after="80"/>
        <w:ind w:left="482" w:hanging="482"/>
      </w:pPr>
      <w:r>
        <w:rPr>
          <w:rFonts w:ascii="Times New Roman" w:hAnsi="Times New Roman" w:eastAsia="新細明體"/>
          <w:b w:val="0"/>
          <w:i w:val="0"/>
          <w:sz w:val="24"/>
        </w:rPr>
        <w:t>《新使者》（台北：台灣基督長老教會新使者雜誌社）。</w:t>
      </w:r>
    </w:p>
    <w:p>
      <w:pPr>
        <w:spacing w:line="360" w:lineRule="auto" w:after="80"/>
        <w:ind w:left="482" w:hanging="482"/>
      </w:pPr>
      <w:r>
        <w:rPr>
          <w:rFonts w:ascii="Times New Roman" w:hAnsi="Times New Roman" w:eastAsia="新細明體"/>
          <w:b w:val="0"/>
          <w:i w:val="0"/>
          <w:sz w:val="24"/>
        </w:rPr>
        <w:t>《神學與教會》（台南：台南神學院）。</w:t>
      </w:r>
    </w:p>
    <w:p>
      <w:pPr>
        <w:spacing w:line="360" w:lineRule="auto" w:after="80"/>
        <w:ind w:left="482" w:hanging="482"/>
      </w:pPr>
      <w:r>
        <w:rPr>
          <w:rFonts w:ascii="Times New Roman" w:hAnsi="Times New Roman" w:eastAsia="新細明體"/>
          <w:b w:val="0"/>
          <w:i w:val="0"/>
          <w:sz w:val="24"/>
        </w:rPr>
        <w:t>《道雜誌》（台南）。</w:t>
      </w:r>
    </w:p>
    <w:p>
      <w:pPr>
        <w:spacing w:line="360" w:lineRule="auto" w:after="200" w:before="160"/>
      </w:pPr>
      <w:r>
        <w:rPr>
          <w:rFonts w:ascii="Times New Roman" w:hAnsi="Times New Roman" w:eastAsia="新細明體"/>
          <w:b/>
          <w:i w:val="0"/>
          <w:sz w:val="24"/>
        </w:rPr>
        <w:t>（三）跨宗教與論戰文獻</w:t>
      </w:r>
    </w:p>
    <w:p>
      <w:pPr>
        <w:spacing w:line="360" w:lineRule="auto" w:after="80"/>
        <w:ind w:left="482" w:hanging="482"/>
      </w:pPr>
      <w:r>
        <w:rPr>
          <w:rFonts w:ascii="Times New Roman" w:hAnsi="Times New Roman" w:eastAsia="新細明體"/>
          <w:b w:val="0"/>
          <w:i w:val="0"/>
          <w:sz w:val="24"/>
        </w:rPr>
        <w:t>釋煮雲（1960）。《佛教與基督教的比較》。新北：華成書局。</w:t>
      </w:r>
    </w:p>
    <w:p>
      <w:pPr>
        <w:spacing w:line="360" w:lineRule="auto" w:after="80"/>
        <w:ind w:left="482" w:hanging="482"/>
      </w:pPr>
      <w:r>
        <w:rPr>
          <w:rFonts w:ascii="Times New Roman" w:hAnsi="Times New Roman" w:eastAsia="新細明體"/>
          <w:b w:val="0"/>
          <w:i w:val="0"/>
          <w:sz w:val="24"/>
        </w:rPr>
        <w:t>吳恩溥（1956）。《駁「佛教與基督教的比較」》。台北：聖文社。</w:t>
      </w:r>
    </w:p>
    <w:p>
      <w:pPr>
        <w:spacing w:line="360" w:lineRule="auto" w:after="80"/>
        <w:ind w:left="482" w:hanging="482"/>
      </w:pPr>
      <w:r>
        <w:rPr>
          <w:rFonts w:ascii="Times New Roman" w:hAnsi="Times New Roman" w:eastAsia="新細明體"/>
          <w:b w:val="0"/>
          <w:i w:val="0"/>
          <w:sz w:val="24"/>
        </w:rPr>
        <w:t>釋聖嚴（1967）。《基督教之研究》。台北：佛教文化服務處。</w:t>
      </w:r>
    </w:p>
    <w:p>
      <w:pPr>
        <w:spacing w:line="360" w:lineRule="auto" w:after="80"/>
        <w:ind w:left="482" w:hanging="482"/>
      </w:pPr>
      <w:r>
        <w:rPr>
          <w:rFonts w:ascii="Times New Roman" w:hAnsi="Times New Roman" w:eastAsia="新細明體"/>
          <w:b w:val="0"/>
          <w:i w:val="0"/>
          <w:sz w:val="24"/>
        </w:rPr>
        <w:t>釋聖嚴（1968）。《比較宗教學》。台北：中華佛教文化館。</w:t>
      </w:r>
    </w:p>
    <w:p>
      <w:pPr>
        <w:spacing w:line="360" w:lineRule="auto" w:after="80"/>
        <w:ind w:left="482" w:hanging="482"/>
      </w:pPr>
      <w:r>
        <w:rPr>
          <w:rFonts w:ascii="Times New Roman" w:hAnsi="Times New Roman" w:eastAsia="新細明體"/>
          <w:b w:val="0"/>
          <w:i w:val="0"/>
          <w:sz w:val="24"/>
        </w:rPr>
        <w:t>龔天民（1989）。《真理自明：基督教與佛教的比較》。香港：橄欖文化。</w:t>
      </w:r>
    </w:p>
    <w:p>
      <w:pPr>
        <w:spacing w:line="360" w:lineRule="auto" w:after="80"/>
        <w:ind w:left="482" w:hanging="482"/>
      </w:pPr>
      <w:r>
        <w:rPr>
          <w:rFonts w:ascii="Times New Roman" w:hAnsi="Times New Roman" w:eastAsia="新細明體"/>
          <w:b w:val="0"/>
          <w:i w:val="0"/>
          <w:sz w:val="24"/>
        </w:rPr>
        <w:t>現代禪教研部主編（2002）。《佛教與基督教信仰的交會：現代禪與中華信義神學院的對話》。台北：現代禪出版社。</w:t>
      </w:r>
    </w:p>
    <w:p>
      <w:pPr>
        <w:spacing w:line="360" w:lineRule="auto" w:after="80"/>
        <w:ind w:left="482" w:hanging="482"/>
      </w:pPr>
      <w:r>
        <w:rPr>
          <w:rFonts w:ascii="Times New Roman" w:hAnsi="Times New Roman" w:eastAsia="新細明體"/>
          <w:b w:val="0"/>
          <w:i w:val="0"/>
          <w:sz w:val="24"/>
        </w:rPr>
        <w:t>釋聖嚴（2001）。《聖嚴法師與宗教對話》。台北：法鼓文化。</w:t>
      </w:r>
    </w:p>
    <w:p>
      <w:pPr>
        <w:spacing w:line="360" w:lineRule="auto" w:after="80"/>
        <w:ind w:left="482" w:hanging="482"/>
      </w:pPr>
      <w:r>
        <w:rPr>
          <w:rFonts w:ascii="Times New Roman" w:hAnsi="Times New Roman" w:eastAsia="新細明體"/>
          <w:b w:val="0"/>
          <w:i w:val="0"/>
          <w:sz w:val="24"/>
        </w:rPr>
        <w:t>單國璽、林保寶（2008）。《生命告別之旅》。台北：天下文化。</w:t>
      </w:r>
    </w:p>
    <w:p>
      <w:pPr>
        <w:spacing w:line="360" w:lineRule="auto" w:after="80"/>
        <w:ind w:left="482" w:hanging="482"/>
      </w:pPr>
      <w:r>
        <w:rPr>
          <w:rFonts w:ascii="Times New Roman" w:hAnsi="Times New Roman" w:eastAsia="新細明體"/>
          <w:b w:val="0"/>
          <w:i w:val="0"/>
          <w:sz w:val="24"/>
        </w:rPr>
        <w:t>釋昭慧、古倫（Anselm Grün）（2013）。《你信什麼？——基督宗教與佛教之對話》（吳信如譯）。台北：南與北文化。</w:t>
      </w:r>
    </w:p>
    <w:p>
      <w:pPr>
        <w:spacing w:line="360" w:lineRule="auto" w:after="80"/>
        <w:ind w:left="482" w:hanging="482"/>
      </w:pPr>
      <w:r>
        <w:rPr>
          <w:rFonts w:ascii="Times New Roman" w:hAnsi="Times New Roman" w:eastAsia="新細明體"/>
          <w:b w:val="0"/>
          <w:i w:val="0"/>
          <w:sz w:val="24"/>
        </w:rPr>
        <w:t>釋昭慧、彼得‧辛格（Peter Singer）（2021）。《心靈的交會——山間對話》。桃園：法界出版社。</w:t>
      </w:r>
    </w:p>
    <w:p>
      <w:pPr>
        <w:spacing w:line="360" w:lineRule="auto" w:after="200" w:before="160"/>
      </w:pPr>
      <w:r>
        <w:rPr>
          <w:rFonts w:ascii="Times New Roman" w:hAnsi="Times New Roman" w:eastAsia="新細明體"/>
          <w:b/>
          <w:i w:val="0"/>
          <w:sz w:val="26"/>
        </w:rPr>
        <w:t>二、研究專書</w:t>
      </w:r>
    </w:p>
    <w:p>
      <w:pPr>
        <w:spacing w:line="360" w:lineRule="auto" w:after="80"/>
        <w:ind w:left="482" w:hanging="482"/>
      </w:pPr>
      <w:r>
        <w:rPr>
          <w:rFonts w:ascii="Times New Roman" w:hAnsi="Times New Roman" w:eastAsia="新細明體"/>
          <w:b w:val="0"/>
          <w:i w:val="0"/>
          <w:sz w:val="24"/>
        </w:rPr>
        <w:t>侯坤宏（2009）。《真實與方便：印順思想研究》。台北：法界出版社。</w:t>
      </w:r>
    </w:p>
    <w:p>
      <w:pPr>
        <w:spacing w:line="360" w:lineRule="auto" w:after="80"/>
        <w:ind w:left="482" w:hanging="482"/>
      </w:pPr>
      <w:r>
        <w:rPr>
          <w:rFonts w:ascii="Times New Roman" w:hAnsi="Times New Roman" w:eastAsia="新細明體"/>
          <w:b w:val="0"/>
          <w:i w:val="0"/>
          <w:sz w:val="24"/>
        </w:rPr>
        <w:t>侯坤宏（2018）。《太虛時代：多維視角下的民國佛教（1912-1949）》。台北：政大出版社。</w:t>
      </w:r>
    </w:p>
    <w:p>
      <w:pPr>
        <w:spacing w:line="360" w:lineRule="auto" w:after="80"/>
        <w:ind w:left="482" w:hanging="482"/>
      </w:pPr>
      <w:r>
        <w:rPr>
          <w:rFonts w:ascii="Times New Roman" w:hAnsi="Times New Roman" w:eastAsia="新細明體"/>
          <w:b w:val="0"/>
          <w:i w:val="0"/>
          <w:sz w:val="24"/>
        </w:rPr>
        <w:t>侯坤宏編（2022）。《台灣佛教通史》（第八冊）。台北：彌陀出版社。</w:t>
      </w:r>
    </w:p>
    <w:p>
      <w:pPr>
        <w:spacing w:line="360" w:lineRule="auto" w:after="80"/>
        <w:ind w:left="482" w:hanging="482"/>
      </w:pPr>
      <w:r>
        <w:rPr>
          <w:rFonts w:ascii="Times New Roman" w:hAnsi="Times New Roman" w:eastAsia="新細明體"/>
          <w:b w:val="0"/>
          <w:i w:val="0"/>
          <w:sz w:val="24"/>
        </w:rPr>
        <w:t>藍吉富編（2013）。《臺灣佛教辭典》。台南：妙心出版社、中華佛教百科文獻基金會。</w:t>
      </w:r>
    </w:p>
    <w:p>
      <w:pPr>
        <w:spacing w:line="360" w:lineRule="auto" w:after="80"/>
        <w:ind w:left="482" w:hanging="482"/>
      </w:pPr>
      <w:r>
        <w:rPr>
          <w:rFonts w:ascii="Times New Roman" w:hAnsi="Times New Roman" w:eastAsia="新細明體"/>
          <w:b w:val="0"/>
          <w:i w:val="0"/>
          <w:sz w:val="24"/>
        </w:rPr>
        <w:t>邱敏捷（2000）。《印順導師的佛教思想》。台北：法界出版社。</w:t>
      </w:r>
    </w:p>
    <w:p>
      <w:pPr>
        <w:spacing w:line="360" w:lineRule="auto" w:after="80"/>
        <w:ind w:left="482" w:hanging="482"/>
      </w:pPr>
      <w:r>
        <w:rPr>
          <w:rFonts w:ascii="Times New Roman" w:hAnsi="Times New Roman" w:eastAsia="新細明體"/>
          <w:b w:val="0"/>
          <w:i w:val="0"/>
          <w:sz w:val="24"/>
        </w:rPr>
        <w:t>楊惠南（1991）。《當代佛教思想展望》。台北：東大圖書公司。</w:t>
      </w:r>
    </w:p>
    <w:p>
      <w:pPr>
        <w:spacing w:line="360" w:lineRule="auto" w:after="80"/>
        <w:ind w:left="482" w:hanging="482"/>
      </w:pPr>
      <w:r>
        <w:rPr>
          <w:rFonts w:ascii="Times New Roman" w:hAnsi="Times New Roman" w:eastAsia="新細明體"/>
          <w:b w:val="0"/>
          <w:i w:val="0"/>
          <w:sz w:val="24"/>
        </w:rPr>
        <w:t>溫金柯（2001）。《繼承與批判印順法師人間佛教思想》。台北：現代禪出版社。</w:t>
      </w:r>
    </w:p>
    <w:p>
      <w:pPr>
        <w:spacing w:line="360" w:lineRule="auto" w:after="80"/>
        <w:ind w:left="482" w:hanging="482"/>
      </w:pPr>
      <w:r>
        <w:rPr>
          <w:rFonts w:ascii="Times New Roman" w:hAnsi="Times New Roman" w:eastAsia="新細明體"/>
          <w:b w:val="0"/>
          <w:i w:val="0"/>
          <w:sz w:val="24"/>
        </w:rPr>
        <w:t>李玉珍（2016）。《戰後台灣佛教與女性：李玉珍自選集》。新北：博揚文化。</w:t>
      </w:r>
    </w:p>
    <w:p>
      <w:pPr>
        <w:spacing w:line="360" w:lineRule="auto" w:after="80"/>
        <w:ind w:left="482" w:hanging="482"/>
      </w:pPr>
      <w:r>
        <w:rPr>
          <w:rFonts w:ascii="Times New Roman" w:hAnsi="Times New Roman" w:eastAsia="新細明體"/>
          <w:b w:val="0"/>
          <w:i w:val="0"/>
          <w:sz w:val="24"/>
        </w:rPr>
        <w:t>李筱峰（2026）。《革命，和尚，公民覺醒：台灣文化啟蒙先驅林秋梧傳記》。台北：明白文化。</w:t>
      </w:r>
    </w:p>
    <w:p>
      <w:pPr>
        <w:spacing w:line="360" w:lineRule="auto" w:after="80"/>
        <w:ind w:left="482" w:hanging="482"/>
      </w:pPr>
      <w:r>
        <w:rPr>
          <w:rFonts w:ascii="Times New Roman" w:hAnsi="Times New Roman" w:eastAsia="新細明體"/>
          <w:b w:val="0"/>
          <w:i w:val="0"/>
          <w:sz w:val="24"/>
        </w:rPr>
        <w:t>黃運喜（2019）。《佛教的社會關懷與寺產問題》。新北：大千出版社。</w:t>
      </w:r>
    </w:p>
    <w:p>
      <w:pPr>
        <w:spacing w:line="360" w:lineRule="auto" w:after="80"/>
        <w:ind w:left="482" w:hanging="482"/>
      </w:pPr>
      <w:r>
        <w:rPr>
          <w:rFonts w:ascii="Times New Roman" w:hAnsi="Times New Roman" w:eastAsia="新細明體"/>
          <w:b w:val="0"/>
          <w:i w:val="0"/>
          <w:sz w:val="24"/>
        </w:rPr>
        <w:t>釋清德（2022）。《當代佛教戒律新詮：印順導師人間佛教的戒律思想》。台北：紹印出版社。</w:t>
      </w:r>
    </w:p>
    <w:p>
      <w:pPr>
        <w:spacing w:line="360" w:lineRule="auto" w:after="80"/>
        <w:ind w:left="482" w:hanging="482"/>
      </w:pPr>
      <w:r>
        <w:rPr>
          <w:rFonts w:ascii="Times New Roman" w:hAnsi="Times New Roman" w:eastAsia="新細明體"/>
          <w:b w:val="0"/>
          <w:i w:val="0"/>
          <w:sz w:val="24"/>
        </w:rPr>
        <w:t>林建德（2003）。《諸說中第一：力挺佛陀在人間》。台南：妙心出版社。</w:t>
      </w:r>
    </w:p>
    <w:p>
      <w:pPr>
        <w:spacing w:line="360" w:lineRule="auto" w:after="80"/>
        <w:ind w:left="482" w:hanging="482"/>
      </w:pPr>
      <w:r>
        <w:rPr>
          <w:rFonts w:ascii="Times New Roman" w:hAnsi="Times New Roman" w:eastAsia="新細明體"/>
          <w:b w:val="0"/>
          <w:i w:val="0"/>
          <w:sz w:val="24"/>
        </w:rPr>
        <w:t>田智雄（2012）。《絕地逢生：澎湖公民力量的展現——台灣首次公投勝利的故事》。台北：法界出版社。</w:t>
      </w:r>
    </w:p>
    <w:p>
      <w:pPr>
        <w:spacing w:line="360" w:lineRule="auto" w:after="80"/>
        <w:ind w:left="482" w:hanging="482"/>
      </w:pPr>
      <w:r>
        <w:rPr>
          <w:rFonts w:ascii="Times New Roman" w:hAnsi="Times New Roman" w:eastAsia="新細明體"/>
          <w:b w:val="0"/>
          <w:i w:val="0"/>
          <w:sz w:val="24"/>
        </w:rPr>
        <w:t>汪盈利（2013）。《動保足履：關懷二十年（1992-2012）》。台北：關懷生命協會。</w:t>
      </w:r>
    </w:p>
    <w:p>
      <w:pPr>
        <w:spacing w:line="360" w:lineRule="auto" w:after="80"/>
        <w:ind w:left="482" w:hanging="482"/>
      </w:pPr>
      <w:r>
        <w:rPr>
          <w:rFonts w:ascii="Times New Roman" w:hAnsi="Times New Roman" w:eastAsia="新細明體"/>
          <w:b w:val="0"/>
          <w:i w:val="0"/>
          <w:sz w:val="24"/>
        </w:rPr>
        <w:t>鄭仰恩（2010）。《定根本土的臺灣基督教：臺灣基督教史研究論集》。台南：人光出版社。</w:t>
      </w:r>
    </w:p>
    <w:p>
      <w:pPr>
        <w:spacing w:line="360" w:lineRule="auto" w:after="80"/>
        <w:ind w:left="482" w:hanging="482"/>
      </w:pPr>
      <w:r>
        <w:rPr>
          <w:rFonts w:ascii="Times New Roman" w:hAnsi="Times New Roman" w:eastAsia="新細明體"/>
          <w:b w:val="0"/>
          <w:i w:val="0"/>
          <w:sz w:val="24"/>
        </w:rPr>
        <w:t>鄭仰恩主編（2024）。《台灣基督長老教會史（1865-2015）卷一：分期史》。台北：使徒出版社。</w:t>
      </w:r>
    </w:p>
    <w:p>
      <w:pPr>
        <w:spacing w:line="360" w:lineRule="auto" w:after="80"/>
        <w:ind w:left="482" w:hanging="482"/>
      </w:pPr>
      <w:r>
        <w:rPr>
          <w:rFonts w:ascii="Times New Roman" w:hAnsi="Times New Roman" w:eastAsia="新細明體"/>
          <w:b w:val="0"/>
          <w:i w:val="0"/>
          <w:sz w:val="24"/>
        </w:rPr>
        <w:t>鄭仰恩主編（2025）。《台灣基督長老教會史（1865-2015）卷二：專題史》。台北：使徒出版社。</w:t>
      </w:r>
    </w:p>
    <w:p>
      <w:pPr>
        <w:spacing w:line="360" w:lineRule="auto" w:after="80"/>
        <w:ind w:left="482" w:hanging="482"/>
      </w:pPr>
      <w:r>
        <w:rPr>
          <w:rFonts w:ascii="Times New Roman" w:hAnsi="Times New Roman" w:eastAsia="新細明體"/>
          <w:b w:val="0"/>
          <w:i w:val="0"/>
          <w:sz w:val="24"/>
        </w:rPr>
        <w:t>蔡榮芳（2020）。《從宗教到政治：黃彰輝牧師普世神學的實踐》。台北：玉山社。</w:t>
      </w:r>
    </w:p>
    <w:p>
      <w:pPr>
        <w:spacing w:line="360" w:lineRule="auto" w:after="80"/>
        <w:ind w:left="482" w:hanging="482"/>
      </w:pPr>
      <w:r>
        <w:rPr>
          <w:rFonts w:ascii="Times New Roman" w:hAnsi="Times New Roman" w:eastAsia="新細明體"/>
          <w:b w:val="0"/>
          <w:i w:val="0"/>
          <w:sz w:val="24"/>
        </w:rPr>
        <w:t>張瑞雄（2014）。《台灣人的先覺：黃彰輝》。台南：南神出版社。</w:t>
      </w:r>
    </w:p>
    <w:p>
      <w:pPr>
        <w:spacing w:line="360" w:lineRule="auto" w:after="80"/>
        <w:ind w:left="482" w:hanging="482"/>
      </w:pPr>
      <w:r>
        <w:rPr>
          <w:rFonts w:ascii="Times New Roman" w:hAnsi="Times New Roman" w:eastAsia="新細明體"/>
          <w:b w:val="0"/>
          <w:i w:val="0"/>
          <w:sz w:val="24"/>
        </w:rPr>
        <w:t>鄭睦群（2023）。《從大中華到台灣國：台灣基督長老教會的國家認同及其論述轉換》。台北：政大出版社。</w:t>
      </w:r>
    </w:p>
    <w:p>
      <w:pPr>
        <w:spacing w:line="360" w:lineRule="auto" w:after="80"/>
        <w:ind w:left="482" w:hanging="482"/>
      </w:pPr>
      <w:r>
        <w:rPr>
          <w:rFonts w:ascii="Times New Roman" w:hAnsi="Times New Roman" w:eastAsia="新細明體"/>
          <w:b w:val="0"/>
          <w:i w:val="0"/>
          <w:sz w:val="24"/>
        </w:rPr>
        <w:t>王鏡玲（2016）。《分別為聖：長老教會‧普渡‧通靈象徵》。台北：前衛出版社。</w:t>
      </w:r>
    </w:p>
    <w:p>
      <w:pPr>
        <w:spacing w:line="360" w:lineRule="auto" w:after="80"/>
        <w:ind w:left="482" w:hanging="482"/>
      </w:pPr>
      <w:r>
        <w:rPr>
          <w:rFonts w:ascii="Times New Roman" w:hAnsi="Times New Roman" w:eastAsia="新細明體"/>
          <w:b w:val="0"/>
          <w:i w:val="0"/>
          <w:sz w:val="24"/>
        </w:rPr>
        <w:t>董芳苑（2008）。《台灣宗教大觀》。台北：前衛出版社。</w:t>
      </w:r>
    </w:p>
    <w:p>
      <w:pPr>
        <w:spacing w:line="360" w:lineRule="auto" w:after="80"/>
        <w:ind w:left="482" w:hanging="482"/>
      </w:pPr>
      <w:r>
        <w:rPr>
          <w:rFonts w:ascii="Times New Roman" w:hAnsi="Times New Roman" w:eastAsia="新細明體"/>
          <w:b w:val="0"/>
          <w:i w:val="0"/>
          <w:sz w:val="24"/>
        </w:rPr>
        <w:t>盧俊義（2003）。《台灣之愛：盧俊義牧師的牧會筆記》。台北：前衛出版社。</w:t>
      </w:r>
    </w:p>
    <w:p>
      <w:pPr>
        <w:spacing w:line="360" w:lineRule="auto" w:after="80"/>
        <w:ind w:left="482" w:hanging="482"/>
      </w:pPr>
      <w:r>
        <w:rPr>
          <w:rFonts w:ascii="Times New Roman" w:hAnsi="Times New Roman" w:eastAsia="新細明體"/>
          <w:b w:val="0"/>
          <w:i w:val="0"/>
          <w:sz w:val="24"/>
        </w:rPr>
        <w:t>劉錦昌（2014）。《神學的公共事務》。新竹：台灣基督長老教會聖經書院。</w:t>
      </w:r>
    </w:p>
    <w:p>
      <w:pPr>
        <w:spacing w:line="360" w:lineRule="auto" w:after="80"/>
        <w:ind w:left="482" w:hanging="482"/>
      </w:pPr>
      <w:r>
        <w:rPr>
          <w:rFonts w:ascii="Times New Roman" w:hAnsi="Times New Roman" w:eastAsia="新細明體"/>
          <w:b w:val="0"/>
          <w:i w:val="0"/>
          <w:sz w:val="24"/>
        </w:rPr>
        <w:t>李熾昌（1996）。《亞洲處境與聖經詮釋》。香港：基督教文藝出版社。</w:t>
      </w:r>
    </w:p>
    <w:p>
      <w:pPr>
        <w:spacing w:line="360" w:lineRule="auto" w:after="80"/>
        <w:ind w:left="482" w:hanging="482"/>
      </w:pPr>
      <w:r>
        <w:rPr>
          <w:rFonts w:ascii="Times New Roman" w:hAnsi="Times New Roman" w:eastAsia="新細明體"/>
          <w:b w:val="0"/>
          <w:i w:val="0"/>
          <w:sz w:val="24"/>
        </w:rPr>
        <w:t>賴品超（2011）。《大乘基督教神學：漢語神學的思想實驗》。香港：道風書社。</w:t>
      </w:r>
    </w:p>
    <w:p>
      <w:pPr>
        <w:spacing w:line="360" w:lineRule="auto" w:after="80"/>
        <w:ind w:left="482" w:hanging="482"/>
      </w:pPr>
      <w:r>
        <w:rPr>
          <w:rFonts w:ascii="Times New Roman" w:hAnsi="Times New Roman" w:eastAsia="新細明體"/>
          <w:b w:val="0"/>
          <w:i w:val="0"/>
          <w:sz w:val="24"/>
        </w:rPr>
        <w:t>賴品超、學愚主編（2008）。《天國、淨土與人間：耶佛對話與社會關懷》。香港：中華書局。</w:t>
      </w:r>
    </w:p>
    <w:p>
      <w:pPr>
        <w:spacing w:line="360" w:lineRule="auto" w:after="80"/>
        <w:ind w:left="482" w:hanging="482"/>
      </w:pPr>
      <w:r>
        <w:rPr>
          <w:rFonts w:ascii="Times New Roman" w:hAnsi="Times New Roman" w:eastAsia="新細明體"/>
          <w:b w:val="0"/>
          <w:i w:val="0"/>
          <w:sz w:val="24"/>
        </w:rPr>
        <w:t>賴品超主編（2008）。《佛耶對話：近代中國佛教與基督宗教的相遇》。北京：宗教文化出版社。</w:t>
      </w:r>
    </w:p>
    <w:p>
      <w:pPr>
        <w:spacing w:line="360" w:lineRule="auto" w:after="80"/>
        <w:ind w:left="482" w:hanging="482"/>
      </w:pPr>
      <w:r>
        <w:rPr>
          <w:rFonts w:ascii="Times New Roman" w:hAnsi="Times New Roman" w:eastAsia="新細明體"/>
          <w:b w:val="0"/>
          <w:i w:val="0"/>
          <w:sz w:val="24"/>
        </w:rPr>
        <w:t>吳耀宗（1949）。《黑暗與光明》。上海：青年協會書局。</w:t>
      </w:r>
    </w:p>
    <w:p>
      <w:pPr>
        <w:spacing w:line="360" w:lineRule="auto" w:after="200" w:before="160"/>
      </w:pPr>
      <w:r>
        <w:rPr>
          <w:rFonts w:ascii="Times New Roman" w:hAnsi="Times New Roman" w:eastAsia="新細明體"/>
          <w:b/>
          <w:i w:val="0"/>
          <w:sz w:val="26"/>
        </w:rPr>
        <w:t>三、期刊論文、會議論文與學位論文</w:t>
      </w:r>
    </w:p>
    <w:p>
      <w:pPr>
        <w:spacing w:line="360" w:lineRule="auto" w:after="80"/>
        <w:ind w:left="482" w:hanging="482"/>
      </w:pPr>
      <w:r>
        <w:rPr>
          <w:rFonts w:ascii="Times New Roman" w:hAnsi="Times New Roman" w:eastAsia="新細明體"/>
          <w:b w:val="0"/>
          <w:i w:val="0"/>
          <w:sz w:val="24"/>
        </w:rPr>
        <w:t>闞正宗（2011）。〈傳法弘道——傳道法師人間佛教理路〉。《法印學報》，(1)，119-143。</w:t>
      </w:r>
    </w:p>
    <w:p>
      <w:pPr>
        <w:spacing w:line="360" w:lineRule="auto" w:after="80"/>
        <w:ind w:left="482" w:hanging="482"/>
      </w:pPr>
      <w:r>
        <w:rPr>
          <w:rFonts w:ascii="Times New Roman" w:hAnsi="Times New Roman" w:eastAsia="新細明體"/>
          <w:b w:val="0"/>
          <w:i w:val="0"/>
          <w:sz w:val="24"/>
        </w:rPr>
        <w:t>釋昭慧（2011）。〈傳道法師對南傳佛教在台灣之觀察與評議〉。《法印學報》，(1)。</w:t>
      </w:r>
    </w:p>
    <w:p>
      <w:pPr>
        <w:spacing w:line="360" w:lineRule="auto" w:after="80"/>
        <w:ind w:left="482" w:hanging="482"/>
      </w:pPr>
      <w:r>
        <w:rPr>
          <w:rFonts w:ascii="Times New Roman" w:hAnsi="Times New Roman" w:eastAsia="新細明體"/>
          <w:b w:val="0"/>
          <w:i w:val="0"/>
          <w:sz w:val="24"/>
        </w:rPr>
        <w:t>伍麗滿（2006）。《台南妙心寺對印順「人間佛教」的落實與弘展》（碩士論文）。玄奘大學宗教學系碩士在職專班，新竹。</w:t>
      </w:r>
    </w:p>
    <w:p>
      <w:pPr>
        <w:spacing w:line="360" w:lineRule="auto" w:after="80"/>
        <w:ind w:left="482" w:hanging="482"/>
      </w:pPr>
      <w:r>
        <w:rPr>
          <w:rFonts w:ascii="Times New Roman" w:hAnsi="Times New Roman" w:eastAsia="新細明體"/>
          <w:b w:val="0"/>
          <w:i w:val="0"/>
          <w:sz w:val="24"/>
        </w:rPr>
        <w:t>陳玉峯（2011）。〈草根和尚——傳道法師與我〉。《弘誓雙月刊》，(109)，22-29。</w:t>
      </w:r>
    </w:p>
    <w:p>
      <w:pPr>
        <w:spacing w:line="360" w:lineRule="auto" w:after="80"/>
        <w:ind w:left="482" w:hanging="482"/>
      </w:pPr>
      <w:r>
        <w:rPr>
          <w:rFonts w:ascii="Times New Roman" w:hAnsi="Times New Roman" w:eastAsia="新細明體"/>
          <w:b w:val="0"/>
          <w:i w:val="0"/>
          <w:sz w:val="24"/>
        </w:rPr>
        <w:t>侯坤宏（2004）。〈從太虛大師到印順法師：一個思想史角度的觀察〉。載於弘誓文教基金會（編），《第五屆「印順導師思想之理論與實踐」學術會議論文集》。桃園：弘誓文教基金會。</w:t>
      </w:r>
    </w:p>
    <w:p>
      <w:pPr>
        <w:spacing w:line="360" w:lineRule="auto" w:after="80"/>
        <w:ind w:left="482" w:hanging="482"/>
      </w:pPr>
      <w:r>
        <w:rPr>
          <w:rFonts w:ascii="Times New Roman" w:hAnsi="Times New Roman" w:eastAsia="新細明體"/>
          <w:b w:val="0"/>
          <w:i w:val="0"/>
          <w:sz w:val="24"/>
        </w:rPr>
        <w:t>侯坤宏（2016）。〈戰後台灣佛教正義議題之回顧〉。《法印學報》，(6)，103-148。</w:t>
      </w:r>
    </w:p>
    <w:p>
      <w:pPr>
        <w:spacing w:line="360" w:lineRule="auto" w:after="80"/>
        <w:ind w:left="482" w:hanging="482"/>
      </w:pPr>
      <w:r>
        <w:rPr>
          <w:rFonts w:ascii="Times New Roman" w:hAnsi="Times New Roman" w:eastAsia="新細明體"/>
          <w:b w:val="0"/>
          <w:i w:val="0"/>
          <w:sz w:val="24"/>
        </w:rPr>
        <w:t>藍吉富（2002）。〈台灣佛教思想史上的後印順時代〉。載於弘誓文教基金會（編），《第三屆「印順導師思想之理論與實踐」學術研討會論文集》。桃園：弘誓文教基金會。</w:t>
      </w:r>
    </w:p>
    <w:p>
      <w:pPr>
        <w:spacing w:line="360" w:lineRule="auto" w:after="80"/>
        <w:ind w:left="482" w:hanging="482"/>
      </w:pPr>
      <w:r>
        <w:rPr>
          <w:rFonts w:ascii="Times New Roman" w:hAnsi="Times New Roman" w:eastAsia="新細明體"/>
          <w:b w:val="0"/>
          <w:i w:val="0"/>
          <w:sz w:val="24"/>
        </w:rPr>
        <w:t>邱敏捷（2013）。〈印順學派的核心思想：以人間佛教為中心的開展〉。《人文與社會研究學報》，(47)，19-32。</w:t>
      </w:r>
    </w:p>
    <w:p>
      <w:pPr>
        <w:spacing w:line="360" w:lineRule="auto" w:after="80"/>
        <w:ind w:left="482" w:hanging="482"/>
      </w:pPr>
      <w:r>
        <w:rPr>
          <w:rFonts w:ascii="Times New Roman" w:hAnsi="Times New Roman" w:eastAsia="新細明體"/>
          <w:b w:val="0"/>
          <w:i w:val="0"/>
          <w:sz w:val="24"/>
        </w:rPr>
        <w:t>林建德（2012）。〈印順學派與慈濟宗門——試論印順思想對慈濟志業開展之可能啟發〉。《玄奘佛學研究》，(17)，93-134。</w:t>
      </w:r>
    </w:p>
    <w:p>
      <w:pPr>
        <w:spacing w:line="360" w:lineRule="auto" w:after="80"/>
        <w:ind w:left="482" w:hanging="482"/>
      </w:pPr>
      <w:r>
        <w:rPr>
          <w:rFonts w:ascii="Times New Roman" w:hAnsi="Times New Roman" w:eastAsia="新細明體"/>
          <w:b w:val="0"/>
          <w:i w:val="0"/>
          <w:sz w:val="24"/>
        </w:rPr>
        <w:t>林建德（2015）。〈「人類為本」與「眾生平等」——印順法師「人間佛教」觀點下的動物保護〉。《玄奘佛學研究》，(23)，197-222。</w:t>
      </w:r>
    </w:p>
    <w:p>
      <w:pPr>
        <w:spacing w:line="360" w:lineRule="auto" w:after="80"/>
        <w:ind w:left="482" w:hanging="482"/>
      </w:pPr>
      <w:r>
        <w:rPr>
          <w:rFonts w:ascii="Times New Roman" w:hAnsi="Times New Roman" w:eastAsia="新細明體"/>
          <w:b w:val="0"/>
          <w:i w:val="0"/>
          <w:sz w:val="24"/>
        </w:rPr>
        <w:t>林建德（2023）。〈台灣「人間佛教」之承傳與開展——從證嚴法師是否為「印順學派」探討起〉。《成大中文學報》，(81)，69-98。</w:t>
      </w:r>
    </w:p>
    <w:p>
      <w:pPr>
        <w:spacing w:line="360" w:lineRule="auto" w:after="80"/>
        <w:ind w:left="482" w:hanging="482"/>
      </w:pPr>
      <w:r>
        <w:rPr>
          <w:rFonts w:ascii="Times New Roman" w:hAnsi="Times New Roman" w:eastAsia="新細明體"/>
          <w:b w:val="0"/>
          <w:i w:val="0"/>
          <w:sz w:val="24"/>
        </w:rPr>
        <w:t>林朝成（2015）。〈動物解放與護生行動：從關懷生命協會的角度來探討〉。《玄奘佛學研究》，(23)，175-195。</w:t>
      </w:r>
    </w:p>
    <w:p>
      <w:pPr>
        <w:spacing w:line="360" w:lineRule="auto" w:after="80"/>
        <w:ind w:left="482" w:hanging="482"/>
      </w:pPr>
      <w:r>
        <w:rPr>
          <w:rFonts w:ascii="Times New Roman" w:hAnsi="Times New Roman" w:eastAsia="新細明體"/>
          <w:b w:val="0"/>
          <w:i w:val="0"/>
          <w:sz w:val="24"/>
        </w:rPr>
        <w:t>楊惠南（1990）。〈當代台灣佛教「出世」性格的分析〉。《東方宗教研究》，(新1)，317-343。</w:t>
      </w:r>
    </w:p>
    <w:p>
      <w:pPr>
        <w:spacing w:line="360" w:lineRule="auto" w:after="80"/>
        <w:ind w:left="482" w:hanging="482"/>
      </w:pPr>
      <w:r>
        <w:rPr>
          <w:rFonts w:ascii="Times New Roman" w:hAnsi="Times New Roman" w:eastAsia="新細明體"/>
          <w:b w:val="0"/>
          <w:i w:val="0"/>
          <w:sz w:val="24"/>
        </w:rPr>
        <w:t>李玉珍（2015）。〈受戒施教：戰後台灣比丘尼身分的形成與凝聚〉。《近代中國婦女史研究》，(25)，1-52。</w:t>
      </w:r>
    </w:p>
    <w:p>
      <w:pPr>
        <w:spacing w:line="360" w:lineRule="auto" w:after="80"/>
        <w:ind w:left="482" w:hanging="482"/>
      </w:pPr>
      <w:r>
        <w:rPr>
          <w:rFonts w:ascii="Times New Roman" w:hAnsi="Times New Roman" w:eastAsia="新細明體"/>
          <w:b w:val="0"/>
          <w:i w:val="0"/>
          <w:sz w:val="24"/>
        </w:rPr>
        <w:t>蓑輪顕量（2016）。〈現代台灣佛教與印順法師——五大本山與人間佛教的背景一探〉。《佛光學報》，2(2)，31-53。</w:t>
      </w:r>
    </w:p>
    <w:p>
      <w:pPr>
        <w:spacing w:line="360" w:lineRule="auto" w:after="80"/>
        <w:ind w:left="482" w:hanging="482"/>
      </w:pPr>
      <w:r>
        <w:rPr>
          <w:rFonts w:ascii="Times New Roman" w:hAnsi="Times New Roman" w:eastAsia="新細明體"/>
          <w:b w:val="0"/>
          <w:i w:val="0"/>
          <w:sz w:val="24"/>
        </w:rPr>
        <w:t>劉文芳（釋傳法）（2002）。《當代台灣佛教的社會運動》（碩士論文）。玄奘人文社會學院宗教學研究所，新竹。</w:t>
      </w:r>
    </w:p>
    <w:p>
      <w:pPr>
        <w:spacing w:line="360" w:lineRule="auto" w:after="80"/>
        <w:ind w:left="482" w:hanging="482"/>
      </w:pPr>
      <w:r>
        <w:rPr>
          <w:rFonts w:ascii="Times New Roman" w:hAnsi="Times New Roman" w:eastAsia="新細明體"/>
          <w:b w:val="0"/>
          <w:i w:val="0"/>
          <w:sz w:val="24"/>
        </w:rPr>
        <w:t>劉文芳（釋傳法）（2019）。《左翼佛教和公民社會：泰國和馬來西亞的佛教公共介入之研究》（博士論文）。國立政治大學宗教研究所，台北。</w:t>
      </w:r>
    </w:p>
    <w:p>
      <w:pPr>
        <w:spacing w:line="360" w:lineRule="auto" w:after="80"/>
        <w:ind w:left="482" w:hanging="482"/>
      </w:pPr>
      <w:r>
        <w:rPr>
          <w:rFonts w:ascii="Times New Roman" w:hAnsi="Times New Roman" w:eastAsia="新細明體"/>
          <w:b w:val="0"/>
          <w:i w:val="0"/>
          <w:sz w:val="24"/>
        </w:rPr>
        <w:t>釋傳法、釋性廣（2009）。〈社運浪潮中之護教運動——以中國佛教會護教組為探討核心〉。《玄奘佛學研究》，(11)，55-86。</w:t>
      </w:r>
    </w:p>
    <w:p>
      <w:pPr>
        <w:spacing w:line="360" w:lineRule="auto" w:after="80"/>
        <w:ind w:left="482" w:hanging="482"/>
      </w:pPr>
      <w:r>
        <w:rPr>
          <w:rFonts w:ascii="Times New Roman" w:hAnsi="Times New Roman" w:eastAsia="新細明體"/>
          <w:b w:val="0"/>
          <w:i w:val="0"/>
          <w:sz w:val="24"/>
        </w:rPr>
        <w:t>莊雅棠（1997）。〈台灣鄉土神學的開拓者——王憲治牧師〉。《新使者》，(43)。</w:t>
      </w:r>
    </w:p>
    <w:p>
      <w:pPr>
        <w:spacing w:line="360" w:lineRule="auto" w:after="80"/>
        <w:ind w:left="482" w:hanging="482"/>
      </w:pPr>
      <w:r>
        <w:rPr>
          <w:rFonts w:ascii="Times New Roman" w:hAnsi="Times New Roman" w:eastAsia="新細明體"/>
          <w:b w:val="0"/>
          <w:i w:val="0"/>
          <w:sz w:val="24"/>
        </w:rPr>
        <w:t>莊雅棠（2001）。〈實況化神學的意義及其超越一般——台灣本土神學方法論的反思〉。《道雜誌》，(2)，30-39。</w:t>
      </w:r>
    </w:p>
    <w:p>
      <w:pPr>
        <w:spacing w:line="360" w:lineRule="auto" w:after="80"/>
        <w:ind w:left="482" w:hanging="482"/>
      </w:pPr>
      <w:r>
        <w:rPr>
          <w:rFonts w:ascii="Times New Roman" w:hAnsi="Times New Roman" w:eastAsia="新細明體"/>
          <w:b w:val="0"/>
          <w:i w:val="0"/>
          <w:sz w:val="24"/>
        </w:rPr>
        <w:t>莊雅棠（2003）。〈宋泉盛的故事神學〉。《神學與教會》，28(1)，123-145。</w:t>
      </w:r>
    </w:p>
    <w:p>
      <w:pPr>
        <w:spacing w:line="360" w:lineRule="auto" w:after="80"/>
        <w:ind w:left="482" w:hanging="482"/>
      </w:pPr>
      <w:r>
        <w:rPr>
          <w:rFonts w:ascii="Times New Roman" w:hAnsi="Times New Roman" w:eastAsia="新細明體"/>
          <w:b w:val="0"/>
          <w:i w:val="0"/>
          <w:sz w:val="24"/>
        </w:rPr>
        <w:t>莊雅棠（2019）。〈在後現代處境中的台灣本土神學〉。《神學與教會》，44(1)，75-102。</w:t>
      </w:r>
    </w:p>
    <w:p>
      <w:pPr>
        <w:spacing w:line="360" w:lineRule="auto" w:after="80"/>
        <w:ind w:left="482" w:hanging="482"/>
      </w:pPr>
      <w:r>
        <w:rPr>
          <w:rFonts w:ascii="Times New Roman" w:hAnsi="Times New Roman" w:eastAsia="新細明體"/>
          <w:b w:val="0"/>
          <w:i w:val="0"/>
          <w:sz w:val="24"/>
        </w:rPr>
        <w:t>陳南州（2004）。〈實況化神學的開展：黃彰輝牧師神學思想的探討〉。《台灣神學論刊》，(26)，59-83。</w:t>
      </w:r>
    </w:p>
    <w:p>
      <w:pPr>
        <w:spacing w:line="360" w:lineRule="auto" w:after="80"/>
        <w:ind w:left="482" w:hanging="482"/>
      </w:pPr>
      <w:r>
        <w:rPr>
          <w:rFonts w:ascii="Times New Roman" w:hAnsi="Times New Roman" w:eastAsia="新細明體"/>
          <w:b w:val="0"/>
          <w:i w:val="0"/>
          <w:sz w:val="24"/>
        </w:rPr>
        <w:t>鄭仰恩（2001）。〈獻身普世運動的台灣本土神學家——黃彰輝牧師小傳〉。《新使者》，(64)，30-33。</w:t>
      </w:r>
    </w:p>
    <w:p>
      <w:pPr>
        <w:spacing w:line="360" w:lineRule="auto" w:after="80"/>
        <w:ind w:left="482" w:hanging="482"/>
      </w:pPr>
      <w:r>
        <w:rPr>
          <w:rFonts w:ascii="Times New Roman" w:hAnsi="Times New Roman" w:eastAsia="新細明體"/>
          <w:b w:val="0"/>
          <w:i w:val="0"/>
          <w:sz w:val="24"/>
        </w:rPr>
        <w:t>鄭仰恩（2005）。〈從「自立」到「認同」：台灣基督長老教會本土化過程的歷史探討〉。《台灣神學論刊》，(27)，75-102。</w:t>
      </w:r>
    </w:p>
    <w:p>
      <w:pPr>
        <w:spacing w:line="360" w:lineRule="auto" w:after="80"/>
        <w:ind w:left="482" w:hanging="482"/>
      </w:pPr>
      <w:r>
        <w:rPr>
          <w:rFonts w:ascii="Times New Roman" w:hAnsi="Times New Roman" w:eastAsia="新細明體"/>
          <w:b w:val="0"/>
          <w:i w:val="0"/>
          <w:sz w:val="24"/>
        </w:rPr>
        <w:t>鄭仰恩（2015）。〈黃彰輝牧師及現今普世視域中的實況化神學發展〉。載於王崇堯等（主編），《黃彰輝牧師的精神資產研討會論文集》（頁165-192）。台南：南神出版社。</w:t>
      </w:r>
    </w:p>
    <w:p>
      <w:pPr>
        <w:spacing w:line="360" w:lineRule="auto" w:after="80"/>
        <w:ind w:left="482" w:hanging="482"/>
      </w:pPr>
      <w:r>
        <w:rPr>
          <w:rFonts w:ascii="Times New Roman" w:hAnsi="Times New Roman" w:eastAsia="新細明體"/>
          <w:b w:val="0"/>
          <w:i w:val="0"/>
          <w:sz w:val="24"/>
        </w:rPr>
        <w:t>歐力仁（2009）。〈亞洲神學之實況化詮釋學的形成與轉變〉。《宗教哲學》，(48)，123-142。</w:t>
      </w:r>
    </w:p>
    <w:p>
      <w:pPr>
        <w:spacing w:line="360" w:lineRule="auto" w:after="80"/>
        <w:ind w:left="482" w:hanging="482"/>
      </w:pPr>
      <w:r>
        <w:rPr>
          <w:rFonts w:ascii="Times New Roman" w:hAnsi="Times New Roman" w:eastAsia="新細明體"/>
          <w:b w:val="0"/>
          <w:i w:val="0"/>
          <w:sz w:val="24"/>
        </w:rPr>
        <w:t>歐力仁（2011）。〈訴說苦難生命的故事——宋泉盛的故事神學方法論及其批判〉。《道風：基督教文化評論》，(35)，245-277。</w:t>
      </w:r>
    </w:p>
    <w:p>
      <w:pPr>
        <w:spacing w:line="360" w:lineRule="auto" w:after="80"/>
        <w:ind w:left="482" w:hanging="482"/>
      </w:pPr>
      <w:r>
        <w:rPr>
          <w:rFonts w:ascii="Times New Roman" w:hAnsi="Times New Roman" w:eastAsia="新細明體"/>
          <w:b w:val="0"/>
          <w:i w:val="0"/>
          <w:sz w:val="24"/>
        </w:rPr>
        <w:t>謝易宏（2011）。〈鄉土神學「出埃及模式」的反思與再處境化〉。《神學與教會》，36(2)，387-408。</w:t>
      </w:r>
    </w:p>
    <w:p>
      <w:pPr>
        <w:spacing w:line="360" w:lineRule="auto" w:after="80"/>
        <w:ind w:left="482" w:hanging="482"/>
      </w:pPr>
      <w:r>
        <w:rPr>
          <w:rFonts w:ascii="Times New Roman" w:hAnsi="Times New Roman" w:eastAsia="新細明體"/>
          <w:b w:val="0"/>
          <w:i w:val="0"/>
          <w:sz w:val="24"/>
        </w:rPr>
        <w:t>邱凱莉（2021）。〈從人民自決到獨立建國：以後殖民觀點分析台灣基督長老教會政治神學解嚴後三十年發展〉。《輔仁宗教研究》，(42)，121-146。</w:t>
      </w:r>
    </w:p>
    <w:p>
      <w:pPr>
        <w:spacing w:line="360" w:lineRule="auto" w:after="80"/>
        <w:ind w:left="482" w:hanging="482"/>
      </w:pPr>
      <w:r>
        <w:rPr>
          <w:rFonts w:ascii="Times New Roman" w:hAnsi="Times New Roman" w:eastAsia="新細明體"/>
          <w:b w:val="0"/>
          <w:i w:val="0"/>
          <w:sz w:val="24"/>
        </w:rPr>
        <w:t>黃克先（2021）。〈跨國宗教與受限制的黨國：從監控檔案再探長老教會的政教關係〉。《臺灣社會學刊》，(70)，1-76。</w:t>
      </w:r>
    </w:p>
    <w:p>
      <w:pPr>
        <w:spacing w:line="360" w:lineRule="auto" w:after="80"/>
        <w:ind w:left="482" w:hanging="482"/>
      </w:pPr>
      <w:r>
        <w:rPr>
          <w:rFonts w:ascii="Times New Roman" w:hAnsi="Times New Roman" w:eastAsia="新細明體"/>
          <w:b w:val="0"/>
          <w:i w:val="0"/>
          <w:sz w:val="24"/>
        </w:rPr>
        <w:t>王崇堯（2015）。〈台灣南部長老教會150年來宣教反思〉。《神學與教會》，40(2)，249-273。</w:t>
      </w:r>
    </w:p>
    <w:p>
      <w:pPr>
        <w:spacing w:line="360" w:lineRule="auto" w:after="80"/>
        <w:ind w:left="482" w:hanging="482"/>
      </w:pPr>
      <w:r>
        <w:rPr>
          <w:rFonts w:ascii="Times New Roman" w:hAnsi="Times New Roman" w:eastAsia="新細明體"/>
          <w:b w:val="0"/>
          <w:i w:val="0"/>
          <w:sz w:val="24"/>
        </w:rPr>
        <w:t>程璞爾（2017）。《論後太陽花運動教會參與公共性之「想像」——以台灣基督長老教會為例》（碩士論文）。中原大學宗教研究所，桃園。</w:t>
      </w:r>
    </w:p>
    <w:p>
      <w:pPr>
        <w:spacing w:line="360" w:lineRule="auto" w:after="80"/>
        <w:ind w:left="482" w:hanging="482"/>
      </w:pPr>
      <w:r>
        <w:rPr>
          <w:rFonts w:ascii="Times New Roman" w:hAnsi="Times New Roman" w:eastAsia="新細明體"/>
          <w:b w:val="0"/>
          <w:i w:val="0"/>
          <w:sz w:val="24"/>
        </w:rPr>
        <w:t>莊秉潔（2011）。《當代台灣佛教與基督教對話之研究》（碩士論文）。玄奘大學宗教學研究所，新竹。</w:t>
      </w:r>
    </w:p>
    <w:p>
      <w:pPr>
        <w:spacing w:line="360" w:lineRule="auto" w:after="80"/>
        <w:ind w:left="482" w:hanging="482"/>
      </w:pPr>
      <w:r>
        <w:rPr>
          <w:rFonts w:ascii="Times New Roman" w:hAnsi="Times New Roman" w:eastAsia="新細明體"/>
          <w:b w:val="0"/>
          <w:i w:val="0"/>
          <w:sz w:val="24"/>
        </w:rPr>
        <w:t>賴賢宗（2004）。〈佛教與基督教的對話：以當代台灣宗教界為中心〉。《哲學與文化》，31(5)，23-41。</w:t>
      </w:r>
    </w:p>
    <w:p>
      <w:pPr>
        <w:spacing w:line="360" w:lineRule="auto" w:after="80"/>
        <w:ind w:left="482" w:hanging="482"/>
      </w:pPr>
      <w:r>
        <w:rPr>
          <w:rFonts w:ascii="Times New Roman" w:hAnsi="Times New Roman" w:eastAsia="新細明體"/>
          <w:b w:val="0"/>
          <w:i w:val="0"/>
          <w:sz w:val="24"/>
        </w:rPr>
        <w:t>蔡怡佳（2016）。〈與佛相應、與神相契：臺灣佛教徒與基督徒的祈禱修行體驗〉。《臺灣宗教研究》，15(1)，51-78。</w:t>
      </w:r>
    </w:p>
    <w:p>
      <w:pPr>
        <w:spacing w:line="360" w:lineRule="auto" w:after="80"/>
        <w:ind w:left="482" w:hanging="482"/>
      </w:pPr>
      <w:r>
        <w:rPr>
          <w:rFonts w:ascii="Times New Roman" w:hAnsi="Times New Roman" w:eastAsia="新細明體"/>
          <w:b w:val="0"/>
          <w:i w:val="0"/>
          <w:sz w:val="24"/>
        </w:rPr>
        <w:t>游祥洲（2007）。〈論全球入世佛教之發展進路——兼論其涉及公共事務時之政治取向〉。《弘誓雙月刊》，(88)，6-23。</w:t>
      </w:r>
    </w:p>
    <w:p>
      <w:pPr>
        <w:spacing w:line="360" w:lineRule="auto" w:after="80"/>
        <w:ind w:left="482" w:hanging="482"/>
      </w:pPr>
      <w:r>
        <w:rPr>
          <w:rFonts w:ascii="Times New Roman" w:hAnsi="Times New Roman" w:eastAsia="新細明體"/>
          <w:b w:val="0"/>
          <w:i w:val="0"/>
          <w:sz w:val="24"/>
        </w:rPr>
        <w:t>張辰瑋（2023）。〈昭慧法師與性廣法師對印順學的傳承與實踐——以經營佛教弘誓學院、參與社運、闡揚人間佛教禪法為例〉。《法印學報》，(14)，181-204。</w:t>
      </w:r>
    </w:p>
    <w:p>
      <w:pPr>
        <w:spacing w:line="360" w:lineRule="auto" w:after="80"/>
        <w:ind w:left="482" w:hanging="482"/>
      </w:pPr>
      <w:r>
        <w:rPr>
          <w:rFonts w:ascii="Times New Roman" w:hAnsi="Times New Roman" w:eastAsia="新細明體"/>
          <w:b w:val="0"/>
          <w:i w:val="0"/>
          <w:sz w:val="24"/>
        </w:rPr>
        <w:t>張辰瑋（2024）。〈從「青年佛教」之精神看印順學派的歷史發展〉。《法印學報》，229-252。</w:t>
      </w:r>
    </w:p>
    <w:p>
      <w:pPr>
        <w:spacing w:line="360" w:lineRule="auto" w:after="80"/>
        <w:ind w:left="482" w:hanging="482"/>
      </w:pPr>
      <w:r>
        <w:rPr>
          <w:rFonts w:ascii="Times New Roman" w:hAnsi="Times New Roman" w:eastAsia="新細明體"/>
          <w:b w:val="0"/>
          <w:i w:val="0"/>
          <w:sz w:val="24"/>
        </w:rPr>
        <w:t>張辰瑋（2024）。〈耶佛之間的跨宗教友誼與跨宗教合作：以釋昭慧法師、盧俊義牧師、洪山川主教為例〉。「2024年度台灣宗教學會年會」，中央研究院民族學研究所，台北。</w:t>
      </w:r>
    </w:p>
    <w:p>
      <w:pPr>
        <w:spacing w:line="360" w:lineRule="auto" w:after="80"/>
        <w:ind w:left="482" w:hanging="482"/>
      </w:pPr>
      <w:r>
        <w:rPr>
          <w:rFonts w:ascii="Times New Roman" w:hAnsi="Times New Roman" w:eastAsia="新細明體"/>
          <w:b w:val="0"/>
          <w:i w:val="0"/>
          <w:sz w:val="24"/>
        </w:rPr>
        <w:t>張辰瑋（2025）。〈昭慧法師的戒律學思想與實踐：以性別議題為核心〉。第六屆中華國際佛學會議，法鼓山中華佛學研究所，台北。</w:t>
      </w:r>
    </w:p>
    <w:p>
      <w:pPr>
        <w:spacing w:line="360" w:lineRule="auto" w:after="80"/>
        <w:ind w:left="482" w:hanging="482"/>
      </w:pPr>
      <w:r>
        <w:rPr>
          <w:rFonts w:ascii="Times New Roman" w:hAnsi="Times New Roman" w:eastAsia="新細明體"/>
          <w:b w:val="0"/>
          <w:i w:val="0"/>
          <w:sz w:val="24"/>
        </w:rPr>
        <w:t>張辰瑋（2025）。《印順導師人間佛教思想的傳承與實踐：以昭慧法師、性廣法師為核心》（碩士論文）。國立台北教育大學台灣文化研究所，台北。</w:t>
      </w:r>
    </w:p>
    <w:p>
      <w:pPr>
        <w:spacing w:line="360" w:lineRule="auto" w:after="200" w:before="160"/>
      </w:pPr>
      <w:r>
        <w:rPr>
          <w:rFonts w:ascii="Times New Roman" w:hAnsi="Times New Roman" w:eastAsia="新細明體"/>
          <w:b/>
          <w:i w:val="0"/>
          <w:sz w:val="26"/>
        </w:rPr>
        <w:t>四、外文文獻</w:t>
      </w:r>
    </w:p>
    <w:p>
      <w:pPr>
        <w:spacing w:line="360" w:lineRule="auto" w:after="80"/>
        <w:ind w:left="482" w:hanging="482"/>
      </w:pPr>
      <w:r>
        <w:rPr>
          <w:rFonts w:ascii="Times New Roman" w:hAnsi="Times New Roman" w:eastAsia="新細明體"/>
          <w:b w:val="0"/>
          <w:i w:val="0"/>
          <w:sz w:val="24"/>
        </w:rPr>
        <w:t>Ahn, B.-M.（안병무）(1981). *Minjung theology: People as the subjects of history*. Maryknoll, NY: Orbis Books.</w:t>
      </w:r>
    </w:p>
    <w:p>
      <w:pPr>
        <w:spacing w:line="360" w:lineRule="auto" w:after="80"/>
        <w:ind w:left="482" w:hanging="482"/>
      </w:pPr>
      <w:r>
        <w:rPr>
          <w:rFonts w:ascii="Times New Roman" w:hAnsi="Times New Roman" w:eastAsia="新細明體"/>
          <w:b w:val="0"/>
          <w:i w:val="0"/>
          <w:sz w:val="24"/>
        </w:rPr>
        <w:t>Clooney, F. X. (2010). *Comparative theology: Deep learning across religious borders*. Malden, MA: Wiley-Blackwell.</w:t>
      </w:r>
    </w:p>
    <w:p>
      <w:pPr>
        <w:spacing w:line="360" w:lineRule="auto" w:after="80"/>
        <w:ind w:left="482" w:hanging="482"/>
      </w:pPr>
      <w:r>
        <w:rPr>
          <w:rFonts w:ascii="Times New Roman" w:hAnsi="Times New Roman" w:eastAsia="新細明體"/>
          <w:b w:val="0"/>
          <w:i w:val="0"/>
          <w:sz w:val="24"/>
        </w:rPr>
        <w:t>Duara, P. (2015). *The crisis of global modernity: Asian traditions and a sustainable future*. Cambridge: Cambridge University Press.</w:t>
      </w:r>
    </w:p>
    <w:p>
      <w:pPr>
        <w:spacing w:line="360" w:lineRule="auto" w:after="80"/>
        <w:ind w:left="482" w:hanging="482"/>
      </w:pPr>
      <w:r>
        <w:rPr>
          <w:rFonts w:ascii="Times New Roman" w:hAnsi="Times New Roman" w:eastAsia="新細明體"/>
          <w:b w:val="0"/>
          <w:i w:val="0"/>
          <w:sz w:val="24"/>
        </w:rPr>
        <w:t>Goossaert, V., &amp; Palmer, D. A. (2011). *The religious question in modern China*. Chicago: University of Chicago Press.</w:t>
      </w:r>
    </w:p>
    <w:p>
      <w:pPr>
        <w:spacing w:line="360" w:lineRule="auto" w:after="80"/>
        <w:ind w:left="482" w:hanging="482"/>
      </w:pPr>
      <w:r>
        <w:rPr>
          <w:rFonts w:ascii="Times New Roman" w:hAnsi="Times New Roman" w:eastAsia="新細明體"/>
          <w:b w:val="0"/>
          <w:i w:val="0"/>
          <w:sz w:val="24"/>
        </w:rPr>
        <w:t>Hick, J. (1989). *An interpretation of religion: Human responses to the transcendent*. New Haven: Yale University Press.</w:t>
      </w:r>
    </w:p>
    <w:p>
      <w:pPr>
        <w:spacing w:line="360" w:lineRule="auto" w:after="80"/>
        <w:ind w:left="482" w:hanging="482"/>
      </w:pPr>
      <w:r>
        <w:rPr>
          <w:rFonts w:ascii="Times New Roman" w:hAnsi="Times New Roman" w:eastAsia="新細明體"/>
          <w:b w:val="0"/>
          <w:i w:val="0"/>
          <w:sz w:val="24"/>
        </w:rPr>
        <w:t>Kagawa, T.（賀川豊彦）(1936). *Brotherhood economics*. New York: Harper &amp; Brothers.</w:t>
      </w:r>
    </w:p>
    <w:p>
      <w:pPr>
        <w:spacing w:line="360" w:lineRule="auto" w:after="80"/>
        <w:ind w:left="482" w:hanging="482"/>
      </w:pPr>
      <w:r>
        <w:rPr>
          <w:rFonts w:ascii="Times New Roman" w:hAnsi="Times New Roman" w:eastAsia="新細明體"/>
          <w:b w:val="0"/>
          <w:i w:val="0"/>
          <w:sz w:val="24"/>
        </w:rPr>
        <w:t>Knitter, P. F. (1995). *One earth many religions: Multifaith dialogue and global responsibility*. Maryknoll, NY: Orbis Books.</w:t>
      </w:r>
    </w:p>
    <w:p>
      <w:pPr>
        <w:spacing w:line="360" w:lineRule="auto" w:after="80"/>
        <w:ind w:left="482" w:hanging="482"/>
      </w:pPr>
      <w:r>
        <w:rPr>
          <w:rFonts w:ascii="Times New Roman" w:hAnsi="Times New Roman" w:eastAsia="新細明體"/>
          <w:b w:val="0"/>
          <w:i w:val="0"/>
          <w:sz w:val="24"/>
        </w:rPr>
        <w:t>Koyama, K.（小山晃佑）(1974). *Water buffalo theology*. Maryknoll, NY: Orbis Books.</w:t>
      </w:r>
    </w:p>
    <w:p>
      <w:pPr>
        <w:spacing w:line="360" w:lineRule="auto" w:after="80"/>
        <w:ind w:left="482" w:hanging="482"/>
      </w:pPr>
      <w:r>
        <w:rPr>
          <w:rFonts w:ascii="Times New Roman" w:hAnsi="Times New Roman" w:eastAsia="新細明體"/>
          <w:b w:val="0"/>
          <w:i w:val="0"/>
          <w:sz w:val="24"/>
        </w:rPr>
        <w:t>Lian, X. (2010). *Redeemed by fire: The rise of popular Christianity in modern China*. New Haven: Yale University Press.</w:t>
      </w:r>
    </w:p>
    <w:p>
      <w:pPr>
        <w:spacing w:line="360" w:lineRule="auto" w:after="80"/>
        <w:ind w:left="482" w:hanging="482"/>
      </w:pPr>
      <w:r>
        <w:rPr>
          <w:rFonts w:ascii="Times New Roman" w:hAnsi="Times New Roman" w:eastAsia="新細明體"/>
          <w:b w:val="0"/>
          <w:i w:val="0"/>
          <w:sz w:val="24"/>
        </w:rPr>
        <w:t>Madsen, R. (2007). *Democracy's dharma: Religious renaissance and political development in Taiwan*. Berkeley: University of California Press.</w:t>
      </w:r>
    </w:p>
    <w:p>
      <w:pPr>
        <w:spacing w:line="360" w:lineRule="auto" w:after="80"/>
        <w:ind w:left="482" w:hanging="482"/>
      </w:pPr>
      <w:r>
        <w:rPr>
          <w:rFonts w:ascii="Times New Roman" w:hAnsi="Times New Roman" w:eastAsia="新細明體"/>
          <w:b w:val="0"/>
          <w:i w:val="0"/>
          <w:sz w:val="24"/>
        </w:rPr>
        <w:t>Panikkar, R. (1999). *The intra-religious dialogue* (Rev. ed.). New York: Paulist Press.</w:t>
      </w:r>
    </w:p>
    <w:p>
      <w:pPr>
        <w:spacing w:line="360" w:lineRule="auto" w:after="80"/>
        <w:ind w:left="482" w:hanging="482"/>
      </w:pPr>
      <w:r>
        <w:rPr>
          <w:rFonts w:ascii="Times New Roman" w:hAnsi="Times New Roman" w:eastAsia="新細明體"/>
          <w:b w:val="0"/>
          <w:i w:val="0"/>
          <w:sz w:val="24"/>
        </w:rPr>
        <w:t>Pieris, A. (1988). *An Asian theology of liberation*. Maryknoll, NY: Orbis Books.</w:t>
      </w:r>
    </w:p>
    <w:p>
      <w:pPr>
        <w:spacing w:line="360" w:lineRule="auto" w:after="80"/>
        <w:ind w:left="482" w:hanging="482"/>
      </w:pPr>
      <w:r>
        <w:rPr>
          <w:rFonts w:ascii="Times New Roman" w:hAnsi="Times New Roman" w:eastAsia="新細明體"/>
          <w:b w:val="0"/>
          <w:i w:val="0"/>
          <w:sz w:val="24"/>
        </w:rPr>
        <w:t>Queen, C. S., &amp; King, S. B. (Eds.). (1996). *Engaged Buddhism: Buddhist liberation movements in Asia*. Albany: State University of New York Press.</w:t>
      </w:r>
    </w:p>
    <w:p>
      <w:pPr>
        <w:spacing w:line="360" w:lineRule="auto" w:after="80"/>
        <w:ind w:left="482" w:hanging="482"/>
      </w:pPr>
      <w:r>
        <w:rPr>
          <w:rFonts w:ascii="Times New Roman" w:hAnsi="Times New Roman" w:eastAsia="新細明體"/>
          <w:b w:val="0"/>
          <w:i w:val="0"/>
          <w:sz w:val="24"/>
        </w:rPr>
        <w:t>Rauschenbusch, W. (1917). *A theology for the social gospel*. New York: Macmillan.</w:t>
      </w:r>
    </w:p>
    <w:p>
      <w:pPr>
        <w:spacing w:line="360" w:lineRule="auto" w:after="80"/>
        <w:ind w:left="482" w:hanging="482"/>
      </w:pPr>
      <w:r>
        <w:rPr>
          <w:rFonts w:ascii="Times New Roman" w:hAnsi="Times New Roman" w:eastAsia="新細明體"/>
          <w:b w:val="0"/>
          <w:i w:val="0"/>
          <w:sz w:val="24"/>
        </w:rPr>
        <w:t>Ritzinger, J. R. (2017). *Anarchy in the Pure Land: Tradition and modernity in the movements of Taixu and Yinshun*. Honolulu: University of Hawaii Press.</w:t>
      </w:r>
    </w:p>
    <w:p>
      <w:pPr>
        <w:spacing w:line="360" w:lineRule="auto" w:after="80"/>
        <w:ind w:left="482" w:hanging="482"/>
      </w:pPr>
      <w:r>
        <w:rPr>
          <w:rFonts w:ascii="Times New Roman" w:hAnsi="Times New Roman" w:eastAsia="新細明體"/>
          <w:b w:val="0"/>
          <w:i w:val="0"/>
          <w:sz w:val="24"/>
        </w:rPr>
        <w:t>Shields, J. M. (2017). *Against harmony: Progressive and radical Buddhism in modern Japan*. Oxford: Oxford University Press.</w:t>
      </w:r>
    </w:p>
    <w:p>
      <w:pPr>
        <w:spacing w:line="360" w:lineRule="auto" w:after="80"/>
        <w:ind w:left="482" w:hanging="482"/>
      </w:pPr>
      <w:r>
        <w:rPr>
          <w:rFonts w:ascii="Times New Roman" w:hAnsi="Times New Roman" w:eastAsia="新細明體"/>
          <w:b w:val="0"/>
          <w:i w:val="0"/>
          <w:sz w:val="24"/>
        </w:rPr>
        <w:t>Starr, C. (2016). *Chinese theology: Text and context*. New Haven: Yale University Press.</w:t>
      </w:r>
    </w:p>
    <w:p>
      <w:pPr>
        <w:spacing w:line="360" w:lineRule="auto" w:after="80"/>
        <w:ind w:left="482" w:hanging="482"/>
      </w:pPr>
      <w:r>
        <w:rPr>
          <w:rFonts w:ascii="Times New Roman" w:hAnsi="Times New Roman" w:eastAsia="新細明體"/>
          <w:b w:val="0"/>
          <w:i w:val="0"/>
          <w:sz w:val="24"/>
        </w:rPr>
        <w:t>Xing, J. (1996). *Baptized in the fire of revolution: The American social gospel and the YMCA in China, 1919-1937*. Bethlehem: Lehigh University Press.</w:t>
      </w:r>
    </w:p>
    <w:p>
      <w:pPr>
        <w:spacing w:line="360" w:lineRule="auto" w:after="200" w:before="240"/>
      </w:pPr>
      <w:r>
        <w:rPr>
          <w:rFonts w:ascii="Times New Roman" w:hAnsi="Times New Roman" w:eastAsia="新細明體"/>
          <w:b/>
          <w:i w:val="0"/>
          <w:sz w:val="28"/>
        </w:rPr>
        <w:t>附錄　指導教授十個月指導目標（2026年9月–2027年6月）</w:t>
      </w:r>
    </w:p>
    <w:p>
      <w:pPr>
        <w:spacing w:line="360" w:lineRule="auto" w:after="120"/>
        <w:ind w:firstLine="480"/>
      </w:pPr>
      <w:r>
        <w:rPr>
          <w:rFonts w:ascii="Times New Roman" w:hAnsi="Times New Roman" w:eastAsia="新細明體"/>
          <w:b/>
          <w:i w:val="0"/>
          <w:sz w:val="24"/>
        </w:rPr>
        <w:t>適用</w:t>
      </w:r>
      <w:r>
        <w:rPr>
          <w:rFonts w:ascii="Times New Roman" w:hAnsi="Times New Roman" w:eastAsia="新細明體"/>
          <w:b w:val="0"/>
          <w:i w:val="0"/>
          <w:sz w:val="24"/>
        </w:rPr>
        <w:t>：玄奘大學研究生助學金——研究助學金（依《玄奘大學研究生助學金實施辦法》第五條，研究助學金以十個月為限）</w:t>
      </w:r>
    </w:p>
    <w:p>
      <w:pPr>
        <w:spacing w:line="360" w:lineRule="auto" w:after="120"/>
        <w:ind w:firstLine="480"/>
      </w:pPr>
      <w:r>
        <w:rPr>
          <w:rFonts w:ascii="Times New Roman" w:hAnsi="Times New Roman" w:eastAsia="新細明體"/>
          <w:b/>
          <w:i w:val="0"/>
          <w:sz w:val="24"/>
        </w:rPr>
        <w:t>研究生</w:t>
      </w:r>
      <w:r>
        <w:rPr>
          <w:rFonts w:ascii="Times New Roman" w:hAnsi="Times New Roman" w:eastAsia="新細明體"/>
          <w:b w:val="0"/>
          <w:i w:val="0"/>
          <w:sz w:val="24"/>
        </w:rPr>
        <w:t xml:space="preserve">：張辰瑋　　</w:t>
      </w:r>
      <w:r>
        <w:rPr>
          <w:rFonts w:ascii="Times New Roman" w:hAnsi="Times New Roman" w:eastAsia="新細明體"/>
          <w:b/>
          <w:i w:val="0"/>
          <w:sz w:val="24"/>
        </w:rPr>
        <w:t>系所</w:t>
      </w:r>
      <w:r>
        <w:rPr>
          <w:rFonts w:ascii="Times New Roman" w:hAnsi="Times New Roman" w:eastAsia="新細明體"/>
          <w:b w:val="0"/>
          <w:i w:val="0"/>
          <w:sz w:val="24"/>
        </w:rPr>
        <w:t xml:space="preserve">：宗教與文化學系博士班　　</w:t>
      </w:r>
      <w:r>
        <w:rPr>
          <w:rFonts w:ascii="Times New Roman" w:hAnsi="Times New Roman" w:eastAsia="新細明體"/>
          <w:b/>
          <w:i w:val="0"/>
          <w:sz w:val="24"/>
        </w:rPr>
        <w:t>指導教授</w:t>
      </w:r>
      <w:r>
        <w:rPr>
          <w:rFonts w:ascii="Times New Roman" w:hAnsi="Times New Roman" w:eastAsia="新細明體"/>
          <w:b w:val="0"/>
          <w:i w:val="0"/>
          <w:sz w:val="24"/>
        </w:rPr>
        <w:t>：＿＿＿＿＿＿</w:t>
      </w:r>
    </w:p>
    <w:p>
      <w:pPr>
        <w:spacing w:line="360" w:lineRule="auto" w:after="120"/>
        <w:ind w:firstLine="480"/>
      </w:pPr>
      <w:r>
        <w:rPr>
          <w:rFonts w:ascii="Times New Roman" w:hAnsi="Times New Roman" w:eastAsia="新細明體"/>
          <w:b/>
          <w:i w:val="0"/>
          <w:sz w:val="24"/>
        </w:rPr>
        <w:t>論文題目</w:t>
      </w:r>
      <w:r>
        <w:rPr>
          <w:rFonts w:ascii="Times New Roman" w:hAnsi="Times New Roman" w:eastAsia="新細明體"/>
          <w:b w:val="0"/>
          <w:i w:val="0"/>
          <w:sz w:val="24"/>
        </w:rPr>
        <w:t>：人間性的歷史生成——近代東亞宗教復興與戰後台灣佛教、基督教公共性之比較宗教史研究（1890–2020）</w:t>
      </w:r>
    </w:p>
    <w:p>
      <w:pPr>
        <w:spacing w:line="360" w:lineRule="auto" w:after="200" w:before="160"/>
      </w:pPr>
      <w:r>
        <w:rPr>
          <w:rFonts w:ascii="Times New Roman" w:hAnsi="Times New Roman" w:eastAsia="新細明體"/>
          <w:b/>
          <w:i w:val="0"/>
          <w:sz w:val="26"/>
        </w:rPr>
        <w:t>一、指導原則</w:t>
      </w:r>
    </w:p>
    <w:p>
      <w:pPr>
        <w:spacing w:line="360" w:lineRule="auto" w:after="120"/>
        <w:ind w:firstLine="480"/>
      </w:pPr>
      <w:r>
        <w:rPr>
          <w:rFonts w:ascii="Times New Roman" w:hAnsi="Times New Roman" w:eastAsia="新細明體"/>
          <w:b w:val="0"/>
          <w:i w:val="0"/>
          <w:sz w:val="24"/>
        </w:rPr>
        <w:t>本指導目標依《玄奘大學研究生助學金實施辦法》第六條第二款訂定，遵守下列三項規範：</w:t>
      </w:r>
    </w:p>
    <w:p>
      <w:pPr>
        <w:spacing w:line="360" w:lineRule="auto" w:after="120"/>
        <w:ind w:firstLine="480"/>
      </w:pPr>
      <w:r>
        <w:rPr>
          <w:rFonts w:ascii="Times New Roman" w:hAnsi="Times New Roman" w:eastAsia="新細明體"/>
          <w:b w:val="0"/>
          <w:i w:val="0"/>
          <w:sz w:val="24"/>
        </w:rPr>
        <w:t>其一，</w:t>
      </w:r>
      <w:r>
        <w:rPr>
          <w:rFonts w:ascii="Times New Roman" w:hAnsi="Times New Roman" w:eastAsia="新細明體"/>
          <w:b/>
          <w:i w:val="0"/>
          <w:sz w:val="24"/>
        </w:rPr>
        <w:t>每月與指導教授進行二次以上研究進度討論</w:t>
      </w:r>
      <w:r>
        <w:rPr>
          <w:rFonts w:ascii="Times New Roman" w:hAnsi="Times New Roman" w:eastAsia="新細明體"/>
          <w:b w:val="0"/>
          <w:i w:val="0"/>
          <w:sz w:val="24"/>
        </w:rPr>
        <w:t>，並由系所於次月五日前彙整「研究生論文指導紀錄表」送研發處。實際安排為每月上、下旬各一次個別討論（每次以九十分鐘為原則），必要時增加不定期討論。</w:t>
      </w:r>
    </w:p>
    <w:p>
      <w:pPr>
        <w:spacing w:line="360" w:lineRule="auto" w:after="120"/>
        <w:ind w:firstLine="480"/>
      </w:pPr>
      <w:r>
        <w:rPr>
          <w:rFonts w:ascii="Times New Roman" w:hAnsi="Times New Roman" w:eastAsia="新細明體"/>
          <w:b w:val="0"/>
          <w:i w:val="0"/>
          <w:sz w:val="24"/>
        </w:rPr>
        <w:t>其二，</w:t>
      </w:r>
      <w:r>
        <w:rPr>
          <w:rFonts w:ascii="Times New Roman" w:hAnsi="Times New Roman" w:eastAsia="新細明體"/>
          <w:b/>
          <w:i w:val="0"/>
          <w:sz w:val="24"/>
        </w:rPr>
        <w:t>學期補助結束後繳交論文進度審查表</w:t>
      </w:r>
      <w:r>
        <w:rPr>
          <w:rFonts w:ascii="Times New Roman" w:hAnsi="Times New Roman" w:eastAsia="新細明體"/>
          <w:b w:val="0"/>
          <w:i w:val="0"/>
          <w:sz w:val="24"/>
        </w:rPr>
        <w:t>。本計畫於2027年1月（第一學期）與2027年6月（第二學期）各設一次查核點，屆時檢附該學期完成之文稿與工作紀錄。</w:t>
      </w:r>
    </w:p>
    <w:p>
      <w:pPr>
        <w:spacing w:line="360" w:lineRule="auto" w:after="120"/>
        <w:ind w:firstLine="480"/>
      </w:pPr>
      <w:r>
        <w:rPr>
          <w:rFonts w:ascii="Times New Roman" w:hAnsi="Times New Roman" w:eastAsia="新細明體"/>
          <w:b w:val="0"/>
          <w:i w:val="0"/>
          <w:sz w:val="24"/>
        </w:rPr>
        <w:t>其三，</w:t>
      </w:r>
      <w:r>
        <w:rPr>
          <w:rFonts w:ascii="Times New Roman" w:hAnsi="Times New Roman" w:eastAsia="新細明體"/>
          <w:b/>
          <w:i w:val="0"/>
          <w:sz w:val="24"/>
        </w:rPr>
        <w:t>論文題目未經審查不得自行變更</w:t>
      </w:r>
      <w:r>
        <w:rPr>
          <w:rFonts w:ascii="Times New Roman" w:hAnsi="Times New Roman" w:eastAsia="新細明體"/>
          <w:b w:val="0"/>
          <w:i w:val="0"/>
          <w:sz w:val="24"/>
        </w:rPr>
        <w:t>（同辦法第七條第四款）。若因史料所得而需調整章節安排或副標，先經指導教授同意，並依規定程序送審。</w:t>
      </w:r>
    </w:p>
    <w:p>
      <w:pPr>
        <w:spacing w:line="360" w:lineRule="auto" w:after="200" w:before="160"/>
      </w:pPr>
      <w:r>
        <w:rPr>
          <w:rFonts w:ascii="Times New Roman" w:hAnsi="Times New Roman" w:eastAsia="新細明體"/>
          <w:b/>
          <w:i w:val="0"/>
          <w:sz w:val="26"/>
        </w:rPr>
        <w:t>二、十個月總目標</w:t>
      </w:r>
    </w:p>
    <w:p>
      <w:pPr>
        <w:spacing w:line="360" w:lineRule="auto" w:after="120"/>
        <w:ind w:firstLine="480"/>
      </w:pPr>
      <w:r>
        <w:rPr>
          <w:rFonts w:ascii="Times New Roman" w:hAnsi="Times New Roman" w:eastAsia="新細明體"/>
          <w:b w:val="0"/>
          <w:i w:val="0"/>
          <w:sz w:val="24"/>
        </w:rPr>
        <w:t xml:space="preserve">1. </w:t>
      </w:r>
      <w:r>
        <w:rPr>
          <w:rFonts w:ascii="Times New Roman" w:hAnsi="Times New Roman" w:eastAsia="新細明體"/>
          <w:b/>
          <w:i w:val="0"/>
          <w:sz w:val="24"/>
        </w:rPr>
        <w:t>完成第一章〈近代東亞宗教復興的源頭〉全章初稿</w:t>
      </w:r>
      <w:r>
        <w:rPr>
          <w:rFonts w:ascii="Times New Roman" w:hAnsi="Times New Roman" w:eastAsia="新細明體"/>
          <w:b w:val="0"/>
          <w:i w:val="0"/>
          <w:sz w:val="24"/>
        </w:rPr>
        <w:t>（約四萬字），並投稿一場學術研討會。</w:t>
      </w:r>
    </w:p>
    <w:p>
      <w:pPr>
        <w:spacing w:line="360" w:lineRule="auto" w:after="120"/>
        <w:ind w:firstLine="480"/>
      </w:pPr>
      <w:r>
        <w:rPr>
          <w:rFonts w:ascii="Times New Roman" w:hAnsi="Times New Roman" w:eastAsia="新細明體"/>
          <w:b w:val="0"/>
          <w:i w:val="0"/>
          <w:sz w:val="24"/>
        </w:rPr>
        <w:t xml:space="preserve">2. </w:t>
      </w:r>
      <w:r>
        <w:rPr>
          <w:rFonts w:ascii="Times New Roman" w:hAnsi="Times New Roman" w:eastAsia="新細明體"/>
          <w:b/>
          <w:i w:val="0"/>
          <w:sz w:val="24"/>
        </w:rPr>
        <w:t>建置全論文的史料基礎工程</w:t>
      </w:r>
      <w:r>
        <w:rPr>
          <w:rFonts w:ascii="Times New Roman" w:hAnsi="Times New Roman" w:eastAsia="新細明體"/>
          <w:b w:val="0"/>
          <w:i w:val="0"/>
          <w:sz w:val="24"/>
        </w:rPr>
        <w:t>：兩條系譜八位人物的著作編年目錄、四份教團刊物（《妙心雜誌》、《弘誓雙月刊》、《台灣教會公報》、《神學與教會》）的相關篇目索引，以及六組關鍵詞的概念史語料索引。</w:t>
      </w:r>
    </w:p>
    <w:p>
      <w:pPr>
        <w:spacing w:line="360" w:lineRule="auto" w:after="120"/>
        <w:ind w:firstLine="480"/>
      </w:pPr>
      <w:r>
        <w:rPr>
          <w:rFonts w:ascii="Times New Roman" w:hAnsi="Times New Roman" w:eastAsia="新細明體"/>
          <w:b w:val="0"/>
          <w:i w:val="0"/>
          <w:sz w:val="24"/>
        </w:rPr>
        <w:t xml:space="preserve">3. </w:t>
      </w:r>
      <w:r>
        <w:rPr>
          <w:rFonts w:ascii="Times New Roman" w:hAnsi="Times New Roman" w:eastAsia="新細明體"/>
          <w:b/>
          <w:i w:val="0"/>
          <w:sz w:val="24"/>
        </w:rPr>
        <w:t>完成第二、三章的史料訪查與寫作大綱</w:t>
      </w:r>
      <w:r>
        <w:rPr>
          <w:rFonts w:ascii="Times New Roman" w:hAnsi="Times New Roman" w:eastAsia="新細明體"/>
          <w:b w:val="0"/>
          <w:i w:val="0"/>
          <w:sz w:val="24"/>
        </w:rPr>
        <w:t>，特別是傳道法師（妙心寺一系）與王憲治（台灣鄉土神學）兩條研究薄弱線索的一手材料蒐集。</w:t>
      </w:r>
    </w:p>
    <w:p>
      <w:pPr>
        <w:spacing w:line="360" w:lineRule="auto" w:after="120"/>
        <w:ind w:firstLine="480"/>
      </w:pPr>
      <w:r>
        <w:rPr>
          <w:rFonts w:ascii="Times New Roman" w:hAnsi="Times New Roman" w:eastAsia="新細明體"/>
          <w:b w:val="0"/>
          <w:i w:val="0"/>
          <w:sz w:val="24"/>
        </w:rPr>
        <w:t xml:space="preserve">4. </w:t>
      </w:r>
      <w:r>
        <w:rPr>
          <w:rFonts w:ascii="Times New Roman" w:hAnsi="Times New Roman" w:eastAsia="新細明體"/>
          <w:b/>
          <w:i w:val="0"/>
          <w:sz w:val="24"/>
        </w:rPr>
        <w:t>完成口述歷史的前置作業</w:t>
      </w:r>
      <w:r>
        <w:rPr>
          <w:rFonts w:ascii="Times New Roman" w:hAnsi="Times New Roman" w:eastAsia="新細明體"/>
          <w:b w:val="0"/>
          <w:i w:val="0"/>
          <w:sz w:val="24"/>
        </w:rPr>
        <w:t>：受訪名單、訪綱、學術倫理程序與同意書格式，並開始第一批訪談。</w:t>
      </w:r>
    </w:p>
    <w:p>
      <w:pPr>
        <w:spacing w:line="360" w:lineRule="auto" w:after="200" w:before="160"/>
      </w:pPr>
      <w:r>
        <w:rPr>
          <w:rFonts w:ascii="Times New Roman" w:hAnsi="Times New Roman" w:eastAsia="新細明體"/>
          <w:b/>
          <w:i w:val="0"/>
          <w:sz w:val="26"/>
        </w:rPr>
        <w:t>三、逐月指導目標</w:t>
      </w:r>
    </w:p>
    <w:p>
      <w:pPr>
        <w:spacing w:line="360" w:lineRule="auto" w:after="120"/>
        <w:ind w:firstLine="480"/>
      </w:pPr>
      <w:r>
        <w:rPr>
          <w:rFonts w:ascii="Times New Roman" w:hAnsi="Times New Roman" w:eastAsia="新細明體"/>
          <w:b/>
          <w:i w:val="0"/>
          <w:sz w:val="24"/>
        </w:rPr>
        <w:t>第一個月（2026年9月）　研究架構的確立</w:t>
      </w:r>
    </w:p>
    <w:p>
      <w:pPr>
        <w:spacing w:line="360" w:lineRule="auto" w:after="120"/>
        <w:ind w:firstLine="480"/>
      </w:pPr>
      <w:r>
        <w:rPr>
          <w:rFonts w:ascii="Times New Roman" w:hAnsi="Times New Roman" w:eastAsia="新細明體"/>
          <w:b w:val="0"/>
          <w:i w:val="0"/>
          <w:sz w:val="24"/>
        </w:rPr>
        <w:t>研究生：完成全論文章節架構與時間斷限的最終定案；提出史料清單（依教團、刊物、檔案館分類）；完成東亞比較史二手研究的閱讀清單。</w:t>
      </w:r>
    </w:p>
    <w:p>
      <w:pPr>
        <w:spacing w:line="360" w:lineRule="auto" w:after="120"/>
        <w:ind w:firstLine="480"/>
      </w:pPr>
      <w:r>
        <w:rPr>
          <w:rFonts w:ascii="Times New Roman" w:hAnsi="Times New Roman" w:eastAsia="新細明體"/>
          <w:b w:val="0"/>
          <w:i w:val="0"/>
          <w:sz w:val="24"/>
        </w:rPr>
        <w:t>指導重點：檢視題目與章節是否切合歷史學方法論的要求，確認第五章的理論處理不逾越史學論證的界線。</w:t>
      </w:r>
    </w:p>
    <w:p>
      <w:pPr>
        <w:spacing w:line="360" w:lineRule="auto" w:after="120"/>
        <w:ind w:firstLine="480"/>
      </w:pPr>
      <w:r>
        <w:rPr>
          <w:rFonts w:ascii="Times New Roman" w:hAnsi="Times New Roman" w:eastAsia="新細明體"/>
          <w:b w:val="0"/>
          <w:i w:val="0"/>
          <w:sz w:val="24"/>
        </w:rPr>
        <w:t>產出：〈研究架構定稿說明〉一份、史料清單一份。</w:t>
      </w:r>
    </w:p>
    <w:p>
      <w:pPr>
        <w:spacing w:line="360" w:lineRule="auto" w:after="120"/>
        <w:ind w:firstLine="480"/>
      </w:pPr>
      <w:r>
        <w:rPr>
          <w:rFonts w:ascii="Times New Roman" w:hAnsi="Times New Roman" w:eastAsia="新細明體"/>
          <w:b/>
          <w:i w:val="0"/>
          <w:sz w:val="24"/>
        </w:rPr>
        <w:t>第二個月（2026年10月）　第一章第一節：共同的歷史條件</w:t>
      </w:r>
    </w:p>
    <w:p>
      <w:pPr>
        <w:spacing w:line="360" w:lineRule="auto" w:after="120"/>
        <w:ind w:firstLine="480"/>
      </w:pPr>
      <w:r>
        <w:rPr>
          <w:rFonts w:ascii="Times New Roman" w:hAnsi="Times New Roman" w:eastAsia="新細明體"/>
          <w:b w:val="0"/>
          <w:i w:val="0"/>
          <w:sz w:val="24"/>
        </w:rPr>
        <w:t>研究生：處理近代東亞國家對宗教財產與制度整編的比較材料（日本神佛分離餘波、中國廟產興學、朝鮮總督府宗教政策、台灣總督府寺廟整理），完成第一節初稿。</w:t>
      </w:r>
    </w:p>
    <w:p>
      <w:pPr>
        <w:spacing w:line="360" w:lineRule="auto" w:after="120"/>
        <w:ind w:firstLine="480"/>
      </w:pPr>
      <w:r>
        <w:rPr>
          <w:rFonts w:ascii="Times New Roman" w:hAnsi="Times New Roman" w:eastAsia="新細明體"/>
          <w:b w:val="0"/>
          <w:i w:val="0"/>
          <w:sz w:val="24"/>
        </w:rPr>
        <w:t>指導重點：比較單位的界定是否嚴謹；避免以「危機—回應」模式過度簡化各地差異。</w:t>
      </w:r>
    </w:p>
    <w:p>
      <w:pPr>
        <w:spacing w:line="360" w:lineRule="auto" w:after="120"/>
        <w:ind w:firstLine="480"/>
      </w:pPr>
      <w:r>
        <w:rPr>
          <w:rFonts w:ascii="Times New Roman" w:hAnsi="Times New Roman" w:eastAsia="新細明體"/>
          <w:b w:val="0"/>
          <w:i w:val="0"/>
          <w:sz w:val="24"/>
        </w:rPr>
        <w:t>產出：第一章第一節初稿（約六千字）。</w:t>
      </w:r>
    </w:p>
    <w:p>
      <w:pPr>
        <w:spacing w:line="360" w:lineRule="auto" w:after="120"/>
        <w:ind w:firstLine="480"/>
      </w:pPr>
      <w:r>
        <w:rPr>
          <w:rFonts w:ascii="Times New Roman" w:hAnsi="Times New Roman" w:eastAsia="新細明體"/>
          <w:b/>
          <w:i w:val="0"/>
          <w:sz w:val="24"/>
        </w:rPr>
        <w:t>第三個月（2026年11月）　第一章第二節：日本線</w:t>
      </w:r>
    </w:p>
    <w:p>
      <w:pPr>
        <w:spacing w:line="360" w:lineRule="auto" w:after="120"/>
        <w:ind w:firstLine="480"/>
      </w:pPr>
      <w:r>
        <w:rPr>
          <w:rFonts w:ascii="Times New Roman" w:hAnsi="Times New Roman" w:eastAsia="新細明體"/>
          <w:b w:val="0"/>
          <w:i w:val="0"/>
          <w:sz w:val="24"/>
        </w:rPr>
        <w:t>研究生：處理明治以降佛教改革（清沢満之、新佛教徒運動）、日蓮主義、無教會主義（內村鑑三、矢內原忠雄）、賀川豐彥與新興佛教青年同盟等材料，完成第二節初稿。</w:t>
      </w:r>
    </w:p>
    <w:p>
      <w:pPr>
        <w:spacing w:line="360" w:lineRule="auto" w:after="120"/>
        <w:ind w:firstLine="480"/>
      </w:pPr>
      <w:r>
        <w:rPr>
          <w:rFonts w:ascii="Times New Roman" w:hAnsi="Times New Roman" w:eastAsia="新細明體"/>
          <w:b w:val="0"/>
          <w:i w:val="0"/>
          <w:sz w:val="24"/>
        </w:rPr>
        <w:t>指導重點：說明「宗教的社會化」何以在日本同時開出國家主義與社會主義兩種方向，避免單向度敘述。</w:t>
      </w:r>
    </w:p>
    <w:p>
      <w:pPr>
        <w:spacing w:line="360" w:lineRule="auto" w:after="120"/>
        <w:ind w:firstLine="480"/>
      </w:pPr>
      <w:r>
        <w:rPr>
          <w:rFonts w:ascii="Times New Roman" w:hAnsi="Times New Roman" w:eastAsia="新細明體"/>
          <w:b w:val="0"/>
          <w:i w:val="0"/>
          <w:sz w:val="24"/>
        </w:rPr>
        <w:t>產出：第一章第二節初稿（約八千字）。</w:t>
      </w:r>
    </w:p>
    <w:p>
      <w:pPr>
        <w:spacing w:line="360" w:lineRule="auto" w:after="120"/>
        <w:ind w:firstLine="480"/>
      </w:pPr>
      <w:r>
        <w:rPr>
          <w:rFonts w:ascii="Times New Roman" w:hAnsi="Times New Roman" w:eastAsia="新細明體"/>
          <w:b/>
          <w:i w:val="0"/>
          <w:sz w:val="24"/>
        </w:rPr>
        <w:t>第四個月（2026年12月）　第一章第三、四節：中國線與朝鮮線</w:t>
      </w:r>
    </w:p>
    <w:p>
      <w:pPr>
        <w:spacing w:line="360" w:lineRule="auto" w:after="120"/>
        <w:ind w:firstLine="480"/>
      </w:pPr>
      <w:r>
        <w:rPr>
          <w:rFonts w:ascii="Times New Roman" w:hAnsi="Times New Roman" w:eastAsia="新細明體"/>
          <w:b w:val="0"/>
          <w:i w:val="0"/>
          <w:sz w:val="24"/>
        </w:rPr>
        <w:t>研究生：處理太虛三大革命與人生佛教、吳耀宗與青年會系統的社會福音；三一運動的跨宗教結盟與韓龍雲的佛教維新論；完成兩節初稿。</w:t>
      </w:r>
    </w:p>
    <w:p>
      <w:pPr>
        <w:spacing w:line="360" w:lineRule="auto" w:after="120"/>
        <w:ind w:firstLine="480"/>
      </w:pPr>
      <w:r>
        <w:rPr>
          <w:rFonts w:ascii="Times New Roman" w:hAnsi="Times New Roman" w:eastAsia="新細明體"/>
          <w:b w:val="0"/>
          <w:i w:val="0"/>
          <w:sz w:val="24"/>
        </w:rPr>
        <w:t>指導重點：中國線材料須與第二章的太虛部分明確分工，避免重複；朝鮮線的二手研究依賴度較高，須在行文中誠實標示。</w:t>
      </w:r>
    </w:p>
    <w:p>
      <w:pPr>
        <w:spacing w:line="360" w:lineRule="auto" w:after="120"/>
        <w:ind w:firstLine="480"/>
      </w:pPr>
      <w:r>
        <w:rPr>
          <w:rFonts w:ascii="Times New Roman" w:hAnsi="Times New Roman" w:eastAsia="新細明體"/>
          <w:b w:val="0"/>
          <w:i w:val="0"/>
          <w:sz w:val="24"/>
        </w:rPr>
        <w:t>產出：第一章第三、四節初稿（約一萬字）。</w:t>
      </w:r>
    </w:p>
    <w:p>
      <w:pPr>
        <w:spacing w:line="360" w:lineRule="auto" w:after="120"/>
        <w:ind w:firstLine="480"/>
      </w:pPr>
      <w:r>
        <w:rPr>
          <w:rFonts w:ascii="Times New Roman" w:hAnsi="Times New Roman" w:eastAsia="新細明體"/>
          <w:b/>
          <w:i w:val="0"/>
          <w:sz w:val="24"/>
        </w:rPr>
        <w:t>第五個月（2027年1月）　第一章第五、六節：台灣線與比較歸納｜第一學期查核點</w:t>
      </w:r>
    </w:p>
    <w:p>
      <w:pPr>
        <w:spacing w:line="360" w:lineRule="auto" w:after="120"/>
        <w:ind w:firstLine="480"/>
      </w:pPr>
      <w:r>
        <w:rPr>
          <w:rFonts w:ascii="Times New Roman" w:hAnsi="Times New Roman" w:eastAsia="新細明體"/>
          <w:b w:val="0"/>
          <w:i w:val="0"/>
          <w:sz w:val="24"/>
        </w:rPr>
        <w:t>研究生：處理台灣文化協會的宗教面向、林秋梧的社會主義佛教論述、南瀛佛教會體制、長老教會自立運動；完成第五節初稿與第六節比較歸納。</w:t>
      </w:r>
    </w:p>
    <w:p>
      <w:pPr>
        <w:spacing w:line="360" w:lineRule="auto" w:after="120"/>
        <w:ind w:firstLine="480"/>
      </w:pPr>
      <w:r>
        <w:rPr>
          <w:rFonts w:ascii="Times New Roman" w:hAnsi="Times New Roman" w:eastAsia="新細明體"/>
          <w:b w:val="0"/>
          <w:i w:val="0"/>
          <w:sz w:val="24"/>
        </w:rPr>
        <w:t>指導重點：檢驗第六節所提三項共同條件與兩項差異變項，是否確實由前五節的材料支撐，而非後設加上。</w:t>
      </w:r>
    </w:p>
    <w:p>
      <w:pPr>
        <w:spacing w:line="360" w:lineRule="auto" w:after="120"/>
        <w:ind w:firstLine="480"/>
      </w:pPr>
      <w:r>
        <w:rPr>
          <w:rFonts w:ascii="Times New Roman" w:hAnsi="Times New Roman" w:eastAsia="新細明體"/>
          <w:b w:val="0"/>
          <w:i w:val="0"/>
          <w:sz w:val="24"/>
        </w:rPr>
        <w:t>產出：第一章第五、六節初稿；</w:t>
      </w:r>
      <w:r>
        <w:rPr>
          <w:rFonts w:ascii="Times New Roman" w:hAnsi="Times New Roman" w:eastAsia="新細明體"/>
          <w:b/>
          <w:i w:val="0"/>
          <w:sz w:val="24"/>
        </w:rPr>
        <w:t>第一學期論文進度審查表</w:t>
      </w:r>
      <w:r>
        <w:rPr>
          <w:rFonts w:ascii="Times New Roman" w:hAnsi="Times New Roman" w:eastAsia="新細明體"/>
          <w:b w:val="0"/>
          <w:i w:val="0"/>
          <w:sz w:val="24"/>
        </w:rPr>
        <w:t>。</w:t>
      </w:r>
    </w:p>
    <w:p>
      <w:pPr>
        <w:spacing w:line="360" w:lineRule="auto" w:after="120"/>
        <w:ind w:firstLine="480"/>
      </w:pPr>
      <w:r>
        <w:rPr>
          <w:rFonts w:ascii="Times New Roman" w:hAnsi="Times New Roman" w:eastAsia="新細明體"/>
          <w:b/>
          <w:i w:val="0"/>
          <w:sz w:val="24"/>
        </w:rPr>
        <w:t>第六個月（2027年2月）　第一章修訂與概念史索引</w:t>
      </w:r>
    </w:p>
    <w:p>
      <w:pPr>
        <w:spacing w:line="360" w:lineRule="auto" w:after="120"/>
        <w:ind w:firstLine="480"/>
      </w:pPr>
      <w:r>
        <w:rPr>
          <w:rFonts w:ascii="Times New Roman" w:hAnsi="Times New Roman" w:eastAsia="新細明體"/>
          <w:b w:val="0"/>
          <w:i w:val="0"/>
          <w:sz w:val="24"/>
        </w:rPr>
        <w:t>研究生：依指導意見修訂第一章全章；建置六組關鍵詞（人生佛教／人間佛教／此時此地此人／本色化／實況化／鄉土／出頭天）的出處編年索引。</w:t>
      </w:r>
    </w:p>
    <w:p>
      <w:pPr>
        <w:spacing w:line="360" w:lineRule="auto" w:after="120"/>
        <w:ind w:firstLine="480"/>
      </w:pPr>
      <w:r>
        <w:rPr>
          <w:rFonts w:ascii="Times New Roman" w:hAnsi="Times New Roman" w:eastAsia="新細明體"/>
          <w:b w:val="0"/>
          <w:i w:val="0"/>
          <w:sz w:val="24"/>
        </w:rPr>
        <w:t>指導重點：概念史索引的判準是否一致；引文的年代標註是否可回溯至最早出處。</w:t>
      </w:r>
    </w:p>
    <w:p>
      <w:pPr>
        <w:spacing w:line="360" w:lineRule="auto" w:after="120"/>
        <w:ind w:firstLine="480"/>
      </w:pPr>
      <w:r>
        <w:rPr>
          <w:rFonts w:ascii="Times New Roman" w:hAnsi="Times New Roman" w:eastAsia="新細明體"/>
          <w:b w:val="0"/>
          <w:i w:val="0"/>
          <w:sz w:val="24"/>
        </w:rPr>
        <w:t>產出：第一章修訂稿（約四萬字）；關鍵詞索引一份。</w:t>
      </w:r>
    </w:p>
    <w:p>
      <w:pPr>
        <w:spacing w:line="360" w:lineRule="auto" w:after="120"/>
        <w:ind w:firstLine="480"/>
      </w:pPr>
      <w:r>
        <w:rPr>
          <w:rFonts w:ascii="Times New Roman" w:hAnsi="Times New Roman" w:eastAsia="新細明體"/>
          <w:b/>
          <w:i w:val="0"/>
          <w:sz w:val="24"/>
        </w:rPr>
        <w:t>第七個月（2027年3月）　第二章史料處理：太虛與印順</w:t>
      </w:r>
    </w:p>
    <w:p>
      <w:pPr>
        <w:spacing w:line="360" w:lineRule="auto" w:after="120"/>
        <w:ind w:firstLine="480"/>
      </w:pPr>
      <w:r>
        <w:rPr>
          <w:rFonts w:ascii="Times New Roman" w:hAnsi="Times New Roman" w:eastAsia="新細明體"/>
          <w:b w:val="0"/>
          <w:i w:val="0"/>
          <w:sz w:val="24"/>
        </w:rPr>
        <w:t>研究生：處理《太虛大師全書》與印順教史著作的相關卷帙，完成第二章第一、二節的材料整理與論證大綱。</w:t>
      </w:r>
    </w:p>
    <w:p>
      <w:pPr>
        <w:spacing w:line="360" w:lineRule="auto" w:after="120"/>
        <w:ind w:firstLine="480"/>
      </w:pPr>
      <w:r>
        <w:rPr>
          <w:rFonts w:ascii="Times New Roman" w:hAnsi="Times New Roman" w:eastAsia="新細明體"/>
          <w:b w:val="0"/>
          <w:i w:val="0"/>
          <w:sz w:val="24"/>
        </w:rPr>
        <w:t>指導重點：處理印順教史重詮時，須區分「印順自己的論證」與「後人對印順的詮釋」，避免以研究文獻代替原典。</w:t>
      </w:r>
    </w:p>
    <w:p>
      <w:pPr>
        <w:spacing w:line="360" w:lineRule="auto" w:after="120"/>
        <w:ind w:firstLine="480"/>
      </w:pPr>
      <w:r>
        <w:rPr>
          <w:rFonts w:ascii="Times New Roman" w:hAnsi="Times New Roman" w:eastAsia="新細明體"/>
          <w:b w:val="0"/>
          <w:i w:val="0"/>
          <w:sz w:val="24"/>
        </w:rPr>
        <w:t>產出：第二章第一、二節寫作大綱與引文長編。</w:t>
      </w:r>
    </w:p>
    <w:p>
      <w:pPr>
        <w:spacing w:line="360" w:lineRule="auto" w:after="120"/>
        <w:ind w:firstLine="480"/>
      </w:pPr>
      <w:r>
        <w:rPr>
          <w:rFonts w:ascii="Times New Roman" w:hAnsi="Times New Roman" w:eastAsia="新細明體"/>
          <w:b/>
          <w:i w:val="0"/>
          <w:sz w:val="24"/>
        </w:rPr>
        <w:t>第八個月（2027年4月）　第二章第三節：傳道與妙心寺</w:t>
      </w:r>
    </w:p>
    <w:p>
      <w:pPr>
        <w:spacing w:line="360" w:lineRule="auto" w:after="120"/>
        <w:ind w:firstLine="480"/>
      </w:pPr>
      <w:r>
        <w:rPr>
          <w:rFonts w:ascii="Times New Roman" w:hAnsi="Times New Roman" w:eastAsia="新細明體"/>
          <w:b w:val="0"/>
          <w:i w:val="0"/>
          <w:sz w:val="24"/>
        </w:rPr>
        <w:t>研究生：赴台南妙心寺與中華佛教百科文獻基金會訪查；完成《妙心雜誌》相關篇目索引；整理傳道法師著述與訪談錄材料；完成第三節初稿。</w:t>
      </w:r>
    </w:p>
    <w:p>
      <w:pPr>
        <w:spacing w:line="360" w:lineRule="auto" w:after="120"/>
        <w:ind w:firstLine="480"/>
      </w:pPr>
      <w:r>
        <w:rPr>
          <w:rFonts w:ascii="Times New Roman" w:hAnsi="Times New Roman" w:eastAsia="新細明體"/>
          <w:b w:val="0"/>
          <w:i w:val="0"/>
          <w:sz w:val="24"/>
        </w:rPr>
        <w:t>指導重點：這是本研究補白的重點之一，須留意一手材料的取得程序與引用授權；台語弘法的宗教史意義應以材料說明，不宜逕作評價。</w:t>
      </w:r>
    </w:p>
    <w:p>
      <w:pPr>
        <w:spacing w:line="360" w:lineRule="auto" w:after="120"/>
        <w:ind w:firstLine="480"/>
      </w:pPr>
      <w:r>
        <w:rPr>
          <w:rFonts w:ascii="Times New Roman" w:hAnsi="Times New Roman" w:eastAsia="新細明體"/>
          <w:b w:val="0"/>
          <w:i w:val="0"/>
          <w:sz w:val="24"/>
        </w:rPr>
        <w:t>產出：第二章第三節初稿（約八千字）；《妙心雜誌》篇目索引。</w:t>
      </w:r>
    </w:p>
    <w:p>
      <w:pPr>
        <w:spacing w:line="360" w:lineRule="auto" w:after="120"/>
        <w:ind w:firstLine="480"/>
      </w:pPr>
      <w:r>
        <w:rPr>
          <w:rFonts w:ascii="Times New Roman" w:hAnsi="Times New Roman" w:eastAsia="新細明體"/>
          <w:b/>
          <w:i w:val="0"/>
          <w:sz w:val="24"/>
        </w:rPr>
        <w:t>第九個月（2027年5月）　第三章史料訪查：南神一線</w:t>
      </w:r>
    </w:p>
    <w:p>
      <w:pPr>
        <w:spacing w:line="360" w:lineRule="auto" w:after="120"/>
        <w:ind w:firstLine="480"/>
      </w:pPr>
      <w:r>
        <w:rPr>
          <w:rFonts w:ascii="Times New Roman" w:hAnsi="Times New Roman" w:eastAsia="新細明體"/>
          <w:b w:val="0"/>
          <w:i w:val="0"/>
          <w:sz w:val="24"/>
        </w:rPr>
        <w:t>研究生：赴台南神學院、台灣教會公報社訪查；蒐集黃彰輝 WCC 時期文獻、宋泉盛著作編年、王憲治《台灣鄉土神學論文集》及其南神時期論述與遺稿線索、黃伯和自1990年代以來的著作系列；完成第三章寫作大綱。</w:t>
      </w:r>
    </w:p>
    <w:p>
      <w:pPr>
        <w:spacing w:line="360" w:lineRule="auto" w:after="120"/>
        <w:ind w:firstLine="480"/>
      </w:pPr>
      <w:r>
        <w:rPr>
          <w:rFonts w:ascii="Times New Roman" w:hAnsi="Times New Roman" w:eastAsia="新細明體"/>
          <w:b w:val="0"/>
          <w:i w:val="0"/>
          <w:sz w:val="24"/>
        </w:rPr>
        <w:t>指導重點：王憲治材料稀少，須確認可及範圍並及早規劃替代材料（如同期南神刊物、學生筆記、追思文集）。</w:t>
      </w:r>
    </w:p>
    <w:p>
      <w:pPr>
        <w:spacing w:line="360" w:lineRule="auto" w:after="120"/>
        <w:ind w:firstLine="480"/>
      </w:pPr>
      <w:r>
        <w:rPr>
          <w:rFonts w:ascii="Times New Roman" w:hAnsi="Times New Roman" w:eastAsia="新細明體"/>
          <w:b w:val="0"/>
          <w:i w:val="0"/>
          <w:sz w:val="24"/>
        </w:rPr>
        <w:t>產出：第三章寫作大綱與引文長編；基督教一線史料清單。</w:t>
      </w:r>
    </w:p>
    <w:p>
      <w:pPr>
        <w:spacing w:line="360" w:lineRule="auto" w:after="120"/>
        <w:ind w:firstLine="480"/>
      </w:pPr>
      <w:r>
        <w:rPr>
          <w:rFonts w:ascii="Times New Roman" w:hAnsi="Times New Roman" w:eastAsia="新細明體"/>
          <w:b/>
          <w:i w:val="0"/>
          <w:sz w:val="24"/>
        </w:rPr>
        <w:t>第十個月（2027年6月）　第一章定稿、口述訪談啟動｜第二學期查核點</w:t>
      </w:r>
    </w:p>
    <w:p>
      <w:pPr>
        <w:spacing w:line="360" w:lineRule="auto" w:after="120"/>
        <w:ind w:firstLine="480"/>
      </w:pPr>
      <w:r>
        <w:rPr>
          <w:rFonts w:ascii="Times New Roman" w:hAnsi="Times New Roman" w:eastAsia="新細明體"/>
          <w:b w:val="0"/>
          <w:i w:val="0"/>
          <w:sz w:val="24"/>
        </w:rPr>
        <w:t>研究生：第一章定稿並投稿學術研討會；完成口述歷史受訪名單、訪綱與學術倫理程序，進行第一批訪談（至少三場）；提出第二年工作計畫。</w:t>
      </w:r>
    </w:p>
    <w:p>
      <w:pPr>
        <w:spacing w:line="360" w:lineRule="auto" w:after="120"/>
        <w:ind w:firstLine="480"/>
      </w:pPr>
      <w:r>
        <w:rPr>
          <w:rFonts w:ascii="Times New Roman" w:hAnsi="Times New Roman" w:eastAsia="新細明體"/>
          <w:b w:val="0"/>
          <w:i w:val="0"/>
          <w:sz w:val="24"/>
        </w:rPr>
        <w:t>指導重點：訪談對象的代表性與訪綱的中立性；確認第二年進度與學位考試時程的銜接。</w:t>
      </w:r>
    </w:p>
    <w:p>
      <w:pPr>
        <w:spacing w:line="360" w:lineRule="auto" w:after="120"/>
        <w:ind w:firstLine="480"/>
      </w:pPr>
      <w:r>
        <w:rPr>
          <w:rFonts w:ascii="Times New Roman" w:hAnsi="Times New Roman" w:eastAsia="新細明體"/>
          <w:b w:val="0"/>
          <w:i w:val="0"/>
          <w:sz w:val="24"/>
        </w:rPr>
        <w:t>產出：第一章定稿與投稿紀錄；訪談逐字稿三份；第二年工作計畫；</w:t>
      </w:r>
      <w:r>
        <w:rPr>
          <w:rFonts w:ascii="Times New Roman" w:hAnsi="Times New Roman" w:eastAsia="新細明體"/>
          <w:b/>
          <w:i w:val="0"/>
          <w:sz w:val="24"/>
        </w:rPr>
        <w:t>第二學期論文進度審查表</w:t>
      </w:r>
      <w:r>
        <w:rPr>
          <w:rFonts w:ascii="Times New Roman" w:hAnsi="Times New Roman" w:eastAsia="新細明體"/>
          <w:b w:val="0"/>
          <w:i w:val="0"/>
          <w:sz w:val="24"/>
        </w:rPr>
        <w:t>。</w:t>
      </w:r>
    </w:p>
    <w:p>
      <w:pPr>
        <w:spacing w:line="360" w:lineRule="auto" w:after="200" w:before="160"/>
      </w:pPr>
      <w:r>
        <w:rPr>
          <w:rFonts w:ascii="Times New Roman" w:hAnsi="Times New Roman" w:eastAsia="新細明體"/>
          <w:b/>
          <w:i w:val="0"/>
          <w:sz w:val="26"/>
        </w:rPr>
        <w:t>四、指導方式與紀錄</w:t>
      </w:r>
    </w:p>
    <w:p>
      <w:pPr>
        <w:spacing w:line="360" w:lineRule="auto" w:after="120"/>
        <w:ind w:firstLine="480"/>
      </w:pPr>
      <w:r>
        <w:rPr>
          <w:rFonts w:ascii="Times New Roman" w:hAnsi="Times New Roman" w:eastAsia="新細明體"/>
          <w:b/>
          <w:i w:val="0"/>
          <w:sz w:val="24"/>
        </w:rPr>
        <w:t>討論頻率</w:t>
      </w:r>
      <w:r>
        <w:rPr>
          <w:rFonts w:ascii="Times New Roman" w:hAnsi="Times New Roman" w:eastAsia="新細明體"/>
          <w:b w:val="0"/>
          <w:i w:val="0"/>
          <w:sz w:val="24"/>
        </w:rPr>
        <w:t>：每月二次以上（上旬、下旬各一次為原則），形式為個別面談，必要時輔以線上會議。</w:t>
      </w:r>
    </w:p>
    <w:p>
      <w:pPr>
        <w:spacing w:line="360" w:lineRule="auto" w:after="120"/>
        <w:ind w:firstLine="480"/>
      </w:pPr>
      <w:r>
        <w:rPr>
          <w:rFonts w:ascii="Times New Roman" w:hAnsi="Times New Roman" w:eastAsia="新細明體"/>
          <w:b/>
          <w:i w:val="0"/>
          <w:sz w:val="24"/>
        </w:rPr>
        <w:t>紀錄方式</w:t>
      </w:r>
      <w:r>
        <w:rPr>
          <w:rFonts w:ascii="Times New Roman" w:hAnsi="Times New Roman" w:eastAsia="新細明體"/>
          <w:b w:val="0"/>
          <w:i w:val="0"/>
          <w:sz w:val="24"/>
        </w:rPr>
        <w:t>：每次討論後由研究生當日填寫「研究生論文指導紀錄表」，記載討論主題、指導意見與下次工作項目，經指導教授簽核後，由系所於次月五日前彙整送研發處。</w:t>
      </w:r>
    </w:p>
    <w:p>
      <w:pPr>
        <w:spacing w:line="360" w:lineRule="auto" w:after="120"/>
        <w:ind w:firstLine="480"/>
      </w:pPr>
      <w:r>
        <w:rPr>
          <w:rFonts w:ascii="Times New Roman" w:hAnsi="Times New Roman" w:eastAsia="新細明體"/>
          <w:b/>
          <w:i w:val="0"/>
          <w:sz w:val="24"/>
        </w:rPr>
        <w:t>進度管控</w:t>
      </w:r>
      <w:r>
        <w:rPr>
          <w:rFonts w:ascii="Times New Roman" w:hAnsi="Times New Roman" w:eastAsia="新細明體"/>
          <w:b w:val="0"/>
          <w:i w:val="0"/>
          <w:sz w:val="24"/>
        </w:rPr>
        <w:t>：每月末提交當月產出文件（初稿、索引、長編或訪談稿）；未達成之項目於次月列為優先工作並記錄原因。</w:t>
      </w:r>
    </w:p>
    <w:p>
      <w:pPr>
        <w:spacing w:line="360" w:lineRule="auto" w:after="120"/>
        <w:ind w:firstLine="480"/>
      </w:pPr>
      <w:r>
        <w:rPr>
          <w:rFonts w:ascii="Times New Roman" w:hAnsi="Times New Roman" w:eastAsia="新細明體"/>
          <w:b/>
          <w:i w:val="0"/>
          <w:sz w:val="24"/>
        </w:rPr>
        <w:t>查核點</w:t>
      </w:r>
      <w:r>
        <w:rPr>
          <w:rFonts w:ascii="Times New Roman" w:hAnsi="Times New Roman" w:eastAsia="新細明體"/>
          <w:b w:val="0"/>
          <w:i w:val="0"/>
          <w:sz w:val="24"/>
        </w:rPr>
        <w:t>：2027年1月、2027年6月各繳交一次論文進度審查表，並附該學期完成之文稿。</w:t>
      </w:r>
    </w:p>
    <w:p>
      <w:pPr>
        <w:spacing w:line="360" w:lineRule="auto" w:after="200" w:before="160"/>
      </w:pPr>
      <w:r>
        <w:rPr>
          <w:rFonts w:ascii="Times New Roman" w:hAnsi="Times New Roman" w:eastAsia="新細明體"/>
          <w:b/>
          <w:i w:val="0"/>
          <w:sz w:val="26"/>
        </w:rPr>
        <w:t>五、預期十個月後的具體成果</w:t>
      </w:r>
    </w:p>
    <w:p>
      <w:pPr>
        <w:spacing w:line="360" w:lineRule="auto" w:after="120"/>
        <w:ind w:firstLine="480"/>
      </w:pPr>
      <w:r>
        <w:rPr>
          <w:rFonts w:ascii="Times New Roman" w:hAnsi="Times New Roman" w:eastAsia="新細明體"/>
          <w:b w:val="0"/>
          <w:i w:val="0"/>
          <w:sz w:val="24"/>
        </w:rPr>
        <w:t>1. 第一章〈近代東亞宗教復興的源頭〉定稿（約四萬字），並完成一場學術研討會發表。</w:t>
      </w:r>
    </w:p>
    <w:p>
      <w:pPr>
        <w:spacing w:line="360" w:lineRule="auto" w:after="120"/>
        <w:ind w:firstLine="480"/>
      </w:pPr>
      <w:r>
        <w:rPr>
          <w:rFonts w:ascii="Times New Roman" w:hAnsi="Times New Roman" w:eastAsia="新細明體"/>
          <w:b w:val="0"/>
          <w:i w:val="0"/>
          <w:sz w:val="24"/>
        </w:rPr>
        <w:t>2. 第二章第三節〈傳道：落地者〉初稿（約八千字）——本研究補白重點之一。</w:t>
      </w:r>
    </w:p>
    <w:p>
      <w:pPr>
        <w:spacing w:line="360" w:lineRule="auto" w:after="120"/>
        <w:ind w:firstLine="480"/>
      </w:pPr>
      <w:r>
        <w:rPr>
          <w:rFonts w:ascii="Times New Roman" w:hAnsi="Times New Roman" w:eastAsia="新細明體"/>
          <w:b w:val="0"/>
          <w:i w:val="0"/>
          <w:sz w:val="24"/>
        </w:rPr>
        <w:t>3. 第二、三章完整寫作大綱與引文長編。</w:t>
      </w:r>
    </w:p>
    <w:p>
      <w:pPr>
        <w:spacing w:line="360" w:lineRule="auto" w:after="120"/>
        <w:ind w:firstLine="480"/>
      </w:pPr>
      <w:r>
        <w:rPr>
          <w:rFonts w:ascii="Times New Roman" w:hAnsi="Times New Roman" w:eastAsia="新細明體"/>
          <w:b w:val="0"/>
          <w:i w:val="0"/>
          <w:sz w:val="24"/>
        </w:rPr>
        <w:t>4. 八位人物的著作編年目錄、四份教團刊物的篇目索引、六組關鍵詞的概念史索引。</w:t>
      </w:r>
    </w:p>
    <w:p>
      <w:pPr>
        <w:spacing w:line="360" w:lineRule="auto" w:after="120"/>
        <w:ind w:firstLine="480"/>
      </w:pPr>
      <w:r>
        <w:rPr>
          <w:rFonts w:ascii="Times New Roman" w:hAnsi="Times New Roman" w:eastAsia="新細明體"/>
          <w:b w:val="0"/>
          <w:i w:val="0"/>
          <w:sz w:val="24"/>
        </w:rPr>
        <w:t>5. 口述歷史訪談三場以上之逐字稿，及後續訪談名單與訪綱。</w:t>
      </w:r>
    </w:p>
    <w:p>
      <w:pPr>
        <w:spacing w:line="360" w:lineRule="auto" w:after="120"/>
        <w:ind w:firstLine="480"/>
      </w:pPr>
      <w:r>
        <w:rPr>
          <w:rFonts w:ascii="Times New Roman" w:hAnsi="Times New Roman" w:eastAsia="新細明體"/>
          <w:b w:val="0"/>
          <w:i w:val="0"/>
          <w:sz w:val="24"/>
        </w:rPr>
        <w:t>6. 兩份論文進度審查表與十個月份的論文指導紀錄表。</w:t>
      </w:r>
    </w:p>
    <w:p>
      <w:pPr>
        <w:spacing w:line="360" w:lineRule="auto" w:after="120"/>
        <w:ind w:firstLine="480"/>
      </w:pPr>
      <w:r>
        <w:rPr>
          <w:rFonts w:ascii="Times New Roman" w:hAnsi="Times New Roman" w:eastAsia="新細明體"/>
          <w:b w:val="0"/>
          <w:i w:val="0"/>
          <w:sz w:val="24"/>
        </w:rPr>
        <w:t>指導教授簽名：＿＿＿＿＿＿＿＿＿　　日期：＿＿＿＿＿＿</w:t>
      </w:r>
    </w:p>
    <w:p>
      <w:pPr>
        <w:spacing w:line="360" w:lineRule="auto" w:after="120"/>
        <w:ind w:firstLine="480"/>
      </w:pPr>
      <w:r>
        <w:rPr>
          <w:rFonts w:ascii="Times New Roman" w:hAnsi="Times New Roman" w:eastAsia="新細明體"/>
          <w:b w:val="0"/>
          <w:i w:val="0"/>
          <w:sz w:val="24"/>
        </w:rPr>
        <w:t>研究生簽名：＿＿＿＿＿＿＿＿＿　　日期：＿＿＿＿＿＿</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