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20"/>
        <w:jc w:val="center"/>
      </w:pPr>
      <w:r>
        <w:rPr>
          <w:rFonts w:ascii="Times New Roman" w:hAnsi="Times New Roman" w:eastAsia="新細明體"/>
          <w:b w:val="0"/>
          <w:i w:val="0"/>
          <w:sz w:val="24"/>
        </w:rPr>
        <w:t>玄奘大學社會科學院宗教與文化學系</w:t>
      </w:r>
    </w:p>
    <w:p>
      <w:pPr>
        <w:spacing w:line="360" w:lineRule="auto" w:after="120"/>
        <w:jc w:val="center"/>
      </w:pPr>
      <w:r>
        <w:rPr>
          <w:rFonts w:ascii="Times New Roman" w:hAnsi="Times New Roman" w:eastAsia="新細明體"/>
          <w:b w:val="0"/>
          <w:i w:val="0"/>
          <w:sz w:val="24"/>
        </w:rPr>
        <w:t>博士論文研究計畫</w:t>
      </w:r>
    </w:p>
    <w:p>
      <w:pPr>
        <w:spacing w:line="360" w:lineRule="auto" w:after="120"/>
        <w:jc w:val="center"/>
      </w:pPr>
      <w:r>
        <w:rPr>
          <w:rFonts w:ascii="Times New Roman" w:hAnsi="Times New Roman" w:eastAsia="新細明體"/>
          <w:b w:val="0"/>
          <w:i w:val="0"/>
          <w:sz w:val="24"/>
        </w:rPr>
        <w:t>Department of Religion and Culture</w:t>
      </w:r>
    </w:p>
    <w:p>
      <w:pPr>
        <w:spacing w:line="360" w:lineRule="auto" w:after="120"/>
        <w:jc w:val="center"/>
      </w:pPr>
      <w:r>
        <w:rPr>
          <w:rFonts w:ascii="Times New Roman" w:hAnsi="Times New Roman" w:eastAsia="新細明體"/>
          <w:b w:val="0"/>
          <w:i w:val="0"/>
          <w:sz w:val="24"/>
        </w:rPr>
        <w:t>College of Social Sciences</w:t>
      </w:r>
    </w:p>
    <w:p>
      <w:pPr>
        <w:spacing w:line="360" w:lineRule="auto" w:after="120"/>
        <w:jc w:val="center"/>
      </w:pPr>
      <w:r>
        <w:rPr>
          <w:rFonts w:ascii="Times New Roman" w:hAnsi="Times New Roman" w:eastAsia="新細明體"/>
          <w:b w:val="0"/>
          <w:i w:val="0"/>
          <w:sz w:val="24"/>
        </w:rPr>
        <w:t>Hsuan Chuang University</w:t>
      </w:r>
    </w:p>
    <w:p>
      <w:pPr>
        <w:spacing w:line="360" w:lineRule="auto" w:after="120"/>
        <w:jc w:val="center"/>
      </w:pPr>
      <w:r>
        <w:rPr>
          <w:rFonts w:ascii="Times New Roman" w:hAnsi="Times New Roman" w:eastAsia="新細明體"/>
          <w:b w:val="0"/>
          <w:i w:val="0"/>
          <w:sz w:val="24"/>
        </w:rPr>
        <w:t>Ph.D. Dissertation Research Proposal</w:t>
      </w:r>
    </w:p>
    <w:p>
      <w:pPr>
        <w:pageBreakBefore w:val="0"/>
        <w:spacing w:line="360" w:lineRule="auto" w:after="200" w:before="240"/>
        <w:jc w:val="center"/>
      </w:pPr>
      <w:r>
        <w:rPr>
          <w:rFonts w:ascii="Times New Roman" w:hAnsi="Times New Roman" w:eastAsia="新細明體"/>
          <w:b/>
          <w:i w:val="0"/>
          <w:sz w:val="36"/>
        </w:rPr>
        <w:t>從彼岸向此岸的轉向</w:t>
      </w:r>
    </w:p>
    <w:p>
      <w:pPr>
        <w:pageBreakBefore w:val="0"/>
        <w:spacing w:line="360" w:lineRule="auto" w:after="200" w:before="240"/>
        <w:jc w:val="center"/>
      </w:pPr>
      <w:r>
        <w:rPr>
          <w:rFonts w:ascii="Times New Roman" w:hAnsi="Times New Roman" w:eastAsia="新細明體"/>
          <w:b/>
          <w:i w:val="0"/>
          <w:sz w:val="28"/>
        </w:rPr>
        <w:t>台灣佛教與基督教公共性之宗教史比較研究（1920年代–2020年代）</w:t>
      </w:r>
    </w:p>
    <w:p>
      <w:pPr>
        <w:spacing w:line="360" w:lineRule="auto" w:after="120"/>
        <w:jc w:val="center"/>
      </w:pPr>
      <w:r>
        <w:rPr>
          <w:rFonts w:ascii="Times New Roman" w:hAnsi="Times New Roman" w:eastAsia="新細明體"/>
          <w:b w:val="0"/>
          <w:i/>
          <w:sz w:val="24"/>
        </w:rPr>
        <w:t>The Turn from the Other Shore to This World: A Comparative Study in Religious History of the Public Character of Buddhism and Christianity in Taiwan, 1920s–2020s</w:t>
      </w:r>
    </w:p>
    <w:p>
      <w:pPr>
        <w:spacing w:line="360" w:lineRule="auto" w:after="120"/>
        <w:jc w:val="center"/>
      </w:pPr>
      <w:r>
        <w:rPr>
          <w:rFonts w:ascii="Times New Roman" w:hAnsi="Times New Roman" w:eastAsia="新細明體"/>
          <w:b w:val="0"/>
          <w:i w:val="0"/>
          <w:sz w:val="24"/>
        </w:rPr>
        <w:t>張辰瑋</w:t>
      </w:r>
    </w:p>
    <w:p>
      <w:pPr>
        <w:spacing w:line="360" w:lineRule="auto" w:after="120"/>
        <w:jc w:val="center"/>
      </w:pPr>
      <w:r>
        <w:rPr>
          <w:rFonts w:ascii="Times New Roman" w:hAnsi="Times New Roman" w:eastAsia="新細明體"/>
          <w:b w:val="0"/>
          <w:i w:val="0"/>
          <w:sz w:val="24"/>
        </w:rPr>
        <w:t>Chen-Wei Chang</w:t>
      </w:r>
    </w:p>
    <w:p>
      <w:pPr>
        <w:spacing w:line="360" w:lineRule="auto" w:after="120"/>
        <w:jc w:val="center"/>
      </w:pPr>
      <w:r>
        <w:rPr>
          <w:rFonts w:ascii="Times New Roman" w:hAnsi="Times New Roman" w:eastAsia="新細明體"/>
          <w:b w:val="0"/>
          <w:i w:val="0"/>
          <w:sz w:val="24"/>
        </w:rPr>
        <w:t>指導教授：釋昭慧</w:t>
      </w:r>
    </w:p>
    <w:p>
      <w:pPr>
        <w:spacing w:line="360" w:lineRule="auto" w:after="120"/>
        <w:jc w:val="center"/>
      </w:pPr>
      <w:r>
        <w:rPr>
          <w:rFonts w:ascii="Times New Roman" w:hAnsi="Times New Roman" w:eastAsia="新細明體"/>
          <w:b w:val="0"/>
          <w:i w:val="0"/>
          <w:sz w:val="24"/>
        </w:rPr>
        <w:t>中華民國115年08月</w:t>
      </w:r>
    </w:p>
    <w:p>
      <w:pPr>
        <w:spacing w:line="360" w:lineRule="auto" w:after="120"/>
        <w:jc w:val="center"/>
      </w:pPr>
      <w:r>
        <w:rPr>
          <w:rFonts w:ascii="Times New Roman" w:hAnsi="Times New Roman" w:eastAsia="新細明體"/>
          <w:b w:val="0"/>
          <w:i w:val="0"/>
          <w:sz w:val="24"/>
        </w:rPr>
        <w:t>August 2026</w:t>
      </w:r>
    </w:p>
    <w:p>
      <w:pPr>
        <w:pageBreakBefore/>
        <w:spacing w:line="360" w:lineRule="auto" w:after="200" w:before="240"/>
      </w:pPr>
      <w:r>
        <w:rPr>
          <w:rFonts w:ascii="Times New Roman" w:hAnsi="Times New Roman" w:eastAsia="新細明體"/>
          <w:b/>
          <w:i w:val="0"/>
          <w:sz w:val="28"/>
        </w:rPr>
        <w:t>摘要</w:t>
      </w:r>
    </w:p>
    <w:p>
      <w:pPr>
        <w:spacing w:line="360" w:lineRule="auto" w:after="120"/>
        <w:ind w:firstLine="480"/>
      </w:pPr>
      <w:r>
        <w:rPr>
          <w:rFonts w:ascii="Times New Roman" w:hAnsi="Times New Roman" w:eastAsia="新細明體"/>
          <w:b w:val="0"/>
          <w:i w:val="0"/>
          <w:sz w:val="24"/>
        </w:rPr>
        <w:t>本研究是一項宗教史的比較研究（comparative study in religious history），處理的問題是：</w:t>
      </w:r>
      <w:r>
        <w:rPr>
          <w:rFonts w:ascii="Times New Roman" w:hAnsi="Times New Roman" w:eastAsia="新細明體"/>
          <w:b/>
          <w:i w:val="0"/>
          <w:sz w:val="24"/>
        </w:rPr>
        <w:t>戰後台灣的佛教與基督教，各自的「公共性」與「人間性」是怎樣在歷史中長出來的？</w:t>
      </w:r>
    </w:p>
    <w:p>
      <w:pPr>
        <w:spacing w:line="360" w:lineRule="auto" w:after="120"/>
        <w:ind w:firstLine="480"/>
      </w:pPr>
      <w:r>
        <w:rPr>
          <w:rFonts w:ascii="Times New Roman" w:hAnsi="Times New Roman" w:eastAsia="新細明體"/>
          <w:b w:val="0"/>
          <w:i w:val="0"/>
          <w:sz w:val="24"/>
        </w:rPr>
        <w:t>過去討論「人間佛教」與「本土神學」的研究，多半分屬佛教研究與神學研究兩個互不往來的學術社群，各自把對方視為背景；而在理論層面談論宗教對話者，又往往先取一套西方宗教學的框架（宗教多元論、救贖中心論、宗教現象學），再回頭尋找可以填入框架的東亞例證。本研究反其道而行：先做歷史，後論理論。</w:t>
      </w:r>
    </w:p>
    <w:p>
      <w:pPr>
        <w:spacing w:line="360" w:lineRule="auto" w:after="120"/>
        <w:ind w:firstLine="480"/>
      </w:pPr>
      <w:r>
        <w:rPr>
          <w:rFonts w:ascii="Times New Roman" w:hAnsi="Times New Roman" w:eastAsia="新細明體"/>
          <w:b w:val="0"/>
          <w:i w:val="0"/>
          <w:sz w:val="24"/>
        </w:rPr>
        <w:t>本研究先以四地並置的方式，重探近代東亞宗教變革的共同源頭——日本大正民主下的佛教改革與基督教社會運動、中國自廟產興學危機而起的佛教革命與社會福音、朝鮮三一運動中的跨宗教結盟、台灣新文化運動中的宗教覺醒——指出「入世」並非某一宗教的內部教義發展，而是東亞各宗教在同一波現代性衝擊、殖民處境與救亡需求下，被迫重新界定自身與此世關係的共同結果。</w:t>
      </w:r>
    </w:p>
    <w:p>
      <w:pPr>
        <w:spacing w:line="360" w:lineRule="auto" w:after="120"/>
        <w:ind w:firstLine="480"/>
      </w:pPr>
      <w:r>
        <w:rPr>
          <w:rFonts w:ascii="Times New Roman" w:hAnsi="Times New Roman" w:eastAsia="新細明體"/>
          <w:b w:val="0"/>
          <w:i w:val="0"/>
          <w:sz w:val="24"/>
        </w:rPr>
        <w:t>在此背景上，本研究以兩條四人系譜，分別重建戰後台灣佛教與基督教公共性的形成過程：佛教一線為</w:t>
      </w:r>
      <w:r>
        <w:rPr>
          <w:rFonts w:ascii="Times New Roman" w:hAnsi="Times New Roman" w:eastAsia="新細明體"/>
          <w:b/>
          <w:i w:val="0"/>
          <w:sz w:val="24"/>
        </w:rPr>
        <w:t>太虛—印順—傳道—昭慧</w:t>
      </w:r>
      <w:r>
        <w:rPr>
          <w:rFonts w:ascii="Times New Roman" w:hAnsi="Times New Roman" w:eastAsia="新細明體"/>
          <w:b w:val="0"/>
          <w:i w:val="0"/>
          <w:sz w:val="24"/>
        </w:rPr>
        <w:t>，基督教一線為</w:t>
      </w:r>
      <w:r>
        <w:rPr>
          <w:rFonts w:ascii="Times New Roman" w:hAnsi="Times New Roman" w:eastAsia="新細明體"/>
          <w:b/>
          <w:i w:val="0"/>
          <w:sz w:val="24"/>
        </w:rPr>
        <w:t>黃彰輝—宋泉盛—王憲治—黃伯和</w:t>
      </w:r>
      <w:r>
        <w:rPr>
          <w:rFonts w:ascii="Times New Roman" w:hAnsi="Times New Roman" w:eastAsia="新細明體"/>
          <w:b w:val="0"/>
          <w:i w:val="0"/>
          <w:sz w:val="24"/>
        </w:rPr>
        <w:t>。兩條系譜的並置顯示出高度同構的四段結構：危機中的自我改革、教史／處境的重新詮釋、在地語言與草根實踐的落地、以及公共議題上的倫理建制化。</w:t>
      </w:r>
    </w:p>
    <w:p>
      <w:pPr>
        <w:spacing w:line="360" w:lineRule="auto" w:after="120"/>
        <w:ind w:firstLine="480"/>
      </w:pPr>
      <w:r>
        <w:rPr>
          <w:rFonts w:ascii="Times New Roman" w:hAnsi="Times New Roman" w:eastAsia="新細明體"/>
          <w:b w:val="0"/>
          <w:i w:val="0"/>
          <w:sz w:val="24"/>
        </w:rPr>
        <w:t>第五章把兩條線並置比較，指出其生成機制的同構與差異，以及差異從何而來。</w:t>
      </w:r>
    </w:p>
    <w:p>
      <w:pPr>
        <w:spacing w:line="360" w:lineRule="auto" w:after="120"/>
        <w:ind w:firstLine="480"/>
      </w:pPr>
      <w:r>
        <w:rPr>
          <w:rFonts w:ascii="Times New Roman" w:hAnsi="Times New Roman" w:eastAsia="新細明體"/>
          <w:b w:val="0"/>
          <w:i w:val="0"/>
          <w:sz w:val="24"/>
        </w:rPr>
        <w:t>第六章提出範式並予以檢證：把前面各章歸納出的歷史範式命名為「人間宗教」（Religion of the Human Realm），並以戰後台灣佛耶關係的實際歷程作為經驗檢證——雙方如何從一九五〇年代的護教論戰，經一九八〇年代的對話，走向二〇〇〇年以降在反賭、動保、廢死、性別平權等議題上的結盟；此處輔以口述歷史訪談，補足文獻所不能保存的行動者自我理解。交會史置於此章而非另立專章，是因為它在本研究中的作用正是證明「人間性的共同」足以作為宗教對話與合作的基礎。其後才檢討此一範式對宗教學的世俗化理論與宗教多元論、以及對比較神學的方法論，各具有什麼樣的修正意義。本研究主張，「人間性」不是宗教的世俗化讓步，而是各宗教在現代處境中回到自身創教關懷的重新界定；而以歷史經驗為基礎的比較，比以形上學設定為基礎的比較，更能保全各宗教的主體性。</w:t>
      </w:r>
    </w:p>
    <w:p>
      <w:pPr>
        <w:spacing w:line="360" w:lineRule="auto" w:after="120"/>
        <w:ind w:firstLine="480"/>
      </w:pPr>
      <w:r>
        <w:rPr>
          <w:rFonts w:ascii="Times New Roman" w:hAnsi="Times New Roman" w:eastAsia="新細明體"/>
          <w:b/>
          <w:i w:val="0"/>
          <w:sz w:val="24"/>
        </w:rPr>
        <w:t>關鍵字</w:t>
      </w:r>
      <w:r>
        <w:rPr>
          <w:rFonts w:ascii="Times New Roman" w:hAnsi="Times New Roman" w:eastAsia="新細明體"/>
          <w:b w:val="0"/>
          <w:i w:val="0"/>
          <w:sz w:val="24"/>
        </w:rPr>
        <w:t>：宗教史比較研究、人間佛教、公共神學、宗教公共性、台灣宗教史、人間宗教</w:t>
      </w:r>
    </w:p>
    <w:p>
      <w:pPr>
        <w:pageBreakBefore/>
        <w:spacing w:line="360" w:lineRule="auto" w:after="200" w:before="240"/>
      </w:pPr>
      <w:r>
        <w:rPr>
          <w:rFonts w:ascii="Times New Roman" w:hAnsi="Times New Roman" w:eastAsia="新細明體"/>
          <w:b/>
          <w:i w:val="0"/>
          <w:sz w:val="28"/>
        </w:rPr>
        <w:t>Abstract</w:t>
      </w:r>
    </w:p>
    <w:p>
      <w:pPr>
        <w:spacing w:line="360" w:lineRule="auto" w:after="120"/>
        <w:ind w:firstLine="480"/>
      </w:pPr>
      <w:r>
        <w:rPr>
          <w:rFonts w:ascii="Times New Roman" w:hAnsi="Times New Roman" w:eastAsia="新細明體"/>
          <w:b w:val="0"/>
          <w:i w:val="0"/>
          <w:sz w:val="24"/>
        </w:rPr>
        <w:t>This study is a comparative inquiry in religious history. It asks a single question: how did the public character of Buddhism and of Christianity in postwar Taiwan actually come into being?</w:t>
      </w:r>
    </w:p>
    <w:p>
      <w:pPr>
        <w:spacing w:line="360" w:lineRule="auto" w:after="120"/>
        <w:ind w:firstLine="480"/>
      </w:pPr>
      <w:r>
        <w:rPr>
          <w:rFonts w:ascii="Times New Roman" w:hAnsi="Times New Roman" w:eastAsia="新細明體"/>
          <w:b w:val="0"/>
          <w:i w:val="0"/>
          <w:sz w:val="24"/>
        </w:rPr>
        <w:t>Existing scholarship on "Humanistic Buddhism" (renjian fojiao) and on Taiwanese "contextual theology" belongs to two academic communities that rarely cite one another, each treating the other as background. Studies that address interreligious dialogue at the theoretical level, meanwhile, tend to adopt a Western framework first — religious pluralism, the soteriocentric model, the phenomenology of religion — and then look for East Asian cases to fill it in. This study proceeds in the opposite order: history first, theory afterwards.</w:t>
      </w:r>
    </w:p>
    <w:p>
      <w:pPr>
        <w:spacing w:line="360" w:lineRule="auto" w:after="120"/>
        <w:ind w:firstLine="480"/>
      </w:pPr>
      <w:r>
        <w:rPr>
          <w:rFonts w:ascii="Times New Roman" w:hAnsi="Times New Roman" w:eastAsia="新細明體"/>
          <w:b w:val="0"/>
          <w:i w:val="0"/>
          <w:sz w:val="24"/>
        </w:rPr>
        <w:t>It begins by setting four East Asian societies side by side in order to re-examine the shared origins of the modern religious transformation: Buddhist reform and Christian social movements in Taishō Japan; the Buddhist revolution and the Social Gospel that arose in China out of the crisis over temple property; the interreligious alliance of the Korean March First Movement; and the religious awakening within Taiwan's New Culture Movement. The argument is that "this-worldly engagement" was not a doctrinal development internal to any one religion, but the common outcome of religions across East Asia being forced, under the same pressures of modernity, colonial rule and national survival, to redefine their relation to this world. This chapter is treated as prehistory: it synthesises existing scholarship rather than undertaking original archival work, and the title accordingly does not claim East Asia as an object of research.</w:t>
      </w:r>
    </w:p>
    <w:p>
      <w:pPr>
        <w:spacing w:line="360" w:lineRule="auto" w:after="120"/>
        <w:ind w:firstLine="480"/>
      </w:pPr>
      <w:r>
        <w:rPr>
          <w:rFonts w:ascii="Times New Roman" w:hAnsi="Times New Roman" w:eastAsia="新細明體"/>
          <w:b w:val="0"/>
          <w:i w:val="0"/>
          <w:sz w:val="24"/>
        </w:rPr>
        <w:t>On that basis the study reconstructs, through two genealogies of four figures each, how the public character of Buddhism and of Christianity in postwar Taiwan was formed. The Buddhist line runs Taixu — Yinshun — Chuandao — Chao-Hwei; the Christian line runs Shoki Coe — Choan-Seng Song — Wang Hsien-chih — Huang Po-ho. Placing the two side by side reveals a strikingly isomorphic four-stage structure: reform initiated in crisis, reinterpretation of scriptural history or of context, grounding in local language and grassroots practice, and the institutionalisation of ethical discourse in the public sphere.</w:t>
      </w:r>
    </w:p>
    <w:p>
      <w:pPr>
        <w:spacing w:line="360" w:lineRule="auto" w:after="120"/>
        <w:ind w:firstLine="480"/>
      </w:pPr>
      <w:r>
        <w:rPr>
          <w:rFonts w:ascii="Times New Roman" w:hAnsi="Times New Roman" w:eastAsia="新細明體"/>
          <w:b w:val="0"/>
          <w:i w:val="0"/>
          <w:sz w:val="24"/>
        </w:rPr>
        <w:t>The fifth chapter compares the two lines directly — their generative mechanisms, their key vocabularies, the sources of their legitimacy, and their organisational forms. The sixth chapter proposes and tests a paradigm. It names the historical pattern "Religion of the Human Realm," and verifies it against the actual course of Buddhist–Christian relations in postwar Taiwan: from the apologetic polemics of the 1950s, through the dialogue of the 1980s, to the alliances formed from the 2000s onward over gambling legalisation, animal protection, the abolition of the death penalty and gender equality. Oral history interviews supplement what the written record cannot preserve. The history of this encounter is placed in this chapter rather than given a chapter of its own, precisely because its function here is evidential: it shows that a shared this-worldliness suffices as a basis for interreligious dialogue and cooperation. Only then does the study consider what such a historically derived paradigm implies for the secularisation thesis and religious pluralism in religious studies, and for the method of comparative theology.</w:t>
      </w:r>
    </w:p>
    <w:p>
      <w:pPr>
        <w:spacing w:line="360" w:lineRule="auto" w:after="120"/>
        <w:ind w:firstLine="480"/>
      </w:pPr>
      <w:r>
        <w:rPr>
          <w:rFonts w:ascii="Times New Roman" w:hAnsi="Times New Roman" w:eastAsia="新細明體"/>
          <w:b w:val="0"/>
          <w:i w:val="0"/>
          <w:sz w:val="24"/>
        </w:rPr>
        <w:t>The central claim is that this-worldliness is not a secularising concession but a redefinition, under modern conditions, by which each tradition returns to its own founding concerns; and that comparison grounded in historical experience preserves the subjectivity of each religion better than comparison grounded in metaphysical premises.</w:t>
      </w:r>
    </w:p>
    <w:p>
      <w:pPr>
        <w:spacing w:line="360" w:lineRule="auto" w:after="120"/>
        <w:ind w:firstLine="480"/>
      </w:pPr>
      <w:r>
        <w:rPr>
          <w:rFonts w:ascii="Times New Roman" w:hAnsi="Times New Roman" w:eastAsia="新細明體"/>
          <w:b/>
          <w:i w:val="0"/>
          <w:sz w:val="24"/>
        </w:rPr>
        <w:t>Keywords</w:t>
      </w:r>
      <w:r>
        <w:rPr>
          <w:rFonts w:ascii="Times New Roman" w:hAnsi="Times New Roman" w:eastAsia="新細明體"/>
          <w:b w:val="0"/>
          <w:i w:val="0"/>
          <w:sz w:val="24"/>
        </w:rPr>
        <w:t>: comparative religious history, Humanistic Buddhism, public theology, religious publicness, history of religion in Taiwan, Religion of the Human Realm</w:t>
      </w:r>
    </w:p>
    <w:p>
      <w:pPr>
        <w:pageBreakBefore/>
        <w:spacing w:line="360" w:lineRule="auto" w:after="200" w:before="240"/>
      </w:pPr>
      <w:r>
        <w:rPr>
          <w:rFonts w:ascii="Times New Roman" w:hAnsi="Times New Roman" w:eastAsia="新細明體"/>
          <w:b/>
          <w:i w:val="0"/>
          <w:sz w:val="28"/>
        </w:rPr>
        <w:t>目錄</w:t>
      </w:r>
    </w:p>
    <w:p>
      <w:pPr>
        <w:spacing w:line="360" w:lineRule="auto" w:after="120"/>
        <w:ind w:firstLine="480"/>
      </w:pPr>
      <w:r>
        <w:rPr>
          <w:rFonts w:ascii="Times New Roman" w:hAnsi="Times New Roman" w:eastAsia="新細明體"/>
          <w:b w:val="0"/>
          <w:i w:val="0"/>
          <w:sz w:val="24"/>
        </w:rPr>
        <w:t>摘要　　2</w:t>
      </w:r>
    </w:p>
    <w:p>
      <w:pPr>
        <w:spacing w:line="360" w:lineRule="auto" w:after="120"/>
        <w:ind w:firstLine="480"/>
      </w:pPr>
      <w:r>
        <w:rPr>
          <w:rFonts w:ascii="Times New Roman" w:hAnsi="Times New Roman" w:eastAsia="新細明體"/>
          <w:b w:val="0"/>
          <w:i w:val="0"/>
          <w:sz w:val="24"/>
        </w:rPr>
        <w:t>Abstract　　4</w:t>
      </w:r>
    </w:p>
    <w:p>
      <w:pPr>
        <w:spacing w:line="360" w:lineRule="auto" w:after="120"/>
        <w:ind w:firstLine="480"/>
      </w:pPr>
      <w:r>
        <w:rPr>
          <w:rFonts w:ascii="Times New Roman" w:hAnsi="Times New Roman" w:eastAsia="新細明體"/>
          <w:b w:val="0"/>
          <w:i w:val="0"/>
          <w:sz w:val="24"/>
        </w:rPr>
        <w:t>前言　　7</w:t>
      </w:r>
    </w:p>
    <w:p>
      <w:pPr>
        <w:spacing w:line="360" w:lineRule="auto" w:after="120"/>
        <w:ind w:firstLine="480"/>
      </w:pPr>
      <w:r>
        <w:rPr>
          <w:rFonts w:ascii="Times New Roman" w:hAnsi="Times New Roman" w:eastAsia="新細明體"/>
          <w:b w:val="0"/>
          <w:i w:val="0"/>
          <w:sz w:val="24"/>
        </w:rPr>
        <w:t>一、研究背景與問題意識　　7</w:t>
      </w:r>
    </w:p>
    <w:p>
      <w:pPr>
        <w:spacing w:line="360" w:lineRule="auto" w:after="120"/>
        <w:ind w:firstLine="480"/>
      </w:pPr>
      <w:r>
        <w:rPr>
          <w:rFonts w:ascii="Times New Roman" w:hAnsi="Times New Roman" w:eastAsia="新細明體"/>
          <w:b w:val="0"/>
          <w:i w:val="0"/>
          <w:sz w:val="24"/>
        </w:rPr>
        <w:t>二、文獻回顧與探討　　10</w:t>
      </w:r>
    </w:p>
    <w:p>
      <w:pPr>
        <w:spacing w:line="360" w:lineRule="auto" w:after="120"/>
        <w:ind w:firstLine="480"/>
      </w:pPr>
      <w:r>
        <w:rPr>
          <w:rFonts w:ascii="Times New Roman" w:hAnsi="Times New Roman" w:eastAsia="新細明體"/>
          <w:b w:val="0"/>
          <w:i w:val="0"/>
          <w:sz w:val="24"/>
        </w:rPr>
        <w:t>三、研究設計：方法與範圍　　12</w:t>
      </w:r>
    </w:p>
    <w:p>
      <w:pPr>
        <w:spacing w:line="360" w:lineRule="auto" w:after="120"/>
        <w:ind w:firstLine="480"/>
      </w:pPr>
      <w:r>
        <w:rPr>
          <w:rFonts w:ascii="Times New Roman" w:hAnsi="Times New Roman" w:eastAsia="新細明體"/>
          <w:b w:val="0"/>
          <w:i w:val="0"/>
          <w:sz w:val="24"/>
        </w:rPr>
        <w:t>四、論文架構（章節安排）　　14</w:t>
      </w:r>
    </w:p>
    <w:p>
      <w:pPr>
        <w:spacing w:line="360" w:lineRule="auto" w:after="120"/>
        <w:ind w:firstLine="480"/>
      </w:pPr>
      <w:r>
        <w:rPr>
          <w:rFonts w:ascii="Times New Roman" w:hAnsi="Times New Roman" w:eastAsia="新細明體"/>
          <w:b w:val="0"/>
          <w:i w:val="0"/>
          <w:sz w:val="24"/>
        </w:rPr>
        <w:t>五、研究時程　　20</w:t>
      </w:r>
    </w:p>
    <w:p>
      <w:pPr>
        <w:spacing w:line="360" w:lineRule="auto" w:after="120"/>
        <w:ind w:firstLine="480"/>
      </w:pPr>
      <w:r>
        <w:rPr>
          <w:rFonts w:ascii="Times New Roman" w:hAnsi="Times New Roman" w:eastAsia="新細明體"/>
          <w:b w:val="0"/>
          <w:i w:val="0"/>
          <w:sz w:val="24"/>
        </w:rPr>
        <w:t>六、預期研究成果與貢獻　　21</w:t>
      </w:r>
    </w:p>
    <w:p>
      <w:pPr>
        <w:spacing w:line="360" w:lineRule="auto" w:after="120"/>
        <w:ind w:firstLine="480"/>
      </w:pPr>
      <w:r>
        <w:rPr>
          <w:rFonts w:ascii="Times New Roman" w:hAnsi="Times New Roman" w:eastAsia="新細明體"/>
          <w:b w:val="0"/>
          <w:i w:val="0"/>
          <w:sz w:val="24"/>
        </w:rPr>
        <w:t>七、結論　　21</w:t>
      </w:r>
    </w:p>
    <w:p>
      <w:pPr>
        <w:spacing w:line="360" w:lineRule="auto" w:after="120"/>
        <w:ind w:firstLine="480"/>
      </w:pPr>
      <w:r>
        <w:rPr>
          <w:rFonts w:ascii="Times New Roman" w:hAnsi="Times New Roman" w:eastAsia="新細明體"/>
          <w:b w:val="0"/>
          <w:i w:val="0"/>
          <w:sz w:val="24"/>
        </w:rPr>
        <w:t>參考書目　　23</w:t>
      </w:r>
    </w:p>
    <w:p>
      <w:pPr>
        <w:spacing w:line="360" w:lineRule="auto" w:after="120"/>
        <w:ind w:firstLine="480"/>
      </w:pPr>
      <w:r>
        <w:rPr>
          <w:rFonts w:ascii="Times New Roman" w:hAnsi="Times New Roman" w:eastAsia="新細明體"/>
          <w:b w:val="0"/>
          <w:i w:val="0"/>
          <w:sz w:val="24"/>
        </w:rPr>
        <w:t>附錄　十個月研究工作計畫　　34</w:t>
      </w:r>
    </w:p>
    <w:p>
      <w:pPr>
        <w:spacing w:line="360" w:lineRule="auto" w:after="120"/>
        <w:ind w:firstLine="480"/>
      </w:pPr>
      <w:r>
        <w:rPr>
          <w:rFonts w:ascii="Times New Roman" w:hAnsi="Times New Roman" w:eastAsia="新細明體"/>
          <w:b w:val="0"/>
          <w:i w:val="0"/>
          <w:sz w:val="24"/>
        </w:rPr>
        <w:t>＊本計畫書無圖表，故不另立圖表目錄。</w:t>
      </w:r>
    </w:p>
    <w:p>
      <w:pPr>
        <w:pageBreakBefore/>
        <w:spacing w:line="360" w:lineRule="auto" w:after="200" w:before="240"/>
      </w:pPr>
      <w:r>
        <w:rPr>
          <w:rFonts w:ascii="Times New Roman" w:hAnsi="Times New Roman" w:eastAsia="新細明體"/>
          <w:b/>
          <w:i w:val="0"/>
          <w:sz w:val="28"/>
        </w:rPr>
        <w:t>前言</w:t>
      </w:r>
    </w:p>
    <w:p>
      <w:pPr>
        <w:spacing w:line="360" w:lineRule="auto" w:after="120"/>
        <w:ind w:firstLine="480"/>
      </w:pPr>
      <w:r>
        <w:rPr>
          <w:rFonts w:ascii="Times New Roman" w:hAnsi="Times New Roman" w:eastAsia="新細明體"/>
          <w:b w:val="0"/>
          <w:i w:val="0"/>
          <w:sz w:val="24"/>
        </w:rPr>
        <w:t>本計畫書提出一份以歷史學為主要方法論的博士論文構想：透過宗教史的比較，重建戰後台灣佛教與基督教「公共性」與「人間性」的生成過程，並在末章將此一歷史範式歸納為「人間宗教」，回應宗教學與比較神學的既有討論。</w:t>
      </w:r>
    </w:p>
    <w:p>
      <w:pPr>
        <w:spacing w:line="360" w:lineRule="auto" w:after="120"/>
        <w:ind w:firstLine="480"/>
      </w:pPr>
      <w:r>
        <w:rPr>
          <w:rFonts w:ascii="Times New Roman" w:hAnsi="Times New Roman" w:eastAsia="新細明體"/>
          <w:b w:val="0"/>
          <w:i w:val="0"/>
          <w:sz w:val="24"/>
        </w:rPr>
        <w:t>全書分七章。第一章交代方法與研究缺口，第二章立東亞前史背景，第三、四章各自重建一條四人系譜——佛教為太虛、印順、傳道、昭慧，基督教為黃彰輝、宋泉盛、王憲治、黃伯和——第五章把兩條線並置比較，第六章提出範式並以戰後佛耶交會與議題結盟的實際歷程加以檢證，第七章結論。</w:t>
      </w:r>
    </w:p>
    <w:p>
      <w:pPr>
        <w:spacing w:line="360" w:lineRule="auto" w:after="120"/>
        <w:ind w:firstLine="480"/>
      </w:pPr>
      <w:r>
        <w:rPr>
          <w:rFonts w:ascii="Times New Roman" w:hAnsi="Times New Roman" w:eastAsia="新細明體"/>
          <w:b w:val="0"/>
          <w:i w:val="0"/>
          <w:sz w:val="24"/>
        </w:rPr>
        <w:t>本計畫書依序說明研究背景與問題意識、文獻回顧、研究設計、論文架構、研究時程與預期成果；文末附未來十個月的具體工作計畫，作為研究生助學金期間的執行依據。</w:t>
      </w:r>
    </w:p>
    <w:p>
      <w:pPr>
        <w:pageBreakBefore w:val="0"/>
        <w:spacing w:line="360" w:lineRule="auto" w:after="200" w:before="240"/>
      </w:pPr>
      <w:r>
        <w:rPr>
          <w:rFonts w:ascii="Times New Roman" w:hAnsi="Times New Roman" w:eastAsia="新細明體"/>
          <w:b/>
          <w:i w:val="0"/>
          <w:sz w:val="28"/>
        </w:rPr>
        <w:t>一、研究背景與問題意識</w:t>
      </w:r>
    </w:p>
    <w:p>
      <w:pPr>
        <w:pageBreakBefore w:val="0"/>
        <w:spacing w:line="360" w:lineRule="auto" w:after="200" w:before="160"/>
      </w:pPr>
      <w:r>
        <w:rPr>
          <w:rFonts w:ascii="Times New Roman" w:hAnsi="Times New Roman" w:eastAsia="新細明體"/>
          <w:b/>
          <w:i w:val="0"/>
          <w:sz w:val="26"/>
        </w:rPr>
        <w:t>（一）問題的起點：兩段被分開講述的歷史</w:t>
      </w:r>
    </w:p>
    <w:p>
      <w:pPr>
        <w:spacing w:line="360" w:lineRule="auto" w:after="120"/>
        <w:ind w:firstLine="480"/>
      </w:pPr>
      <w:r>
        <w:rPr>
          <w:rFonts w:ascii="Times New Roman" w:hAnsi="Times New Roman" w:eastAsia="新細明體"/>
          <w:b w:val="0"/>
          <w:i w:val="0"/>
          <w:sz w:val="24"/>
        </w:rPr>
        <w:t>在台灣的宗教研究裡，有兩段歷史被反覆講述，卻幾乎從不放在一起講。</w:t>
      </w:r>
    </w:p>
    <w:p>
      <w:pPr>
        <w:spacing w:line="360" w:lineRule="auto" w:after="120"/>
        <w:ind w:firstLine="480"/>
      </w:pPr>
      <w:r>
        <w:rPr>
          <w:rFonts w:ascii="Times New Roman" w:hAnsi="Times New Roman" w:eastAsia="新細明體"/>
          <w:b w:val="0"/>
          <w:i w:val="0"/>
          <w:sz w:val="24"/>
        </w:rPr>
        <w:t>一段是佛教的：太虛的佛教革命如何在民國佛教的存亡危機中被提出，印順如何以教史研究把佛教的關懷從天界與他方拉回「此時、此地、此人」，而後在戰後台灣長出妙心寺、弘誓、慈濟、法鼓、佛光等各具面貌的實踐路線。另一段是基督教的：台灣基督長老教會如何從宣教師的教會走向自立，黃彰輝如何在普世教會協會（WCC）提出「實況化」（contextualization），宋泉盛如何以亞洲人民的受苦經驗改寫神學的敘事方式，而後在一九七〇年代的三大聲明中，把神學轉化為公共政治的語言。</w:t>
      </w:r>
    </w:p>
    <w:p>
      <w:pPr>
        <w:spacing w:line="360" w:lineRule="auto" w:after="120"/>
        <w:ind w:firstLine="480"/>
      </w:pPr>
      <w:r>
        <w:rPr>
          <w:rFonts w:ascii="Times New Roman" w:hAnsi="Times New Roman" w:eastAsia="新細明體"/>
          <w:b w:val="0"/>
          <w:i w:val="0"/>
          <w:sz w:val="24"/>
        </w:rPr>
        <w:t>兩段歷史各有豐厚的研究積累，但它們幾乎是兩套互不引用的文獻。佛教研究者談印順時很少提黃彰輝，神學研究者談實況化時也很少提太虛。然而，若把時間軸拉開來看，會發現一件不容忽視的事：</w:t>
      </w:r>
      <w:r>
        <w:rPr>
          <w:rFonts w:ascii="Times New Roman" w:hAnsi="Times New Roman" w:eastAsia="新細明體"/>
          <w:b/>
          <w:i w:val="0"/>
          <w:sz w:val="24"/>
        </w:rPr>
        <w:t>這兩條線在時間上高度重疊，在結構上高度相似，在戰後台灣的公共場域中甚至反覆相遇。</w:t>
      </w:r>
      <w:r>
        <w:rPr>
          <w:rFonts w:ascii="Times New Roman" w:hAnsi="Times New Roman" w:eastAsia="新細明體"/>
          <w:b w:val="0"/>
          <w:i w:val="0"/>
          <w:sz w:val="24"/>
        </w:rPr>
        <w:t>兩者都在一次大戰後的東亞變局中啟動；都經歷了「先自我批判、再重新詮釋自身傳統」的階段；都在一九七〇至九〇年代的台灣社會轉型中，把宗教語言轉譯為公共語言；也都在二十一世紀初，於同一批社會議題上出現在同一個街頭。</w:t>
      </w:r>
    </w:p>
    <w:p>
      <w:pPr>
        <w:spacing w:line="360" w:lineRule="auto" w:after="120"/>
        <w:ind w:firstLine="480"/>
      </w:pPr>
      <w:r>
        <w:rPr>
          <w:rFonts w:ascii="Times New Roman" w:hAnsi="Times New Roman" w:eastAsia="新細明體"/>
          <w:b w:val="0"/>
          <w:i w:val="0"/>
          <w:sz w:val="24"/>
        </w:rPr>
        <w:t>如果這種相似只是巧合，它不值得寫成一本論文。但如果它不是巧合——如果兩者其實源出同一波東亞宗教變革，只是分別在佛教與基督教的傳統語彙中被表述——那麼把它們分開講述，本身就是一種歷史敘述的失誤。</w:t>
      </w:r>
    </w:p>
    <w:p>
      <w:pPr>
        <w:pageBreakBefore w:val="0"/>
        <w:spacing w:line="360" w:lineRule="auto" w:after="200" w:before="160"/>
      </w:pPr>
      <w:r>
        <w:rPr>
          <w:rFonts w:ascii="Times New Roman" w:hAnsi="Times New Roman" w:eastAsia="新細明體"/>
          <w:b/>
          <w:i w:val="0"/>
          <w:sz w:val="26"/>
        </w:rPr>
        <w:t>（二）為什麼要從歷史比較開始，而不是從理論開始</w:t>
      </w:r>
    </w:p>
    <w:p>
      <w:pPr>
        <w:spacing w:line="360" w:lineRule="auto" w:after="120"/>
        <w:ind w:firstLine="480"/>
      </w:pPr>
      <w:r>
        <w:rPr>
          <w:rFonts w:ascii="Times New Roman" w:hAnsi="Times New Roman" w:eastAsia="新細明體"/>
          <w:b w:val="0"/>
          <w:i w:val="0"/>
          <w:sz w:val="24"/>
        </w:rPr>
        <w:t>處理跨宗教議題時，一種常見的做法是先借用一套宗教學或宗教神學的理論框架，再以個案填充。這種做法有其效率，卻有兩個代價。</w:t>
      </w:r>
    </w:p>
    <w:p>
      <w:pPr>
        <w:spacing w:line="360" w:lineRule="auto" w:after="120"/>
        <w:ind w:firstLine="480"/>
      </w:pPr>
      <w:r>
        <w:rPr>
          <w:rFonts w:ascii="Times New Roman" w:hAnsi="Times New Roman" w:eastAsia="新細明體"/>
          <w:b w:val="0"/>
          <w:i w:val="0"/>
          <w:sz w:val="24"/>
        </w:rPr>
        <w:t>其一是</w:t>
      </w:r>
      <w:r>
        <w:rPr>
          <w:rFonts w:ascii="Times New Roman" w:hAnsi="Times New Roman" w:eastAsia="新細明體"/>
          <w:b/>
          <w:i w:val="0"/>
          <w:sz w:val="24"/>
        </w:rPr>
        <w:t>時序的顛倒</w:t>
      </w:r>
      <w:r>
        <w:rPr>
          <w:rFonts w:ascii="Times New Roman" w:hAnsi="Times New Roman" w:eastAsia="新細明體"/>
          <w:b w:val="0"/>
          <w:i w:val="0"/>
          <w:sz w:val="24"/>
        </w:rPr>
        <w:t>。宗教多元論、救贖中心論、宗教現象學等框架，各有其自身的歐美思想史脈絡；以之為前提去讀東亞史料，容易把史料切割成能被框架容納的碎片，把不合框架的部分當成例外或不成熟。其二是</w:t>
      </w:r>
      <w:r>
        <w:rPr>
          <w:rFonts w:ascii="Times New Roman" w:hAnsi="Times New Roman" w:eastAsia="新細明體"/>
          <w:b/>
          <w:i w:val="0"/>
          <w:sz w:val="24"/>
        </w:rPr>
        <w:t>主體性的折損</w:t>
      </w:r>
      <w:r>
        <w:rPr>
          <w:rFonts w:ascii="Times New Roman" w:hAnsi="Times New Roman" w:eastAsia="新細明體"/>
          <w:b w:val="0"/>
          <w:i w:val="0"/>
          <w:sz w:val="24"/>
        </w:rPr>
        <w:t>。當「對話的共同基礎」是由外部理論預先設定時，各宗教實際上是在為一個它們並未參與制定的標準作答。</w:t>
      </w:r>
    </w:p>
    <w:p>
      <w:pPr>
        <w:spacing w:line="360" w:lineRule="auto" w:after="120"/>
        <w:ind w:firstLine="480"/>
      </w:pPr>
      <w:r>
        <w:rPr>
          <w:rFonts w:ascii="Times New Roman" w:hAnsi="Times New Roman" w:eastAsia="新細明體"/>
          <w:b w:val="0"/>
          <w:i w:val="0"/>
          <w:sz w:val="24"/>
        </w:rPr>
        <w:t>因此本研究採取的順序是：</w:t>
      </w:r>
      <w:r>
        <w:rPr>
          <w:rFonts w:ascii="Times New Roman" w:hAnsi="Times New Roman" w:eastAsia="新細明體"/>
          <w:b/>
          <w:i w:val="0"/>
          <w:sz w:val="24"/>
        </w:rPr>
        <w:t>先問「歷史上發生了什麼」，再問「這件事在理論上意味著什麼」。</w:t>
      </w:r>
      <w:r>
        <w:rPr>
          <w:rFonts w:ascii="Times New Roman" w:hAnsi="Times New Roman" w:eastAsia="新細明體"/>
          <w:b w:val="0"/>
          <w:i w:val="0"/>
          <w:sz w:val="24"/>
        </w:rPr>
        <w:t>理論不是研究的起點，而是研究的結果。本研究的第五章之所以放在最後，正是因為「人間宗教」這個概念若要成立，它必須是從史料中歸納出來的，而不是先驗地提出來、再回頭尋找證據的。</w:t>
      </w:r>
    </w:p>
    <w:p>
      <w:pPr>
        <w:spacing w:line="360" w:lineRule="auto" w:after="120"/>
        <w:ind w:firstLine="480"/>
      </w:pPr>
      <w:r>
        <w:rPr>
          <w:rFonts w:ascii="Times New Roman" w:hAnsi="Times New Roman" w:eastAsia="新細明體"/>
          <w:b w:val="0"/>
          <w:i w:val="0"/>
          <w:sz w:val="24"/>
        </w:rPr>
        <w:t>這也決定了本研究的學科定位：</w:t>
      </w:r>
      <w:r>
        <w:rPr>
          <w:rFonts w:ascii="Times New Roman" w:hAnsi="Times New Roman" w:eastAsia="新細明體"/>
          <w:b/>
          <w:i w:val="0"/>
          <w:sz w:val="24"/>
        </w:rPr>
        <w:t>這是一份以歷史學為主要方法論的論文</w:t>
      </w:r>
      <w:r>
        <w:rPr>
          <w:rFonts w:ascii="Times New Roman" w:hAnsi="Times New Roman" w:eastAsia="新細明體"/>
          <w:b w:val="0"/>
          <w:i w:val="0"/>
          <w:sz w:val="24"/>
        </w:rPr>
        <w:t>，宗教學與比較神學是它的問題關懷與最終對話對象，而不是它的操作工具。</w:t>
      </w:r>
    </w:p>
    <w:p>
      <w:pPr>
        <w:pageBreakBefore w:val="0"/>
        <w:spacing w:line="360" w:lineRule="auto" w:after="200" w:before="160"/>
      </w:pPr>
      <w:r>
        <w:rPr>
          <w:rFonts w:ascii="Times New Roman" w:hAnsi="Times New Roman" w:eastAsia="新細明體"/>
          <w:b/>
          <w:i w:val="0"/>
          <w:sz w:val="26"/>
        </w:rPr>
        <w:t>（三）核心提問</w:t>
      </w:r>
    </w:p>
    <w:p>
      <w:pPr>
        <w:spacing w:line="360" w:lineRule="auto" w:after="120"/>
        <w:ind w:firstLine="480"/>
      </w:pPr>
      <w:r>
        <w:rPr>
          <w:rFonts w:ascii="Times New Roman" w:hAnsi="Times New Roman" w:eastAsia="新細明體"/>
          <w:b w:val="0"/>
          <w:i w:val="0"/>
          <w:sz w:val="24"/>
        </w:rPr>
        <w:t>本研究提出三層彼此銜接的提問：</w:t>
      </w:r>
    </w:p>
    <w:p>
      <w:pPr>
        <w:spacing w:line="360" w:lineRule="auto" w:after="120"/>
        <w:ind w:firstLine="480"/>
      </w:pPr>
      <w:r>
        <w:rPr>
          <w:rFonts w:ascii="Times New Roman" w:hAnsi="Times New Roman" w:eastAsia="新細明體"/>
          <w:b/>
          <w:i w:val="0"/>
          <w:sz w:val="24"/>
        </w:rPr>
        <w:t>第一層（源頭）</w:t>
      </w:r>
      <w:r>
        <w:rPr>
          <w:rFonts w:ascii="Times New Roman" w:hAnsi="Times New Roman" w:eastAsia="新細明體"/>
          <w:b w:val="0"/>
          <w:i w:val="0"/>
          <w:sz w:val="24"/>
        </w:rPr>
        <w:t>：一次大戰結束至二次大戰之間，日本、中國、朝鮮、台灣四地的宗教變革，是否共享同一組歷史條件？如果是，這組條件是什麼？各地的差異又由什麼決定？</w:t>
      </w:r>
    </w:p>
    <w:p>
      <w:pPr>
        <w:spacing w:line="360" w:lineRule="auto" w:after="120"/>
        <w:ind w:firstLine="480"/>
      </w:pPr>
      <w:r>
        <w:rPr>
          <w:rFonts w:ascii="Times New Roman" w:hAnsi="Times New Roman" w:eastAsia="新細明體"/>
          <w:b/>
          <w:i w:val="0"/>
          <w:sz w:val="24"/>
        </w:rPr>
        <w:t>第二層（生成）</w:t>
      </w:r>
      <w:r>
        <w:rPr>
          <w:rFonts w:ascii="Times New Roman" w:hAnsi="Times New Roman" w:eastAsia="新細明體"/>
          <w:b w:val="0"/>
          <w:i w:val="0"/>
          <w:sz w:val="24"/>
        </w:rPr>
        <w:t>：戰後台灣的佛教與基督教，其「公共性」（介入公共事務的正當性與能力）與「人間性」（把宗教關懷定位於此世的自我理解）分別經過哪些階段而形成？以太虛—印順—傳道—昭慧、黃彰輝—宋泉盛—王憲治—黃伯和兩條系譜為線索，兩者的生成機制是否同構？</w:t>
      </w:r>
    </w:p>
    <w:p>
      <w:pPr>
        <w:spacing w:line="360" w:lineRule="auto" w:after="120"/>
        <w:ind w:firstLine="480"/>
      </w:pPr>
      <w:r>
        <w:rPr>
          <w:rFonts w:ascii="Times New Roman" w:hAnsi="Times New Roman" w:eastAsia="新細明體"/>
          <w:b/>
          <w:i w:val="0"/>
          <w:sz w:val="24"/>
        </w:rPr>
        <w:t>第三層（意義）</w:t>
      </w:r>
      <w:r>
        <w:rPr>
          <w:rFonts w:ascii="Times New Roman" w:hAnsi="Times New Roman" w:eastAsia="新細明體"/>
          <w:b w:val="0"/>
          <w:i w:val="0"/>
          <w:sz w:val="24"/>
        </w:rPr>
        <w:t>：若上述歷史範式成立，它對宗教學處理世俗化與宗教多元的既有解釋、以及對比較神學的方法論，構成什麼樣的修正？能否據此歸納出一個可命名的範式——「人間宗教」？</w:t>
      </w:r>
    </w:p>
    <w:p>
      <w:pPr>
        <w:pageBreakBefore w:val="0"/>
        <w:spacing w:line="360" w:lineRule="auto" w:after="200" w:before="160"/>
      </w:pPr>
      <w:r>
        <w:rPr>
          <w:rFonts w:ascii="Times New Roman" w:hAnsi="Times New Roman" w:eastAsia="新細明體"/>
          <w:b/>
          <w:i w:val="0"/>
          <w:sz w:val="26"/>
        </w:rPr>
        <w:t>（四）為什麼是這八個人</w:t>
      </w:r>
    </w:p>
    <w:p>
      <w:pPr>
        <w:spacing w:line="360" w:lineRule="auto" w:after="120"/>
        <w:ind w:firstLine="480"/>
      </w:pPr>
      <w:r>
        <w:rPr>
          <w:rFonts w:ascii="Times New Roman" w:hAnsi="Times New Roman" w:eastAsia="新細明體"/>
          <w:b w:val="0"/>
          <w:i w:val="0"/>
          <w:sz w:val="24"/>
        </w:rPr>
        <w:t>兩條系譜各取四人，不是為了對稱，而是因為這四個位置分別承擔了不同的歷史功能。</w:t>
      </w:r>
    </w:p>
    <w:p>
      <w:pPr>
        <w:spacing w:line="360" w:lineRule="auto" w:after="120"/>
        <w:ind w:firstLine="480"/>
      </w:pPr>
      <w:r>
        <w:rPr>
          <w:rFonts w:ascii="Times New Roman" w:hAnsi="Times New Roman" w:eastAsia="新細明體"/>
          <w:b w:val="0"/>
          <w:i w:val="0"/>
          <w:sz w:val="24"/>
        </w:rPr>
        <w:t>佛教一線：</w:t>
      </w:r>
      <w:r>
        <w:rPr>
          <w:rFonts w:ascii="Times New Roman" w:hAnsi="Times New Roman" w:eastAsia="新細明體"/>
          <w:b/>
          <w:i w:val="0"/>
          <w:sz w:val="24"/>
        </w:rPr>
        <w:t>太虛</w:t>
      </w:r>
      <w:r>
        <w:rPr>
          <w:rFonts w:ascii="Times New Roman" w:hAnsi="Times New Roman" w:eastAsia="新細明體"/>
          <w:b w:val="0"/>
          <w:i w:val="0"/>
          <w:sz w:val="24"/>
        </w:rPr>
        <w:t>是危機中的改革發動者，提出教理、教制、教產三大革命與「人生佛教」，但其改革在制度上大體受挫；</w:t>
      </w:r>
      <w:r>
        <w:rPr>
          <w:rFonts w:ascii="Times New Roman" w:hAnsi="Times New Roman" w:eastAsia="新細明體"/>
          <w:b/>
          <w:i w:val="0"/>
          <w:sz w:val="24"/>
        </w:rPr>
        <w:t>印順</w:t>
      </w:r>
      <w:r>
        <w:rPr>
          <w:rFonts w:ascii="Times New Roman" w:hAnsi="Times New Roman" w:eastAsia="新細明體"/>
          <w:b w:val="0"/>
          <w:i w:val="0"/>
          <w:sz w:val="24"/>
        </w:rPr>
        <w:t>把改革的重心從教制轉向教史與教理的重新詮釋，以「人間佛教」確立了理論範式；</w:t>
      </w:r>
      <w:r>
        <w:rPr>
          <w:rFonts w:ascii="Times New Roman" w:hAnsi="Times New Roman" w:eastAsia="新細明體"/>
          <w:b/>
          <w:i w:val="0"/>
          <w:sz w:val="24"/>
        </w:rPr>
        <w:t>傳道</w:t>
      </w:r>
      <w:r>
        <w:rPr>
          <w:rFonts w:ascii="Times New Roman" w:hAnsi="Times New Roman" w:eastAsia="新細明體"/>
          <w:b w:val="0"/>
          <w:i w:val="0"/>
          <w:sz w:val="24"/>
        </w:rPr>
        <w:t>是把這套範式落實到一間地方寺院、一種在地語言（台語弘法）與一批具體社會議題（環境、社區、教育）的實踐者，藍吉富在《臺灣佛教辭典》中將他與昭慧、宏印並列為印順學派的三大法系，然而學界對他的研究遠少於另外兩者；</w:t>
      </w:r>
      <w:r>
        <w:rPr>
          <w:rFonts w:ascii="Times New Roman" w:hAnsi="Times New Roman" w:eastAsia="新細明體"/>
          <w:b/>
          <w:i w:val="0"/>
          <w:sz w:val="24"/>
        </w:rPr>
        <w:t>昭慧</w:t>
      </w:r>
      <w:r>
        <w:rPr>
          <w:rFonts w:ascii="Times New Roman" w:hAnsi="Times New Roman" w:eastAsia="新細明體"/>
          <w:b w:val="0"/>
          <w:i w:val="0"/>
          <w:sz w:val="24"/>
        </w:rPr>
        <w:t>則把人間佛教推進到教內體制改革（律學重詮、廢除八敬法）與教外倫理建制（佛教倫理學、社會運動）的雙軌階段。</w:t>
      </w:r>
    </w:p>
    <w:p>
      <w:pPr>
        <w:spacing w:line="360" w:lineRule="auto" w:after="120"/>
        <w:ind w:firstLine="480"/>
      </w:pPr>
      <w:r>
        <w:rPr>
          <w:rFonts w:ascii="Times New Roman" w:hAnsi="Times New Roman" w:eastAsia="新細明體"/>
          <w:b w:val="0"/>
          <w:i w:val="0"/>
          <w:sz w:val="24"/>
        </w:rPr>
        <w:t>基督教一線：</w:t>
      </w:r>
      <w:r>
        <w:rPr>
          <w:rFonts w:ascii="Times New Roman" w:hAnsi="Times New Roman" w:eastAsia="新細明體"/>
          <w:b/>
          <w:i w:val="0"/>
          <w:sz w:val="24"/>
        </w:rPr>
        <w:t>黃彰輝</w:t>
      </w:r>
      <w:r>
        <w:rPr>
          <w:rFonts w:ascii="Times New Roman" w:hAnsi="Times New Roman" w:eastAsia="新細明體"/>
          <w:b w:val="0"/>
          <w:i w:val="0"/>
          <w:sz w:val="24"/>
        </w:rPr>
        <w:t>是概念的鑄造者，「實況化」由他自台灣經驗提煉、經 WCC 而成為普世神學語彙；</w:t>
      </w:r>
      <w:r>
        <w:rPr>
          <w:rFonts w:ascii="Times New Roman" w:hAnsi="Times New Roman" w:eastAsia="新細明體"/>
          <w:b/>
          <w:i w:val="0"/>
          <w:sz w:val="24"/>
        </w:rPr>
        <w:t>宋泉盛</w:t>
      </w:r>
      <w:r>
        <w:rPr>
          <w:rFonts w:ascii="Times New Roman" w:hAnsi="Times New Roman" w:eastAsia="新細明體"/>
          <w:b w:val="0"/>
          <w:i w:val="0"/>
          <w:sz w:val="24"/>
        </w:rPr>
        <w:t>把實況化推向方法論的具體形態——以亞洲民間故事與受苦記憶作為神學材料；</w:t>
      </w:r>
      <w:r>
        <w:rPr>
          <w:rFonts w:ascii="Times New Roman" w:hAnsi="Times New Roman" w:eastAsia="新細明體"/>
          <w:b/>
          <w:i w:val="0"/>
          <w:sz w:val="24"/>
        </w:rPr>
        <w:t>王憲治</w:t>
      </w:r>
      <w:r>
        <w:rPr>
          <w:rFonts w:ascii="Times New Roman" w:hAnsi="Times New Roman" w:eastAsia="新細明體"/>
          <w:b w:val="0"/>
          <w:i w:val="0"/>
          <w:sz w:val="24"/>
        </w:rPr>
        <w:t>把它落在「鄉土」這個更貼地的範疇上，以人民、鄉土、權力、上帝四個主題建構台灣鄉土神學，並直接連結自決議題，可惜英年早逝（1941–1996），至今研究稀少；</w:t>
      </w:r>
      <w:r>
        <w:rPr>
          <w:rFonts w:ascii="Times New Roman" w:hAnsi="Times New Roman" w:eastAsia="新細明體"/>
          <w:b/>
          <w:i w:val="0"/>
          <w:sz w:val="24"/>
        </w:rPr>
        <w:t>黃伯和</w:t>
      </w:r>
      <w:r>
        <w:rPr>
          <w:rFonts w:ascii="Times New Roman" w:hAnsi="Times New Roman" w:eastAsia="新細明體"/>
          <w:b w:val="0"/>
          <w:i w:val="0"/>
          <w:sz w:val="24"/>
        </w:rPr>
        <w:t>則承接鄉土神學的問題意識，發展「出頭天」神學，並將本土神學體制化為神學教育與普世網絡中的長期工程。</w:t>
      </w:r>
    </w:p>
    <w:p>
      <w:pPr>
        <w:spacing w:line="360" w:lineRule="auto" w:after="120"/>
        <w:ind w:firstLine="480"/>
      </w:pPr>
      <w:r>
        <w:rPr>
          <w:rFonts w:ascii="Times New Roman" w:hAnsi="Times New Roman" w:eastAsia="新細明體"/>
          <w:b w:val="0"/>
          <w:i w:val="0"/>
          <w:sz w:val="24"/>
        </w:rPr>
        <w:t>四對位置兩兩相應：</w:t>
      </w:r>
      <w:r>
        <w:rPr>
          <w:rFonts w:ascii="Times New Roman" w:hAnsi="Times New Roman" w:eastAsia="新細明體"/>
          <w:b/>
          <w:i w:val="0"/>
          <w:sz w:val="24"/>
        </w:rPr>
        <w:t>發動者—詮釋者—落地者—建制者</w:t>
      </w:r>
      <w:r>
        <w:rPr>
          <w:rFonts w:ascii="Times New Roman" w:hAnsi="Times New Roman" w:eastAsia="新細明體"/>
          <w:b w:val="0"/>
          <w:i w:val="0"/>
          <w:sz w:val="24"/>
        </w:rPr>
        <w:t>。這個對應本身就是本研究要論證的主要發現之一。</w:t>
      </w:r>
    </w:p>
    <w:p>
      <w:pPr>
        <w:pageBreakBefore w:val="0"/>
        <w:spacing w:line="360" w:lineRule="auto" w:after="200" w:before="240"/>
      </w:pPr>
      <w:r>
        <w:rPr>
          <w:rFonts w:ascii="Times New Roman" w:hAnsi="Times New Roman" w:eastAsia="新細明體"/>
          <w:b/>
          <w:i w:val="0"/>
          <w:sz w:val="28"/>
        </w:rPr>
        <w:t>二、文獻回顧與探討</w:t>
      </w:r>
    </w:p>
    <w:p>
      <w:pPr>
        <w:spacing w:line="360" w:lineRule="auto" w:after="120"/>
        <w:ind w:firstLine="480"/>
      </w:pPr>
      <w:r>
        <w:rPr>
          <w:rFonts w:ascii="Times New Roman" w:hAnsi="Times New Roman" w:eastAsia="新細明體"/>
          <w:b w:val="0"/>
          <w:i w:val="0"/>
          <w:sz w:val="24"/>
        </w:rPr>
        <w:t>本研究的研究回顧不以宗教對話理論為主軸，而依歷史學的慣例，就本題所涉四個史學領域的研究積累與缺口逐一檢視。</w:t>
      </w:r>
    </w:p>
    <w:p>
      <w:pPr>
        <w:pageBreakBefore w:val="0"/>
        <w:spacing w:line="360" w:lineRule="auto" w:after="200" w:before="160"/>
      </w:pPr>
      <w:r>
        <w:rPr>
          <w:rFonts w:ascii="Times New Roman" w:hAnsi="Times New Roman" w:eastAsia="新細明體"/>
          <w:b/>
          <w:i w:val="0"/>
          <w:sz w:val="26"/>
        </w:rPr>
        <w:t>（一）近代東亞宗教變革的比較史研究</w:t>
      </w:r>
    </w:p>
    <w:p>
      <w:pPr>
        <w:spacing w:line="360" w:lineRule="auto" w:after="120"/>
        <w:ind w:firstLine="480"/>
      </w:pPr>
      <w:r>
        <w:rPr>
          <w:rFonts w:ascii="Times New Roman" w:hAnsi="Times New Roman" w:eastAsia="新細明體"/>
          <w:b w:val="0"/>
          <w:i w:val="0"/>
          <w:sz w:val="24"/>
        </w:rPr>
        <w:t>近二十年的英語學界已逐步放棄「現代化＝世俗化」的單線敘事，轉而把近代東亞的宗教變革視為現代性的組成部分而非其對立面。Goossaert 與 Palmer 對近代中國「宗教問題」的長時段研究、Duara 對亞洲傳統與可持續未來的討論、Lian Xi 對中國本土基督教興起的分析、Xing Jun 對社會福音與中國基督教青年會的研究、Ritzinger 對太虛與印順運動的專論、Shields 對近代日本進步與激進佛教的考察、Queen 與 King 所編的入世佛教文集、以及 Madsen 對戰後台灣宗教復興與政治發展關係的社會學分析，共同構成了本研究的比較史基礎。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：這些研究大多以單一國別或單一宗教為單位。跨國別</w:t>
      </w:r>
      <w:r>
        <w:rPr>
          <w:rFonts w:ascii="Times New Roman" w:hAnsi="Times New Roman" w:eastAsia="新細明體"/>
          <w:b/>
          <w:i w:val="0"/>
          <w:sz w:val="24"/>
        </w:rPr>
        <w:t>且</w:t>
      </w:r>
      <w:r>
        <w:rPr>
          <w:rFonts w:ascii="Times New Roman" w:hAnsi="Times New Roman" w:eastAsia="新細明體"/>
          <w:b w:val="0"/>
          <w:i w:val="0"/>
          <w:sz w:val="24"/>
        </w:rPr>
        <w:t>跨宗教（佛教與基督教並置）的比較研究仍屬罕見；尤其是把台灣放進東亞比較框架、而非僅視為中國佛教史的延長線來處理者，更為少見。</w:t>
      </w:r>
    </w:p>
    <w:p>
      <w:pPr>
        <w:pageBreakBefore w:val="0"/>
        <w:spacing w:line="360" w:lineRule="auto" w:after="200" w:before="160"/>
      </w:pPr>
      <w:r>
        <w:rPr>
          <w:rFonts w:ascii="Times New Roman" w:hAnsi="Times New Roman" w:eastAsia="新細明體"/>
          <w:b/>
          <w:i w:val="0"/>
          <w:sz w:val="26"/>
        </w:rPr>
        <w:t>（二）台灣佛教史與人間佛教研究</w:t>
      </w:r>
    </w:p>
    <w:p>
      <w:pPr>
        <w:spacing w:line="360" w:lineRule="auto" w:after="120"/>
        <w:ind w:firstLine="480"/>
      </w:pPr>
      <w:r>
        <w:rPr>
          <w:rFonts w:ascii="Times New Roman" w:hAnsi="Times New Roman" w:eastAsia="新細明體"/>
          <w:b w:val="0"/>
          <w:i w:val="0"/>
          <w:sz w:val="24"/>
        </w:rPr>
        <w:t>侯坤宏對民國佛教與戰後台灣佛教的一系列研究（《太虛時代》、《真實與方便》、《台灣佛教通史》）奠定了本題的史實基礎；藍吉富對「後印順時代」的判定、邱敏捷對印順思想與印順學派核心的分析、林建德對印順學派傳承譜系的辨析、闞正宗對傳道法師人間佛教理路的整理、以及楊惠南、江燦騰對當代台灣佛教入世性格的長期觀察，構成本研究第二章的直接對話對象。筆者本人的碩士論文與數篇期刊論文亦處理過昭慧、性廣對印順學的傳承問題。</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：第一，太虛—印順的思想史關聯已有定論，但從印順到戰後具體寺院與運動的</w:t>
      </w:r>
      <w:r>
        <w:rPr>
          <w:rFonts w:ascii="Times New Roman" w:hAnsi="Times New Roman" w:eastAsia="新細明體"/>
          <w:b/>
          <w:i w:val="0"/>
          <w:sz w:val="24"/>
        </w:rPr>
        <w:t>落地機制</w:t>
      </w:r>
      <w:r>
        <w:rPr>
          <w:rFonts w:ascii="Times New Roman" w:hAnsi="Times New Roman" w:eastAsia="新細明體"/>
          <w:b w:val="0"/>
          <w:i w:val="0"/>
          <w:sz w:val="24"/>
        </w:rPr>
        <w:t>，特別是傳道與妙心寺一系，研究明顯不足；第二，既有研究多以「思想的傳承」為敘述框架，較少處理「公共性如何取得正當性」這一制度史與社會史問題。</w:t>
      </w:r>
    </w:p>
    <w:p>
      <w:pPr>
        <w:pageBreakBefore w:val="0"/>
        <w:spacing w:line="360" w:lineRule="auto" w:after="200" w:before="160"/>
      </w:pPr>
      <w:r>
        <w:rPr>
          <w:rFonts w:ascii="Times New Roman" w:hAnsi="Times New Roman" w:eastAsia="新細明體"/>
          <w:b/>
          <w:i w:val="0"/>
          <w:sz w:val="26"/>
        </w:rPr>
        <w:t>（三）台灣基督教史與本土神學研究</w:t>
      </w:r>
    </w:p>
    <w:p>
      <w:pPr>
        <w:spacing w:line="360" w:lineRule="auto" w:after="120"/>
        <w:ind w:firstLine="480"/>
      </w:pPr>
      <w:r>
        <w:rPr>
          <w:rFonts w:ascii="Times New Roman" w:hAnsi="Times New Roman" w:eastAsia="新細明體"/>
          <w:b w:val="0"/>
          <w:i w:val="0"/>
          <w:sz w:val="24"/>
        </w:rPr>
        <w:t>鄭仰恩主編的《台灣基督長老教會史》兩卷、蔡榮芳對黃彰輝普世神學實踐的專著、張瑞雄的黃彰輝傳記、鄭睦群對長老教會國家認同論述轉換的研究、黃克先對監控檔案與政教關係的再探、莊雅棠與歐力仁對宋泉盛故事神學的方法論分析、邱凱莉的後殖民視角分析，構成第三章的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：黃彰輝與宋泉盛的研究相對充分，</w:t>
      </w:r>
      <w:r>
        <w:rPr>
          <w:rFonts w:ascii="Times New Roman" w:hAnsi="Times New Roman" w:eastAsia="新細明體"/>
          <w:b/>
          <w:i w:val="0"/>
          <w:sz w:val="24"/>
        </w:rPr>
        <w:t>王憲治幾乎無專門研究</w:t>
      </w:r>
      <w:r>
        <w:rPr>
          <w:rFonts w:ascii="Times New Roman" w:hAnsi="Times New Roman" w:eastAsia="新細明體"/>
          <w:b w:val="0"/>
          <w:i w:val="0"/>
          <w:sz w:val="24"/>
        </w:rPr>
        <w:t>（除莊雅棠的紀念性文章外），黃伯和的研究亦多為神學內部評述而非史學考察。台灣本土神學的「四代系譜」尚未被系統地寫成一段歷史。</w:t>
      </w:r>
    </w:p>
    <w:p>
      <w:pPr>
        <w:pageBreakBefore w:val="0"/>
        <w:spacing w:line="360" w:lineRule="auto" w:after="200" w:before="160"/>
      </w:pPr>
      <w:r>
        <w:rPr>
          <w:rFonts w:ascii="Times New Roman" w:hAnsi="Times New Roman" w:eastAsia="新細明體"/>
          <w:b/>
          <w:i w:val="0"/>
          <w:sz w:val="26"/>
        </w:rPr>
        <w:t>（四）戰後台灣佛耶關係與跨宗教研究</w:t>
      </w:r>
    </w:p>
    <w:p>
      <w:pPr>
        <w:spacing w:line="360" w:lineRule="auto" w:after="120"/>
        <w:ind w:firstLine="480"/>
      </w:pPr>
      <w:r>
        <w:rPr>
          <w:rFonts w:ascii="Times New Roman" w:hAnsi="Times New Roman" w:eastAsia="新細明體"/>
          <w:b w:val="0"/>
          <w:i w:val="0"/>
          <w:sz w:val="24"/>
        </w:rPr>
        <w:t>賴品超及其與學愚合編的耶佛對話研究、賴賢宗對當代台灣佛耶對話的整理、莊秉潔的碩士論文、以及筆者關於昭慧法師與盧俊義牧師、洪山川主教之跨宗教友誼與合作的研究，是本題第六章交會與結盟部分的既有基礎。</w:t>
      </w:r>
    </w:p>
    <w:p>
      <w:pPr>
        <w:spacing w:line="360" w:lineRule="auto" w:after="120"/>
        <w:ind w:firstLine="480"/>
      </w:pPr>
      <w:r>
        <w:rPr>
          <w:rFonts w:ascii="Times New Roman" w:hAnsi="Times New Roman" w:eastAsia="新細明體"/>
          <w:b/>
          <w:i w:val="0"/>
          <w:sz w:val="24"/>
        </w:rPr>
        <w:t>缺口</w:t>
      </w:r>
      <w:r>
        <w:rPr>
          <w:rFonts w:ascii="Times New Roman" w:hAnsi="Times New Roman" w:eastAsia="新細明體"/>
          <w:b w:val="0"/>
          <w:i w:val="0"/>
          <w:sz w:val="24"/>
        </w:rPr>
        <w:t>：既有研究多集中於</w:t>
      </w:r>
      <w:r>
        <w:rPr>
          <w:rFonts w:ascii="Times New Roman" w:hAnsi="Times New Roman" w:eastAsia="新細明體"/>
          <w:b/>
          <w:i w:val="0"/>
          <w:sz w:val="24"/>
        </w:rPr>
        <w:t>教義層次的對話</w:t>
      </w:r>
      <w:r>
        <w:rPr>
          <w:rFonts w:ascii="Times New Roman" w:hAnsi="Times New Roman" w:eastAsia="新細明體"/>
          <w:b w:val="0"/>
          <w:i w:val="0"/>
          <w:sz w:val="24"/>
        </w:rPr>
        <w:t>與</w:t>
      </w:r>
      <w:r>
        <w:rPr>
          <w:rFonts w:ascii="Times New Roman" w:hAnsi="Times New Roman" w:eastAsia="新細明體"/>
          <w:b/>
          <w:i w:val="0"/>
          <w:sz w:val="24"/>
        </w:rPr>
        <w:t>知識菁英之間的交往</w:t>
      </w:r>
      <w:r>
        <w:rPr>
          <w:rFonts w:ascii="Times New Roman" w:hAnsi="Times New Roman" w:eastAsia="新細明體"/>
          <w:b w:val="0"/>
          <w:i w:val="0"/>
          <w:sz w:val="24"/>
        </w:rPr>
        <w:t>，對於一九九〇年代以降兩教在具體社會議題上的</w:t>
      </w:r>
      <w:r>
        <w:rPr>
          <w:rFonts w:ascii="Times New Roman" w:hAnsi="Times New Roman" w:eastAsia="新細明體"/>
          <w:b/>
          <w:i w:val="0"/>
          <w:sz w:val="24"/>
        </w:rPr>
        <w:t>行動結盟</w:t>
      </w:r>
      <w:r>
        <w:rPr>
          <w:rFonts w:ascii="Times New Roman" w:hAnsi="Times New Roman" w:eastAsia="新細明體"/>
          <w:b w:val="0"/>
          <w:i w:val="0"/>
          <w:sz w:val="24"/>
        </w:rPr>
        <w:t>——其發生機制、組織形式、話語協商過程——缺乏系統的歷史敘述；相關當事人多數仍在世，而口述史料尚未被有計畫地採集。</w:t>
      </w:r>
    </w:p>
    <w:p>
      <w:pPr>
        <w:pageBreakBefore w:val="0"/>
        <w:spacing w:line="360" w:lineRule="auto" w:after="200" w:before="160"/>
      </w:pPr>
      <w:r>
        <w:rPr>
          <w:rFonts w:ascii="Times New Roman" w:hAnsi="Times New Roman" w:eastAsia="新細明體"/>
          <w:b/>
          <w:i w:val="0"/>
          <w:sz w:val="26"/>
        </w:rPr>
        <w:t>（五）本研究的定位</w:t>
      </w:r>
    </w:p>
    <w:p>
      <w:pPr>
        <w:spacing w:line="360" w:lineRule="auto" w:after="120"/>
        <w:ind w:firstLine="480"/>
      </w:pPr>
      <w:r>
        <w:rPr>
          <w:rFonts w:ascii="Times New Roman" w:hAnsi="Times New Roman" w:eastAsia="新細明體"/>
          <w:b w:val="0"/>
          <w:i w:val="0"/>
          <w:sz w:val="24"/>
        </w:rPr>
        <w:t>綜合以上，本研究的貢獻空間在於：以</w:t>
      </w:r>
      <w:r>
        <w:rPr>
          <w:rFonts w:ascii="Times New Roman" w:hAnsi="Times New Roman" w:eastAsia="新細明體"/>
          <w:b/>
          <w:i w:val="0"/>
          <w:sz w:val="24"/>
        </w:rPr>
        <w:t>宗教史比較</w:t>
      </w:r>
      <w:r>
        <w:rPr>
          <w:rFonts w:ascii="Times New Roman" w:hAnsi="Times New Roman" w:eastAsia="新細明體"/>
          <w:b w:val="0"/>
          <w:i w:val="0"/>
          <w:sz w:val="24"/>
        </w:rPr>
        <w:t>的方法，把上述四個各自發展的研究領域接合為一個問題——</w:t>
      </w:r>
      <w:r>
        <w:rPr>
          <w:rFonts w:ascii="Times New Roman" w:hAnsi="Times New Roman" w:eastAsia="新細明體"/>
          <w:b/>
          <w:i w:val="0"/>
          <w:sz w:val="24"/>
        </w:rPr>
        <w:t>宗教的公共性與人間性在近代東亞的歷史生成</w:t>
      </w:r>
      <w:r>
        <w:rPr>
          <w:rFonts w:ascii="Times New Roman" w:hAnsi="Times New Roman" w:eastAsia="新細明體"/>
          <w:b w:val="0"/>
          <w:i w:val="0"/>
          <w:sz w:val="24"/>
        </w:rPr>
        <w:t>——並在史實層面補足傳道、王憲治兩條研究薄弱的線索，最後才在第五章把歷史發現提升為理論命題。</w:t>
      </w:r>
    </w:p>
    <w:p>
      <w:pPr>
        <w:pageBreakBefore w:val="0"/>
        <w:spacing w:line="360" w:lineRule="auto" w:after="200" w:before="240"/>
      </w:pPr>
      <w:r>
        <w:rPr>
          <w:rFonts w:ascii="Times New Roman" w:hAnsi="Times New Roman" w:eastAsia="新細明體"/>
          <w:b/>
          <w:i w:val="0"/>
          <w:sz w:val="28"/>
        </w:rPr>
        <w:t>三、研究設計：方法與範圍</w:t>
      </w:r>
    </w:p>
    <w:p>
      <w:pPr>
        <w:spacing w:line="360" w:lineRule="auto" w:after="120"/>
        <w:ind w:firstLine="480"/>
      </w:pPr>
      <w:r>
        <w:rPr>
          <w:rFonts w:ascii="Times New Roman" w:hAnsi="Times New Roman" w:eastAsia="新細明體"/>
          <w:b w:val="0"/>
          <w:i w:val="0"/>
          <w:sz w:val="24"/>
        </w:rPr>
        <w:t>本研究以歷史學為主要方法論，具體包含四種操作，並依研究對象的性質分工使用。</w:t>
      </w:r>
    </w:p>
    <w:p>
      <w:pPr>
        <w:pageBreakBefore w:val="0"/>
        <w:spacing w:line="360" w:lineRule="auto" w:after="200" w:before="160"/>
      </w:pPr>
      <w:r>
        <w:rPr>
          <w:rFonts w:ascii="Times New Roman" w:hAnsi="Times New Roman" w:eastAsia="新細明體"/>
          <w:b/>
          <w:i w:val="0"/>
          <w:sz w:val="26"/>
        </w:rPr>
        <w:t>（一）宗教史的比較（comparative religious history）</w:t>
      </w:r>
    </w:p>
    <w:p>
      <w:pPr>
        <w:spacing w:line="360" w:lineRule="auto" w:after="120"/>
        <w:ind w:firstLine="480"/>
      </w:pPr>
      <w:r>
        <w:rPr>
          <w:rFonts w:ascii="Times New Roman" w:hAnsi="Times New Roman" w:eastAsia="新細明體"/>
          <w:b w:val="0"/>
          <w:i w:val="0"/>
          <w:sz w:val="24"/>
        </w:rPr>
        <w:t>第一章與第五章的主要方法。比較的單位不是「教義」而是「處境—回應」的結構：把日本、中國、朝鮮、台灣四地放在同一組歷史條件（帝國主義擴張、國家對宗教財產與制度的整編、殖民統治、民族救亡、社會主義與社會福音思潮的傳入）之下，比較各地宗教如何回應，以及回應方式的差異由哪些變項決定（國家形態、宗教與國家的既有關係、殖民者與被殖民者的宗教歸屬）。</w:t>
      </w:r>
    </w:p>
    <w:p>
      <w:pPr>
        <w:spacing w:line="360" w:lineRule="auto" w:after="120"/>
        <w:ind w:firstLine="480"/>
      </w:pPr>
      <w:r>
        <w:rPr>
          <w:rFonts w:ascii="Times New Roman" w:hAnsi="Times New Roman" w:eastAsia="新細明體"/>
          <w:b w:val="0"/>
          <w:i w:val="0"/>
          <w:sz w:val="24"/>
        </w:rPr>
        <w:t>比較的目的不是排名或求同，而是</w:t>
      </w:r>
      <w:r>
        <w:rPr>
          <w:rFonts w:ascii="Times New Roman" w:hAnsi="Times New Roman" w:eastAsia="新細明體"/>
          <w:b/>
          <w:i w:val="0"/>
          <w:sz w:val="24"/>
        </w:rPr>
        <w:t>辨識共同的歷史條件與各自的路徑依賴</w:t>
      </w:r>
      <w:r>
        <w:rPr>
          <w:rFonts w:ascii="Times New Roman" w:hAnsi="Times New Roman" w:eastAsia="新細明體"/>
          <w:b w:val="0"/>
          <w:i w:val="0"/>
          <w:sz w:val="24"/>
        </w:rPr>
        <w:t>。這使得「入世轉向」可以被當成一個歷史事件來檢證，而不是一個價值主張。</w:t>
      </w:r>
    </w:p>
    <w:p>
      <w:pPr>
        <w:pageBreakBefore w:val="0"/>
        <w:spacing w:line="360" w:lineRule="auto" w:after="200" w:before="160"/>
      </w:pPr>
      <w:r>
        <w:rPr>
          <w:rFonts w:ascii="Times New Roman" w:hAnsi="Times New Roman" w:eastAsia="新細明體"/>
          <w:b/>
          <w:i w:val="0"/>
          <w:sz w:val="26"/>
        </w:rPr>
        <w:t>（二）思想史與概念史（intellectual history / Begriffsgeschichte）</w:t>
      </w:r>
    </w:p>
    <w:p>
      <w:pPr>
        <w:spacing w:line="360" w:lineRule="auto" w:after="120"/>
        <w:ind w:firstLine="480"/>
      </w:pPr>
      <w:r>
        <w:rPr>
          <w:rFonts w:ascii="Times New Roman" w:hAnsi="Times New Roman" w:eastAsia="新細明體"/>
          <w:b w:val="0"/>
          <w:i w:val="0"/>
          <w:sz w:val="24"/>
        </w:rPr>
        <w:t>第二、三章的主要方法。本研究特別追蹤四組關鍵詞在文獻中的</w:t>
      </w:r>
      <w:r>
        <w:rPr>
          <w:rFonts w:ascii="Times New Roman" w:hAnsi="Times New Roman" w:eastAsia="新細明體"/>
          <w:b/>
          <w:i w:val="0"/>
          <w:sz w:val="24"/>
        </w:rPr>
        <w:t>出現、變形與制度化</w:t>
      </w:r>
      <w:r>
        <w:rPr>
          <w:rFonts w:ascii="Times New Roman" w:hAnsi="Times New Roman" w:eastAsia="新細明體"/>
          <w:b w:val="0"/>
          <w:i w:val="0"/>
          <w:sz w:val="24"/>
        </w:rPr>
        <w:t>：</w:t>
      </w:r>
    </w:p>
    <w:p>
      <w:pPr>
        <w:spacing w:line="360" w:lineRule="auto" w:after="120"/>
        <w:ind w:firstLine="480"/>
      </w:pPr>
      <w:r>
        <w:rPr>
          <w:rFonts w:ascii="Times New Roman" w:hAnsi="Times New Roman" w:eastAsia="新細明體"/>
          <w:b w:val="0"/>
          <w:i w:val="0"/>
          <w:sz w:val="24"/>
        </w:rPr>
        <w:t>- 佛教一線：「人生佛教」→「人間佛教」→「此時、此地、此人」→「護生」「佛教倫理」</w:t>
      </w:r>
    </w:p>
    <w:p>
      <w:pPr>
        <w:spacing w:line="360" w:lineRule="auto" w:after="120"/>
        <w:ind w:firstLine="480"/>
      </w:pPr>
      <w:r>
        <w:rPr>
          <w:rFonts w:ascii="Times New Roman" w:hAnsi="Times New Roman" w:eastAsia="新細明體"/>
          <w:b w:val="0"/>
          <w:i w:val="0"/>
          <w:sz w:val="24"/>
        </w:rPr>
        <w:t>- 基督教一線：「本色化」→「實況化」（contextualization）→「鄉土」→「出頭天」</w:t>
      </w:r>
    </w:p>
    <w:p>
      <w:pPr>
        <w:spacing w:line="360" w:lineRule="auto" w:after="120"/>
        <w:ind w:firstLine="480"/>
      </w:pPr>
      <w:r>
        <w:rPr>
          <w:rFonts w:ascii="Times New Roman" w:hAnsi="Times New Roman" w:eastAsia="新細明體"/>
          <w:b w:val="0"/>
          <w:i w:val="0"/>
          <w:sz w:val="24"/>
        </w:rPr>
        <w:t>概念的用法變化本身就是史料。例如太虛的「人生佛教」與印順的「人間佛教」之間的一字之差，涉及對天乘與鬼神信仰的不同判定；「本色化」與「實況化」之間的替換，則涉及神學主體從文化適應轉向處境批判。這類詞語史的追蹤，可以避免把後起的定義回溯地加在早期文獻上。</w:t>
      </w:r>
    </w:p>
    <w:p>
      <w:pPr>
        <w:pageBreakBefore w:val="0"/>
        <w:spacing w:line="360" w:lineRule="auto" w:after="200" w:before="160"/>
      </w:pPr>
      <w:r>
        <w:rPr>
          <w:rFonts w:ascii="Times New Roman" w:hAnsi="Times New Roman" w:eastAsia="新細明體"/>
          <w:b/>
          <w:i w:val="0"/>
          <w:sz w:val="26"/>
        </w:rPr>
        <w:t>（三）文獻史料學</w:t>
      </w:r>
    </w:p>
    <w:p>
      <w:pPr>
        <w:spacing w:line="360" w:lineRule="auto" w:after="120"/>
        <w:ind w:firstLine="480"/>
      </w:pPr>
      <w:r>
        <w:rPr>
          <w:rFonts w:ascii="Times New Roman" w:hAnsi="Times New Roman" w:eastAsia="新細明體"/>
          <w:b w:val="0"/>
          <w:i w:val="0"/>
          <w:sz w:val="24"/>
        </w:rPr>
        <w:t>以原典與教團刊物為主，兼及檔案。主要史料群如下：</w:t>
      </w:r>
    </w:p>
    <w:p>
      <w:pPr>
        <w:spacing w:line="360" w:lineRule="auto" w:after="120"/>
        <w:ind w:firstLine="480"/>
      </w:pPr>
      <w:r>
        <w:rPr>
          <w:rFonts w:ascii="Times New Roman" w:hAnsi="Times New Roman" w:eastAsia="新細明體"/>
          <w:b/>
          <w:i w:val="0"/>
          <w:sz w:val="24"/>
        </w:rPr>
        <w:t>佛教</w:t>
      </w:r>
      <w:r>
        <w:rPr>
          <w:rFonts w:ascii="Times New Roman" w:hAnsi="Times New Roman" w:eastAsia="新細明體"/>
          <w:b w:val="0"/>
          <w:i w:val="0"/>
          <w:sz w:val="24"/>
        </w:rPr>
        <w:t>：《太虛大師全書》；印順著作全集（正聞出版社，含《妙雲集》、《華雨集》及各教史專著）；傳道法師著述與《妙心雜誌》；昭慧法師律學與倫理學著作、《弘誓雙月刊》、《法印學報》；國史館所編佛教人物口述歷史（含《人間佛教的理論與實踐——傳道法師訪談錄》、《浩蕩赴前程：昭慧法師訪談錄》）。</w:t>
      </w:r>
    </w:p>
    <w:p>
      <w:pPr>
        <w:spacing w:line="360" w:lineRule="auto" w:after="120"/>
        <w:ind w:firstLine="480"/>
      </w:pPr>
      <w:r>
        <w:rPr>
          <w:rFonts w:ascii="Times New Roman" w:hAnsi="Times New Roman" w:eastAsia="新細明體"/>
          <w:b/>
          <w:i w:val="0"/>
          <w:sz w:val="24"/>
        </w:rPr>
        <w:t>基督教</w:t>
      </w:r>
      <w:r>
        <w:rPr>
          <w:rFonts w:ascii="Times New Roman" w:hAnsi="Times New Roman" w:eastAsia="新細明體"/>
          <w:b w:val="0"/>
          <w:i w:val="0"/>
          <w:sz w:val="24"/>
        </w:rPr>
        <w:t>：黃彰輝回憶錄與文集（含 WCC 神學教育基金會時期文獻）；宋泉盛中英文著作；王憲治《台灣鄉土神學論文集》及其南神時期論述；黃伯和自一九九〇年代至二〇二二年的系列著作；《台灣教會公報》、《新使者》、《神學與教會》、《道雜誌》；台灣基督長老教會歷次聲明與總會檔案。</w:t>
      </w:r>
    </w:p>
    <w:p>
      <w:pPr>
        <w:spacing w:line="360" w:lineRule="auto" w:after="120"/>
        <w:ind w:firstLine="480"/>
      </w:pPr>
      <w:r>
        <w:rPr>
          <w:rFonts w:ascii="Times New Roman" w:hAnsi="Times New Roman" w:eastAsia="新細明體"/>
          <w:b/>
          <w:i w:val="0"/>
          <w:sz w:val="24"/>
        </w:rPr>
        <w:t>跨宗教</w:t>
      </w:r>
      <w:r>
        <w:rPr>
          <w:rFonts w:ascii="Times New Roman" w:hAnsi="Times New Roman" w:eastAsia="新細明體"/>
          <w:b w:val="0"/>
          <w:i w:val="0"/>
          <w:sz w:val="24"/>
        </w:rPr>
        <w:t>：一九五〇至七〇年代護教論戰文獻（煮雲、聖嚴、吳恩溥、龔天民等）；一九八〇年代以降對話文獻；關懷生命協會、台灣動物社會研究會、廢死聯盟等組織的運動文件與新聞報導。</w:t>
      </w:r>
    </w:p>
    <w:p>
      <w:pPr>
        <w:spacing w:line="360" w:lineRule="auto" w:after="120"/>
        <w:ind w:firstLine="480"/>
      </w:pPr>
      <w:r>
        <w:rPr>
          <w:rFonts w:ascii="Times New Roman" w:hAnsi="Times New Roman" w:eastAsia="新細明體"/>
          <w:b w:val="0"/>
          <w:i w:val="0"/>
          <w:sz w:val="24"/>
        </w:rPr>
        <w:t>史料使用上遵守兩項原則：</w:t>
      </w:r>
      <w:r>
        <w:rPr>
          <w:rFonts w:ascii="Times New Roman" w:hAnsi="Times New Roman" w:eastAsia="新細明體"/>
          <w:b/>
          <w:i w:val="0"/>
          <w:sz w:val="24"/>
        </w:rPr>
        <w:t>其一，優先使用當時文獻而非後來的追述</w:t>
      </w:r>
      <w:r>
        <w:rPr>
          <w:rFonts w:ascii="Times New Roman" w:hAnsi="Times New Roman" w:eastAsia="新細明體"/>
          <w:b w:val="0"/>
          <w:i w:val="0"/>
          <w:sz w:val="24"/>
        </w:rPr>
        <w:t>；</w:t>
      </w:r>
      <w:r>
        <w:rPr>
          <w:rFonts w:ascii="Times New Roman" w:hAnsi="Times New Roman" w:eastAsia="新細明體"/>
          <w:b/>
          <w:i w:val="0"/>
          <w:sz w:val="24"/>
        </w:rPr>
        <w:t>其二，教團自述與外部報導並置比對</w:t>
      </w:r>
      <w:r>
        <w:rPr>
          <w:rFonts w:ascii="Times New Roman" w:hAnsi="Times New Roman" w:eastAsia="新細明體"/>
          <w:b w:val="0"/>
          <w:i w:val="0"/>
          <w:sz w:val="24"/>
        </w:rPr>
        <w:t>，避免單方敘事。</w:t>
      </w:r>
    </w:p>
    <w:p>
      <w:pPr>
        <w:pageBreakBefore w:val="0"/>
        <w:spacing w:line="360" w:lineRule="auto" w:after="200" w:before="160"/>
      </w:pPr>
      <w:r>
        <w:rPr>
          <w:rFonts w:ascii="Times New Roman" w:hAnsi="Times New Roman" w:eastAsia="新細明體"/>
          <w:b/>
          <w:i w:val="0"/>
          <w:sz w:val="26"/>
        </w:rPr>
        <w:t>（四）口述歷史</w:t>
      </w:r>
    </w:p>
    <w:p>
      <w:pPr>
        <w:spacing w:line="360" w:lineRule="auto" w:after="120"/>
        <w:ind w:firstLine="480"/>
      </w:pPr>
      <w:r>
        <w:rPr>
          <w:rFonts w:ascii="Times New Roman" w:hAnsi="Times New Roman" w:eastAsia="新細明體"/>
          <w:b w:val="0"/>
          <w:i w:val="0"/>
          <w:sz w:val="24"/>
        </w:rPr>
        <w:t>用於第六章。針對一九九〇年代以降跨宗教行動結盟的參與者——包含教界領袖、神職人員、社運工作者——進行半結構式訪談，補足文獻中不會留下的協商過程、認知落差與情感因素。訪談稿依學術倫理程序取得受訪人同意後使用，並與同時期文獻交叉查核。筆者過去已完成數次相關訪談（含昭慧法師），具備延續此一工作的基礎。</w:t>
      </w:r>
    </w:p>
    <w:p>
      <w:pPr>
        <w:pageBreakBefore w:val="0"/>
        <w:spacing w:line="360" w:lineRule="auto" w:after="200" w:before="160"/>
      </w:pPr>
      <w:r>
        <w:rPr>
          <w:rFonts w:ascii="Times New Roman" w:hAnsi="Times New Roman" w:eastAsia="新細明體"/>
          <w:b/>
          <w:i w:val="0"/>
          <w:sz w:val="26"/>
        </w:rPr>
        <w:t>（五）研究範圍與斷限</w:t>
      </w:r>
    </w:p>
    <w:p>
      <w:pPr>
        <w:spacing w:line="360" w:lineRule="auto" w:after="120"/>
        <w:ind w:firstLine="480"/>
      </w:pPr>
      <w:r>
        <w:rPr>
          <w:rFonts w:ascii="Times New Roman" w:hAnsi="Times New Roman" w:eastAsia="新細明體"/>
          <w:b/>
          <w:i w:val="0"/>
          <w:sz w:val="24"/>
        </w:rPr>
        <w:t>時間</w:t>
      </w:r>
      <w:r>
        <w:rPr>
          <w:rFonts w:ascii="Times New Roman" w:hAnsi="Times New Roman" w:eastAsia="新細明體"/>
          <w:b w:val="0"/>
          <w:i w:val="0"/>
          <w:sz w:val="24"/>
        </w:rPr>
        <w:t>：一九二〇年代至二〇二〇年代，整整一百年。上限取一次大戰後民族自決思潮與社會思想傳入東亞、各地宗教改革運動同時啟動之際；下限取當前跨宗教議題結盟的最新發展，二〇二〇年代的部分從簡，只交代趨勢而不作完整處理——距離太近的事件尚不足以作史。</w:t>
      </w:r>
    </w:p>
    <w:p>
      <w:pPr>
        <w:spacing w:line="360" w:lineRule="auto" w:after="120"/>
        <w:ind w:firstLine="480"/>
      </w:pPr>
      <w:r>
        <w:rPr>
          <w:rFonts w:ascii="Times New Roman" w:hAnsi="Times New Roman" w:eastAsia="新細明體"/>
          <w:b w:val="0"/>
          <w:i w:val="0"/>
          <w:sz w:val="24"/>
        </w:rPr>
        <w:t>其中東亞部分（第二章）止於二次大戰結束，</w:t>
      </w:r>
      <w:r>
        <w:rPr>
          <w:rFonts w:ascii="Times New Roman" w:hAnsi="Times New Roman" w:eastAsia="新細明體"/>
          <w:b/>
          <w:i w:val="0"/>
          <w:sz w:val="24"/>
        </w:rPr>
        <w:t>作為前史處理</w:t>
      </w:r>
      <w:r>
        <w:rPr>
          <w:rFonts w:ascii="Times New Roman" w:hAnsi="Times New Roman" w:eastAsia="新細明體"/>
          <w:b w:val="0"/>
          <w:i w:val="0"/>
          <w:sz w:val="24"/>
        </w:rPr>
        <w:t>：目的在說明戰後台灣兩條線索的思想與制度資源從何而來，而非另立一段東亞通史。此一部分因此以既有研究的綜合為主，不作獨立的史料考證；題目不列「東亞」，正是為了不對這一章作出它不打算履行的承諾。</w:t>
      </w:r>
    </w:p>
    <w:p>
      <w:pPr>
        <w:spacing w:line="360" w:lineRule="auto" w:after="120"/>
        <w:ind w:firstLine="480"/>
      </w:pPr>
      <w:r>
        <w:rPr>
          <w:rFonts w:ascii="Times New Roman" w:hAnsi="Times New Roman" w:eastAsia="新細明體"/>
          <w:b/>
          <w:i w:val="0"/>
          <w:sz w:val="24"/>
        </w:rPr>
        <w:t>空間</w:t>
      </w:r>
      <w:r>
        <w:rPr>
          <w:rFonts w:ascii="Times New Roman" w:hAnsi="Times New Roman" w:eastAsia="新細明體"/>
          <w:b w:val="0"/>
          <w:i w:val="0"/>
          <w:sz w:val="24"/>
        </w:rPr>
        <w:t>：以台灣為核心個案，以日本、中國、朝鮮為比較背景。第一章之外，其餘各章均以台灣為主。</w:t>
      </w:r>
    </w:p>
    <w:p>
      <w:pPr>
        <w:spacing w:line="360" w:lineRule="auto" w:after="120"/>
        <w:ind w:firstLine="480"/>
      </w:pPr>
      <w:r>
        <w:rPr>
          <w:rFonts w:ascii="Times New Roman" w:hAnsi="Times New Roman" w:eastAsia="新細明體"/>
          <w:b/>
          <w:i w:val="0"/>
          <w:sz w:val="24"/>
        </w:rPr>
        <w:t>宗教</w:t>
      </w:r>
      <w:r>
        <w:rPr>
          <w:rFonts w:ascii="Times New Roman" w:hAnsi="Times New Roman" w:eastAsia="新細明體"/>
          <w:b w:val="0"/>
          <w:i w:val="0"/>
          <w:sz w:val="24"/>
        </w:rPr>
        <w:t>：以佛教與基督教（特別是台灣基督長老教會）為兩條主線。天主教（單國璽、洪山川等）在第六章的議題結盟中作為重要參與者出現，但不另立系譜。</w:t>
      </w:r>
    </w:p>
    <w:p>
      <w:pPr>
        <w:pageBreakBefore w:val="0"/>
        <w:spacing w:line="360" w:lineRule="auto" w:after="200" w:before="160"/>
      </w:pPr>
      <w:r>
        <w:rPr>
          <w:rFonts w:ascii="Times New Roman" w:hAnsi="Times New Roman" w:eastAsia="新細明體"/>
          <w:b/>
          <w:i w:val="0"/>
          <w:sz w:val="26"/>
        </w:rPr>
        <w:t>（六）研究限制</w:t>
      </w:r>
    </w:p>
    <w:p>
      <w:pPr>
        <w:spacing w:line="360" w:lineRule="auto" w:after="120"/>
        <w:ind w:firstLine="480"/>
      </w:pPr>
      <w:r>
        <w:rPr>
          <w:rFonts w:ascii="Times New Roman" w:hAnsi="Times New Roman" w:eastAsia="新細明體"/>
          <w:b w:val="0"/>
          <w:i w:val="0"/>
          <w:sz w:val="24"/>
        </w:rPr>
        <w:t>第一，四地比較必然仰賴既有的專題研究與譯本，本研究在日文、韓文一手史料上的處理深度有其限度，故第二章定位為前史背景的綜合，而非各地宗教史的原創考證。第二，口述歷史受限於受訪者的記憶與立場，其效力在於補充而非取代文獻。第三，本研究處理的是宗教菁英與組織層次的公共性，一般信眾的態度變遷需要另一套量化方法，不在本研究範圍之內。</w:t>
      </w:r>
    </w:p>
    <w:p>
      <w:pPr>
        <w:pageBreakBefore w:val="0"/>
        <w:spacing w:line="360" w:lineRule="auto" w:after="200" w:before="240"/>
      </w:pPr>
      <w:r>
        <w:rPr>
          <w:rFonts w:ascii="Times New Roman" w:hAnsi="Times New Roman" w:eastAsia="新細明體"/>
          <w:b/>
          <w:i w:val="0"/>
          <w:sz w:val="28"/>
        </w:rPr>
        <w:t>四、論文架構（章節安排）</w:t>
      </w:r>
    </w:p>
    <w:p>
      <w:pPr>
        <w:spacing w:line="360" w:lineRule="auto" w:after="120"/>
        <w:ind w:firstLine="480"/>
      </w:pPr>
      <w:r>
        <w:rPr>
          <w:rFonts w:ascii="Times New Roman" w:hAnsi="Times New Roman" w:eastAsia="新細明體"/>
          <w:b w:val="0"/>
          <w:i w:val="0"/>
          <w:sz w:val="24"/>
        </w:rPr>
        <w:t>全論文分七章。第一章交代方法與研究缺口，第二章立東亞前史背景，第三、四章各自重建一條系譜，第五章把兩條線並置比較，第六章提出「人間宗教」範式並以戰後佛耶交會與結盟的實際歷程加以檢證。</w:t>
      </w:r>
    </w:p>
    <w:p>
      <w:pPr>
        <w:pageBreakBefore w:val="0"/>
        <w:spacing w:line="360" w:lineRule="auto" w:after="200" w:before="160"/>
      </w:pPr>
      <w:r>
        <w:rPr>
          <w:rFonts w:ascii="Times New Roman" w:hAnsi="Times New Roman" w:eastAsia="新細明體"/>
          <w:b/>
          <w:i w:val="0"/>
          <w:sz w:val="26"/>
        </w:rPr>
        <w:t>第一章　研究方法與文獻回顧</w:t>
      </w:r>
    </w:p>
    <w:p>
      <w:pPr>
        <w:spacing w:line="360" w:lineRule="auto" w:after="120"/>
        <w:ind w:firstLine="480"/>
      </w:pPr>
      <w:r>
        <w:rPr>
          <w:rFonts w:ascii="Times New Roman" w:hAnsi="Times New Roman" w:eastAsia="新細明體"/>
          <w:b/>
          <w:i w:val="0"/>
          <w:sz w:val="24"/>
        </w:rPr>
        <w:t>第一節　問題意識與研究提問</w:t>
      </w:r>
      <w:r>
        <w:rPr>
          <w:rFonts w:ascii="Times New Roman" w:hAnsi="Times New Roman" w:eastAsia="新細明體"/>
          <w:b w:val="0"/>
          <w:i w:val="0"/>
          <w:sz w:val="24"/>
        </w:rPr>
        <w:t>：兩段一向分開講述的歷史；為何從歷史比較起手而非從理論起手；三層提問（源頭、生成、意義）。</w:t>
      </w:r>
    </w:p>
    <w:p>
      <w:pPr>
        <w:spacing w:line="360" w:lineRule="auto" w:after="120"/>
        <w:ind w:firstLine="480"/>
      </w:pPr>
      <w:r>
        <w:rPr>
          <w:rFonts w:ascii="Times New Roman" w:hAnsi="Times New Roman" w:eastAsia="新細明體"/>
          <w:b/>
          <w:i w:val="0"/>
          <w:sz w:val="24"/>
        </w:rPr>
        <w:t>第二節　文獻回顧與研究缺口</w:t>
      </w:r>
      <w:r>
        <w:rPr>
          <w:rFonts w:ascii="Times New Roman" w:hAnsi="Times New Roman" w:eastAsia="新細明體"/>
          <w:b w:val="0"/>
          <w:i w:val="0"/>
          <w:sz w:val="24"/>
        </w:rPr>
        <w:t>：四個領域逐一檢視——東亞近代宗教變革的比較史、台灣佛教史與人間佛教研究、台灣基督教史與本土神學研究、戰後佛耶關係與跨宗教研究；指出四者各自成史而未曾接合，以及傳道、王憲治兩條線索的研究空白。</w:t>
      </w:r>
    </w:p>
    <w:p>
      <w:pPr>
        <w:spacing w:line="360" w:lineRule="auto" w:after="120"/>
        <w:ind w:firstLine="480"/>
      </w:pPr>
      <w:r>
        <w:rPr>
          <w:rFonts w:ascii="Times New Roman" w:hAnsi="Times New Roman" w:eastAsia="新細明體"/>
          <w:b/>
          <w:i w:val="0"/>
          <w:sz w:val="24"/>
        </w:rPr>
        <w:t>第三節　研究方法</w:t>
      </w:r>
      <w:r>
        <w:rPr>
          <w:rFonts w:ascii="Times New Roman" w:hAnsi="Times New Roman" w:eastAsia="新細明體"/>
          <w:b w:val="0"/>
          <w:i w:val="0"/>
          <w:sz w:val="24"/>
        </w:rPr>
        <w:t>：宗教史比較的比較單位如何界定；思想史與概念史對關鍵詞的追蹤；文獻史料學的兩項使用原則；口述歷史的定位與倫理程序。</w:t>
      </w:r>
    </w:p>
    <w:p>
      <w:pPr>
        <w:spacing w:line="360" w:lineRule="auto" w:after="120"/>
        <w:ind w:firstLine="480"/>
      </w:pPr>
      <w:r>
        <w:rPr>
          <w:rFonts w:ascii="Times New Roman" w:hAnsi="Times New Roman" w:eastAsia="新細明體"/>
          <w:b/>
          <w:i w:val="0"/>
          <w:sz w:val="24"/>
        </w:rPr>
        <w:t>第四節　史料來源、研究範圍與研究限制</w:t>
      </w:r>
      <w:r>
        <w:rPr>
          <w:rFonts w:ascii="Times New Roman" w:hAnsi="Times New Roman" w:eastAsia="新細明體"/>
          <w:b w:val="0"/>
          <w:i w:val="0"/>
          <w:sz w:val="24"/>
        </w:rPr>
        <w:t>：佛教、基督教、跨宗教三大史料群；時間與空間的斷限；本研究在日韓一手史料、口述記憶與信眾層次上的限制。</w:t>
      </w:r>
    </w:p>
    <w:p>
      <w:pPr>
        <w:spacing w:line="360" w:lineRule="auto" w:after="120"/>
        <w:ind w:firstLine="480"/>
      </w:pPr>
      <w:r>
        <w:rPr>
          <w:rFonts w:ascii="Times New Roman" w:hAnsi="Times New Roman" w:eastAsia="新細明體"/>
          <w:b/>
          <w:i w:val="0"/>
          <w:sz w:val="24"/>
        </w:rPr>
        <w:t>第五節　名詞界定</w:t>
      </w:r>
      <w:r>
        <w:rPr>
          <w:rFonts w:ascii="Times New Roman" w:hAnsi="Times New Roman" w:eastAsia="新細明體"/>
          <w:b w:val="0"/>
          <w:i w:val="0"/>
          <w:sz w:val="24"/>
        </w:rPr>
        <w:t>：人間性、公共性、公共神學、人間宗教——說明本研究在何種意義上使用這些詞，以及它們與世俗化、政治參與、社會運動的分野。</w:t>
      </w:r>
    </w:p>
    <w:p>
      <w:pPr>
        <w:pageBreakBefore w:val="0"/>
        <w:spacing w:line="360" w:lineRule="auto" w:after="200" w:before="160"/>
      </w:pPr>
      <w:r>
        <w:rPr>
          <w:rFonts w:ascii="Times New Roman" w:hAnsi="Times New Roman" w:eastAsia="新細明體"/>
          <w:b/>
          <w:i w:val="0"/>
          <w:sz w:val="26"/>
        </w:rPr>
        <w:t>第二章　東亞近代宗教變革：復興的共同源頭</w:t>
      </w:r>
    </w:p>
    <w:p>
      <w:pPr>
        <w:spacing w:line="360" w:lineRule="auto" w:after="120"/>
        <w:ind w:firstLine="480"/>
      </w:pPr>
      <w:r>
        <w:rPr>
          <w:rFonts w:ascii="Times New Roman" w:hAnsi="Times New Roman" w:eastAsia="新細明體"/>
          <w:b/>
          <w:i w:val="0"/>
          <w:sz w:val="24"/>
        </w:rPr>
        <w:t>第一節　共同的歷史條件</w:t>
      </w:r>
      <w:r>
        <w:rPr>
          <w:rFonts w:ascii="Times New Roman" w:hAnsi="Times New Roman" w:eastAsia="新細明體"/>
          <w:b w:val="0"/>
          <w:i w:val="0"/>
          <w:sz w:val="24"/>
        </w:rPr>
        <w:t>：一次大戰後民族自決思潮席捲東亞，殖民體制與帝國秩序同時鬆動又收緊；社會主義與美國社會福音思潮先後傳入；此前十九世紀末以來近代國家對宗教財產與制度的整編（日本神佛分離與廢佛毀釋的餘波、中國廟產興學、朝鮮總督府的宗教政策、台灣總督府的寺廟整理）已使各地宗教陷於存亡與正當性的雙重危機——民族主義浪潮與宗教復興因此在一九二〇年代前後同時發生，這是本章比較的共同起點。</w:t>
      </w:r>
    </w:p>
    <w:p>
      <w:pPr>
        <w:spacing w:line="360" w:lineRule="auto" w:after="120"/>
        <w:ind w:firstLine="480"/>
      </w:pPr>
      <w:r>
        <w:rPr>
          <w:rFonts w:ascii="Times New Roman" w:hAnsi="Times New Roman" w:eastAsia="新細明體"/>
          <w:b/>
          <w:i w:val="0"/>
          <w:sz w:val="24"/>
        </w:rPr>
        <w:t>第二節　日本：改革與左翼的兩條線</w:t>
      </w:r>
      <w:r>
        <w:rPr>
          <w:rFonts w:ascii="Times New Roman" w:hAnsi="Times New Roman" w:eastAsia="新細明體"/>
          <w:b w:val="0"/>
          <w:i w:val="0"/>
          <w:sz w:val="24"/>
        </w:rPr>
        <w:t>：大正民主下的宗教社會運動，其思想前身為清沢満之的精神主義與新佛教徒運動；日蓮主義的國家化與其反面；內村鑑三的無教會主義與矢內原忠雄的批判傳統；賀川豐彥的基督教社會運動；妹尾義郎與新興佛教青年同盟。說明「宗教的社會化」在日本何以同時開出國家主義與社會主義兩種方向。</w:t>
      </w:r>
    </w:p>
    <w:p>
      <w:pPr>
        <w:spacing w:line="360" w:lineRule="auto" w:after="120"/>
        <w:ind w:firstLine="480"/>
      </w:pPr>
      <w:r>
        <w:rPr>
          <w:rFonts w:ascii="Times New Roman" w:hAnsi="Times New Roman" w:eastAsia="新細明體"/>
          <w:b/>
          <w:i w:val="0"/>
          <w:sz w:val="24"/>
        </w:rPr>
        <w:t>第三節　中國：從存亡危機到佛教革命與社會福音</w:t>
      </w:r>
      <w:r>
        <w:rPr>
          <w:rFonts w:ascii="Times New Roman" w:hAnsi="Times New Roman" w:eastAsia="新細明體"/>
          <w:b w:val="0"/>
          <w:i w:val="0"/>
          <w:sz w:val="24"/>
        </w:rPr>
        <w:t>：廟產興學危機與佛教界的組織性回應；太虛的三大革命與人生佛教；吳耀宗與青年會系統的社會福音路線。指出「革命」語彙如何同時進入佛教與基督教的自我表述。</w:t>
      </w:r>
    </w:p>
    <w:p>
      <w:pPr>
        <w:spacing w:line="360" w:lineRule="auto" w:after="120"/>
        <w:ind w:firstLine="480"/>
      </w:pPr>
      <w:r>
        <w:rPr>
          <w:rFonts w:ascii="Times New Roman" w:hAnsi="Times New Roman" w:eastAsia="新細明體"/>
          <w:b/>
          <w:i w:val="0"/>
          <w:sz w:val="24"/>
        </w:rPr>
        <w:t>第四節　朝鮮：三一運動中的跨宗教結盟</w:t>
      </w:r>
      <w:r>
        <w:rPr>
          <w:rFonts w:ascii="Times New Roman" w:hAnsi="Times New Roman" w:eastAsia="新細明體"/>
          <w:b w:val="0"/>
          <w:i w:val="0"/>
          <w:sz w:val="24"/>
        </w:rPr>
        <w:t>：東學至天道教的轉化；一九一九年獨立宣言簽署者的宗教組成所顯示的結盟事實；韓龍雲的佛教維新論；此一經驗如何成為民眾神學的前史。</w:t>
      </w:r>
    </w:p>
    <w:p>
      <w:pPr>
        <w:spacing w:line="360" w:lineRule="auto" w:after="120"/>
        <w:ind w:firstLine="480"/>
      </w:pPr>
      <w:r>
        <w:rPr>
          <w:rFonts w:ascii="Times New Roman" w:hAnsi="Times New Roman" w:eastAsia="新細明體"/>
          <w:b/>
          <w:i w:val="0"/>
          <w:sz w:val="24"/>
        </w:rPr>
        <w:t>第五節　台灣：新文化運動中的宗教覺醒</w:t>
      </w:r>
      <w:r>
        <w:rPr>
          <w:rFonts w:ascii="Times New Roman" w:hAnsi="Times New Roman" w:eastAsia="新細明體"/>
          <w:b w:val="0"/>
          <w:i w:val="0"/>
          <w:sz w:val="24"/>
        </w:rPr>
        <w:t>：台灣文化協會與新文化運動的宗教面向；林秋梧（證峰）的社會主義佛教論述；南瀛佛教會體制下的僧侶教育；長老教會自日治時期起的自立運動與教育事業。</w:t>
      </w:r>
    </w:p>
    <w:p>
      <w:pPr>
        <w:spacing w:line="360" w:lineRule="auto" w:after="120"/>
        <w:ind w:firstLine="480"/>
      </w:pPr>
      <w:r>
        <w:rPr>
          <w:rFonts w:ascii="Times New Roman" w:hAnsi="Times New Roman" w:eastAsia="新細明體"/>
          <w:b/>
          <w:i w:val="0"/>
          <w:sz w:val="24"/>
        </w:rPr>
        <w:t>第六節　比較與歸納</w:t>
      </w:r>
      <w:r>
        <w:rPr>
          <w:rFonts w:ascii="Times New Roman" w:hAnsi="Times New Roman" w:eastAsia="新細明體"/>
          <w:b w:val="0"/>
          <w:i w:val="0"/>
          <w:sz w:val="24"/>
        </w:rPr>
        <w:t>：四地共享的三項條件（國家整編、殖民或半殖民處境、外來社會思潮）與兩項差異變項（宗教與國家的既有關係、殖民者與被殖民者的宗教歸屬）；「入世」作為共同轉向，其性質是回應性的、跨宗教的、且與民族處境緊密綁定。此結論構成第三、四章的歷史前提。</w:t>
      </w:r>
    </w:p>
    <w:p>
      <w:pPr>
        <w:pageBreakBefore w:val="0"/>
        <w:spacing w:line="360" w:lineRule="auto" w:after="200" w:before="160"/>
      </w:pPr>
      <w:r>
        <w:rPr>
          <w:rFonts w:ascii="Times New Roman" w:hAnsi="Times New Roman" w:eastAsia="新細明體"/>
          <w:b/>
          <w:i w:val="0"/>
          <w:sz w:val="26"/>
        </w:rPr>
        <w:t>第三章　人間佛教在台灣的發展：太虛、印順、傳道、昭慧</w:t>
      </w:r>
    </w:p>
    <w:p>
      <w:pPr>
        <w:spacing w:line="360" w:lineRule="auto" w:after="120"/>
        <w:ind w:firstLine="480"/>
      </w:pPr>
      <w:r>
        <w:rPr>
          <w:rFonts w:ascii="Times New Roman" w:hAnsi="Times New Roman" w:eastAsia="新細明體"/>
          <w:b/>
          <w:i w:val="0"/>
          <w:sz w:val="24"/>
        </w:rPr>
        <w:t>第一節　太虛與佛教革命的提出</w:t>
      </w:r>
      <w:r>
        <w:rPr>
          <w:rFonts w:ascii="Times New Roman" w:hAnsi="Times New Roman" w:eastAsia="新細明體"/>
          <w:b w:val="0"/>
          <w:i w:val="0"/>
          <w:sz w:val="24"/>
        </w:rPr>
        <w:t>：教理、教制、教產三大革命的內容與其制度上的受挫；「人生佛教」的提出與其對天乘及鬼神信仰的批判；太虛路線在戰後台灣的殘留與轉化。</w:t>
      </w:r>
    </w:p>
    <w:p>
      <w:pPr>
        <w:spacing w:line="360" w:lineRule="auto" w:after="120"/>
        <w:ind w:firstLine="480"/>
      </w:pPr>
      <w:r>
        <w:rPr>
          <w:rFonts w:ascii="Times New Roman" w:hAnsi="Times New Roman" w:eastAsia="新細明體"/>
          <w:b/>
          <w:i w:val="0"/>
          <w:sz w:val="24"/>
        </w:rPr>
        <w:t>第二節　印順與「人間佛教」範式的確立</w:t>
      </w:r>
      <w:r>
        <w:rPr>
          <w:rFonts w:ascii="Times New Roman" w:hAnsi="Times New Roman" w:eastAsia="新細明體"/>
          <w:b w:val="0"/>
          <w:i w:val="0"/>
          <w:sz w:val="24"/>
        </w:rPr>
        <w:t>：以教史研究重新界定佛教的核心關懷；《印度之佛教》至《印度佛教思想史》的教史重詮工程；〈契理契機之人間佛教〉所確立的方法論；「此時、此地、此人」何以不是世俗化的讓步，而是對佛陀本懷與初期大乘精神的重新宣稱。</w:t>
      </w:r>
    </w:p>
    <w:p>
      <w:pPr>
        <w:spacing w:line="360" w:lineRule="auto" w:after="120"/>
        <w:ind w:firstLine="480"/>
      </w:pPr>
      <w:r>
        <w:rPr>
          <w:rFonts w:ascii="Times New Roman" w:hAnsi="Times New Roman" w:eastAsia="新細明體"/>
          <w:b/>
          <w:i w:val="0"/>
          <w:sz w:val="24"/>
        </w:rPr>
        <w:t>第三節　傳道與妙心寺路線的在地實踐</w:t>
      </w:r>
      <w:r>
        <w:rPr>
          <w:rFonts w:ascii="Times New Roman" w:hAnsi="Times New Roman" w:eastAsia="新細明體"/>
          <w:b w:val="0"/>
          <w:i w:val="0"/>
          <w:sz w:val="24"/>
        </w:rPr>
        <w:t>：台語弘法與在地語言的宗教意義；《妙心雜誌》與中華佛教百科文獻基金會的文獻事業；環境、社區與教育議題上的參與；作為印順學派三大法系之一，妙心寺一系與弘誓一系在實踐取向上的分工與差異。</w:t>
      </w:r>
    </w:p>
    <w:p>
      <w:pPr>
        <w:spacing w:line="360" w:lineRule="auto" w:after="120"/>
        <w:ind w:firstLine="480"/>
      </w:pPr>
      <w:r>
        <w:rPr>
          <w:rFonts w:ascii="Times New Roman" w:hAnsi="Times New Roman" w:eastAsia="新細明體"/>
          <w:b/>
          <w:i w:val="0"/>
          <w:sz w:val="24"/>
        </w:rPr>
        <w:t>第四節　昭慧與佛教倫理的公共化</w:t>
      </w:r>
      <w:r>
        <w:rPr>
          <w:rFonts w:ascii="Times New Roman" w:hAnsi="Times New Roman" w:eastAsia="新細明體"/>
          <w:b w:val="0"/>
          <w:i w:val="0"/>
          <w:sz w:val="24"/>
        </w:rPr>
        <w:t>：律學重詮與教內體制改革（含廢除八敬法的訴求及其爭議）；從護教運動到社會運動的路徑；《佛教倫理學》至《佛教規範倫理學》的體系化，如何把佛教立場轉譯為可與世俗倫理學對話的公共論述。</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：佛教公共性與人間性的生成機制——危機中的改革發動、教史與教理的重新詮釋、在地語言與草根組織的落實、倫理論述的建制化與公共化。</w:t>
      </w:r>
    </w:p>
    <w:p>
      <w:pPr>
        <w:pageBreakBefore w:val="0"/>
        <w:spacing w:line="360" w:lineRule="auto" w:after="200" w:before="160"/>
      </w:pPr>
      <w:r>
        <w:rPr>
          <w:rFonts w:ascii="Times New Roman" w:hAnsi="Times New Roman" w:eastAsia="新細明體"/>
          <w:b/>
          <w:i w:val="0"/>
          <w:sz w:val="26"/>
        </w:rPr>
        <w:t>第四章　台灣長老教會的公共神學發展：黃彰輝、宋泉盛、王憲治、黃伯和</w:t>
      </w:r>
    </w:p>
    <w:p>
      <w:pPr>
        <w:spacing w:line="360" w:lineRule="auto" w:after="120"/>
        <w:ind w:firstLine="480"/>
      </w:pPr>
      <w:r>
        <w:rPr>
          <w:rFonts w:ascii="Times New Roman" w:hAnsi="Times New Roman" w:eastAsia="新細明體"/>
          <w:b/>
          <w:i w:val="0"/>
          <w:sz w:val="24"/>
        </w:rPr>
        <w:t>第一節　從自立到實況：公共性的體制條件</w:t>
      </w:r>
      <w:r>
        <w:rPr>
          <w:rFonts w:ascii="Times New Roman" w:hAnsi="Times New Roman" w:eastAsia="新細明體"/>
          <w:b w:val="0"/>
          <w:i w:val="0"/>
          <w:sz w:val="24"/>
        </w:rPr>
        <w:t>：長老教會自日治時期的自立運動、戰後的在地認同轉折，到一九七〇年代〈國是聲明〉、〈我們的呼籲〉、〈人權宣言〉三大聲明的形成；教育、醫療與地方教會網絡如何構成公共介入的組織基礎。</w:t>
      </w:r>
    </w:p>
    <w:p>
      <w:pPr>
        <w:spacing w:line="360" w:lineRule="auto" w:after="120"/>
        <w:ind w:firstLine="480"/>
      </w:pPr>
      <w:r>
        <w:rPr>
          <w:rFonts w:ascii="Times New Roman" w:hAnsi="Times New Roman" w:eastAsia="新細明體"/>
          <w:b/>
          <w:i w:val="0"/>
          <w:sz w:val="24"/>
        </w:rPr>
        <w:t>第二節　黃彰輝與「實況化」概念的鑄造</w:t>
      </w:r>
      <w:r>
        <w:rPr>
          <w:rFonts w:ascii="Times New Roman" w:hAnsi="Times New Roman" w:eastAsia="新細明體"/>
          <w:b w:val="0"/>
          <w:i w:val="0"/>
          <w:sz w:val="24"/>
        </w:rPr>
        <w:t>：自台南神學院復校至普世教會協會神學教育基金會；「實況化」（contextualization）相對於「本色化」（indigenization）的概念轉折；台灣經驗如何成為一個普世神學概念的來源；一九七〇年代台灣人民自決運動中的角色。</w:t>
      </w:r>
    </w:p>
    <w:p>
      <w:pPr>
        <w:spacing w:line="360" w:lineRule="auto" w:after="120"/>
        <w:ind w:firstLine="480"/>
      </w:pPr>
      <w:r>
        <w:rPr>
          <w:rFonts w:ascii="Times New Roman" w:hAnsi="Times New Roman" w:eastAsia="新細明體"/>
          <w:b/>
          <w:i w:val="0"/>
          <w:sz w:val="24"/>
        </w:rPr>
        <w:t>第三節　宋泉盛與亞洲受苦經驗的神學轉譯</w:t>
      </w:r>
      <w:r>
        <w:rPr>
          <w:rFonts w:ascii="Times New Roman" w:hAnsi="Times New Roman" w:eastAsia="新細明體"/>
          <w:b w:val="0"/>
          <w:i w:val="0"/>
          <w:sz w:val="24"/>
        </w:rPr>
        <w:t>：以亞洲民間故事與受苦記憶作為神學材料；《第三眼神學》至《耶穌，被釘十字架的人民》的方法演進；在普世教會協會體制內的位置與影響。</w:t>
      </w:r>
    </w:p>
    <w:p>
      <w:pPr>
        <w:spacing w:line="360" w:lineRule="auto" w:after="120"/>
        <w:ind w:firstLine="480"/>
      </w:pPr>
      <w:r>
        <w:rPr>
          <w:rFonts w:ascii="Times New Roman" w:hAnsi="Times New Roman" w:eastAsia="新細明體"/>
          <w:b/>
          <w:i w:val="0"/>
          <w:sz w:val="24"/>
        </w:rPr>
        <w:t>第四節　王憲治與台灣鄉土神學</w:t>
      </w:r>
      <w:r>
        <w:rPr>
          <w:rFonts w:ascii="Times New Roman" w:hAnsi="Times New Roman" w:eastAsia="新細明體"/>
          <w:b w:val="0"/>
          <w:i w:val="0"/>
          <w:sz w:val="24"/>
        </w:rPr>
        <w:t>：《台灣鄉土神學論文集》的問題架構——人民、鄉土、權力、上帝四主題；鄉土神學與自決論述的接合；南神教學現場作為神學生產的場所；此一路線因其早逝而中斷的部分，以及由誰承接。</w:t>
      </w:r>
    </w:p>
    <w:p>
      <w:pPr>
        <w:spacing w:line="360" w:lineRule="auto" w:after="120"/>
        <w:ind w:firstLine="480"/>
      </w:pPr>
      <w:r>
        <w:rPr>
          <w:rFonts w:ascii="Times New Roman" w:hAnsi="Times New Roman" w:eastAsia="新細明體"/>
          <w:b/>
          <w:i w:val="0"/>
          <w:sz w:val="24"/>
        </w:rPr>
        <w:t>第五節　黃伯和與本土神學的體制化</w:t>
      </w:r>
      <w:r>
        <w:rPr>
          <w:rFonts w:ascii="Times New Roman" w:hAnsi="Times New Roman" w:eastAsia="新細明體"/>
          <w:b w:val="0"/>
          <w:i w:val="0"/>
          <w:sz w:val="24"/>
        </w:rPr>
        <w:t>：「出頭天」作為神學範疇的提出；自《宗教與自決》、《奔向出頭天的子民》至二〇二二年五卷本系列的長期工程；神學教育與亞洲普世網絡中的制度性佈局。</w:t>
      </w:r>
    </w:p>
    <w:p>
      <w:pPr>
        <w:spacing w:line="360" w:lineRule="auto" w:after="120"/>
        <w:ind w:firstLine="480"/>
      </w:pPr>
      <w:r>
        <w:rPr>
          <w:rFonts w:ascii="Times New Roman" w:hAnsi="Times New Roman" w:eastAsia="新細明體"/>
          <w:b/>
          <w:i w:val="0"/>
          <w:sz w:val="24"/>
        </w:rPr>
        <w:t>第六節　小結</w:t>
      </w:r>
      <w:r>
        <w:rPr>
          <w:rFonts w:ascii="Times New Roman" w:hAnsi="Times New Roman" w:eastAsia="新細明體"/>
          <w:b w:val="0"/>
          <w:i w:val="0"/>
          <w:sz w:val="24"/>
        </w:rPr>
        <w:t>：基督教公共性與人間性的生成機制——同一四段結構在長老教會脈絡中的具體形態。</w:t>
      </w:r>
    </w:p>
    <w:p>
      <w:pPr>
        <w:pageBreakBefore w:val="0"/>
        <w:spacing w:line="360" w:lineRule="auto" w:after="200" w:before="160"/>
      </w:pPr>
      <w:r>
        <w:rPr>
          <w:rFonts w:ascii="Times New Roman" w:hAnsi="Times New Roman" w:eastAsia="新細明體"/>
          <w:b/>
          <w:i w:val="0"/>
          <w:sz w:val="26"/>
        </w:rPr>
        <w:t>第五章　人間佛教與公共神學之比較</w:t>
      </w:r>
    </w:p>
    <w:p>
      <w:pPr>
        <w:spacing w:line="360" w:lineRule="auto" w:after="120"/>
        <w:ind w:firstLine="480"/>
      </w:pPr>
      <w:r>
        <w:rPr>
          <w:rFonts w:ascii="Times New Roman" w:hAnsi="Times New Roman" w:eastAsia="新細明體"/>
          <w:b/>
          <w:i w:val="0"/>
          <w:sz w:val="24"/>
        </w:rPr>
        <w:t>第一節　生成機制的比較</w:t>
      </w:r>
      <w:r>
        <w:rPr>
          <w:rFonts w:ascii="Times New Roman" w:hAnsi="Times New Roman" w:eastAsia="新細明體"/>
          <w:b w:val="0"/>
          <w:i w:val="0"/>
          <w:sz w:val="24"/>
        </w:rPr>
        <w:t>：兩條系譜在「發動—詮釋—落地—建制」四個位置上的對應；此一同構由哪些共同的歷史條件促成，而非出於彼此模仿。</w:t>
      </w:r>
    </w:p>
    <w:p>
      <w:pPr>
        <w:spacing w:line="360" w:lineRule="auto" w:after="120"/>
        <w:ind w:firstLine="480"/>
      </w:pPr>
      <w:r>
        <w:rPr>
          <w:rFonts w:ascii="Times New Roman" w:hAnsi="Times New Roman" w:eastAsia="新細明體"/>
          <w:b/>
          <w:i w:val="0"/>
          <w:sz w:val="24"/>
        </w:rPr>
        <w:t>第二節　語彙與概念的比較</w:t>
      </w:r>
      <w:r>
        <w:rPr>
          <w:rFonts w:ascii="Times New Roman" w:hAnsi="Times New Roman" w:eastAsia="新細明體"/>
          <w:b w:val="0"/>
          <w:i w:val="0"/>
          <w:sz w:val="24"/>
        </w:rPr>
        <w:t>：「人生／人間」與「本色化／實況化／鄉土／出頭天」兩組關鍵詞的形成軌跡；兩者如何各自在自身傳統內部取得正當性，而非借用對方或借用世俗語言。</w:t>
      </w:r>
    </w:p>
    <w:p>
      <w:pPr>
        <w:spacing w:line="360" w:lineRule="auto" w:after="120"/>
        <w:ind w:firstLine="480"/>
      </w:pPr>
      <w:r>
        <w:rPr>
          <w:rFonts w:ascii="Times New Roman" w:hAnsi="Times New Roman" w:eastAsia="新細明體"/>
          <w:b/>
          <w:i w:val="0"/>
          <w:sz w:val="24"/>
        </w:rPr>
        <w:t>第三節　正當性來源的比較</w:t>
      </w:r>
      <w:r>
        <w:rPr>
          <w:rFonts w:ascii="Times New Roman" w:hAnsi="Times New Roman" w:eastAsia="新細明體"/>
          <w:b w:val="0"/>
          <w:i w:val="0"/>
          <w:sz w:val="24"/>
        </w:rPr>
        <w:t>：佛教一線訴諸「回到佛陀本懷」，基督教一線訴諸「回應此時此地的實況」；兩種正當性策略的效力與代價。</w:t>
      </w:r>
    </w:p>
    <w:p>
      <w:pPr>
        <w:spacing w:line="360" w:lineRule="auto" w:after="120"/>
        <w:ind w:firstLine="480"/>
      </w:pPr>
      <w:r>
        <w:rPr>
          <w:rFonts w:ascii="Times New Roman" w:hAnsi="Times New Roman" w:eastAsia="新細明體"/>
          <w:b/>
          <w:i w:val="0"/>
          <w:sz w:val="24"/>
        </w:rPr>
        <w:t>第四節　組織形態與行動方式的比較</w:t>
      </w:r>
      <w:r>
        <w:rPr>
          <w:rFonts w:ascii="Times New Roman" w:hAnsi="Times New Roman" w:eastAsia="新細明體"/>
          <w:b w:val="0"/>
          <w:i w:val="0"/>
          <w:sz w:val="24"/>
        </w:rPr>
        <w:t>：教團與教會的組織差異如何決定公共介入的形式——佛教一線深嵌於社運與公民團體，基督教一線則較早進入普世體制與政治發言。</w:t>
      </w:r>
    </w:p>
    <w:p>
      <w:pPr>
        <w:spacing w:line="360" w:lineRule="auto" w:after="120"/>
        <w:ind w:firstLine="480"/>
      </w:pPr>
      <w:r>
        <w:rPr>
          <w:rFonts w:ascii="Times New Roman" w:hAnsi="Times New Roman" w:eastAsia="新細明體"/>
          <w:b/>
          <w:i w:val="0"/>
          <w:sz w:val="24"/>
        </w:rPr>
        <w:t>第五節　小結</w:t>
      </w:r>
      <w:r>
        <w:rPr>
          <w:rFonts w:ascii="Times New Roman" w:hAnsi="Times New Roman" w:eastAsia="新細明體"/>
          <w:b w:val="0"/>
          <w:i w:val="0"/>
          <w:sz w:val="24"/>
        </w:rPr>
        <w:t>：異與同各自的歷史解釋——同構來自共同處境，差異來自傳統資源與組織形態；兩者在「人間性」上的交集，構成第六章範式的立論起點。</w:t>
      </w:r>
    </w:p>
    <w:p>
      <w:pPr>
        <w:pageBreakBefore w:val="0"/>
        <w:spacing w:line="360" w:lineRule="auto" w:after="200" w:before="160"/>
      </w:pPr>
      <w:r>
        <w:rPr>
          <w:rFonts w:ascii="Times New Roman" w:hAnsi="Times New Roman" w:eastAsia="新細明體"/>
          <w:b/>
          <w:i w:val="0"/>
          <w:sz w:val="26"/>
        </w:rPr>
        <w:t>第六章　人間宗教的範式</w:t>
      </w:r>
    </w:p>
    <w:p>
      <w:pPr>
        <w:spacing w:line="360" w:lineRule="auto" w:after="120"/>
        <w:ind w:firstLine="480"/>
      </w:pPr>
      <w:r>
        <w:rPr>
          <w:rFonts w:ascii="Times New Roman" w:hAnsi="Times New Roman" w:eastAsia="新細明體"/>
          <w:b/>
          <w:i w:val="0"/>
          <w:sz w:val="24"/>
        </w:rPr>
        <w:t>第一節　從歷史歸納到範式命名</w:t>
      </w:r>
      <w:r>
        <w:rPr>
          <w:rFonts w:ascii="Times New Roman" w:hAnsi="Times New Roman" w:eastAsia="新細明體"/>
          <w:b w:val="0"/>
          <w:i w:val="0"/>
          <w:sz w:val="24"/>
        </w:rPr>
        <w:t>：整理前面各章的發現，提出「人間宗教」（Religion of the Human Realm）作為對此一歷史範式的命名，並界定其三項成分：關懷定位於此世、正當性訴諸各自傳統的本源、公共參與作為宗教性實踐本身。</w:t>
      </w:r>
    </w:p>
    <w:p>
      <w:pPr>
        <w:spacing w:line="360" w:lineRule="auto" w:after="120"/>
        <w:ind w:firstLine="480"/>
      </w:pPr>
      <w:r>
        <w:rPr>
          <w:rFonts w:ascii="Times New Roman" w:hAnsi="Times New Roman" w:eastAsia="新細明體"/>
          <w:b/>
          <w:i w:val="0"/>
          <w:sz w:val="24"/>
        </w:rPr>
        <w:t>第二節　從護教論戰到對話：戰後台灣佛耶關係的前兩個階段</w:t>
      </w:r>
      <w:r>
        <w:rPr>
          <w:rFonts w:ascii="Times New Roman" w:hAnsi="Times New Roman" w:eastAsia="新細明體"/>
          <w:b w:val="0"/>
          <w:i w:val="0"/>
          <w:sz w:val="24"/>
        </w:rPr>
        <w:t>：一九五〇至七〇年代的護教論戰（煮雲、聖嚴與吳恩溥、龔天民等人的文獻）及其社會條件——傳教競爭、美援背景、戒嚴體制；一九八〇至九〇年代對話管道的建立，及此期對話為何多停留在教義與靈修層次。</w:t>
      </w:r>
    </w:p>
    <w:p>
      <w:pPr>
        <w:spacing w:line="360" w:lineRule="auto" w:after="120"/>
        <w:ind w:firstLine="480"/>
      </w:pPr>
      <w:r>
        <w:rPr>
          <w:rFonts w:ascii="Times New Roman" w:hAnsi="Times New Roman" w:eastAsia="新細明體"/>
          <w:b/>
          <w:i w:val="0"/>
          <w:sz w:val="24"/>
        </w:rPr>
        <w:t>第三節　議題結盟：跨宗教合作的當代形態</w:t>
      </w:r>
      <w:r>
        <w:rPr>
          <w:rFonts w:ascii="Times New Roman" w:hAnsi="Times New Roman" w:eastAsia="新細明體"/>
          <w:b w:val="0"/>
          <w:i w:val="0"/>
          <w:sz w:val="24"/>
        </w:rPr>
        <w:t>：二〇〇〇年以降在反賭博合法化、動物保護、廢除死刑、性別平權等議題上的合作；結盟如何在「不談教義、只談議題」的默契下運作；輔以口述歷史，呈現結盟的發起過程、彼此的認知落差，以及行動者如何處理來自各自教內的質疑。</w:t>
      </w:r>
    </w:p>
    <w:p>
      <w:pPr>
        <w:spacing w:line="360" w:lineRule="auto" w:after="120"/>
        <w:ind w:firstLine="480"/>
      </w:pPr>
      <w:r>
        <w:rPr>
          <w:rFonts w:ascii="Times New Roman" w:hAnsi="Times New Roman" w:eastAsia="新細明體"/>
          <w:b/>
          <w:i w:val="0"/>
          <w:sz w:val="24"/>
        </w:rPr>
        <w:t>第四節　人間性的共同作為對話與合作的基礎</w:t>
      </w:r>
      <w:r>
        <w:rPr>
          <w:rFonts w:ascii="Times New Roman" w:hAnsi="Times New Roman" w:eastAsia="新細明體"/>
          <w:b w:val="0"/>
          <w:i w:val="0"/>
          <w:sz w:val="24"/>
        </w:rPr>
        <w:t>：以前兩節的經驗檢證範式——佛教的護生與緣起論述何以能與基督教的先知傳統與人權論述並置而不衝突；為何在「人間」這個共同場域上，合作不需要以教義讓步為前提。這一節說明本研究提出「人間宗教」的實踐意義：它不只是對一段歷史的命名，也是一種可操作的宗教對話與合作模式。</w:t>
      </w:r>
    </w:p>
    <w:p>
      <w:pPr>
        <w:spacing w:line="360" w:lineRule="auto" w:after="120"/>
        <w:ind w:firstLine="480"/>
      </w:pPr>
      <w:r>
        <w:rPr>
          <w:rFonts w:ascii="Times New Roman" w:hAnsi="Times New Roman" w:eastAsia="新細明體"/>
          <w:b/>
          <w:i w:val="0"/>
          <w:sz w:val="24"/>
        </w:rPr>
        <w:t>第五節　對宗教學的意義</w:t>
      </w:r>
      <w:r>
        <w:rPr>
          <w:rFonts w:ascii="Times New Roman" w:hAnsi="Times New Roman" w:eastAsia="新細明體"/>
          <w:b w:val="0"/>
          <w:i w:val="0"/>
          <w:sz w:val="24"/>
        </w:rPr>
        <w:t>：以東亞經驗檢討世俗化理論——這裡的宗教並非在現代化中退場，而是藉由入世而復振；並檢討宗教多元論的預設：當比較的基礎由形上學設定改為歷史經驗時，各宗教的主體性得以保全，而對話不必以教義讓步為代價。與希克、尼特、潘尼卡等既有理論的對話以此為限：以歷史材料檢驗理論，而非以理論裁決歷史。</w:t>
      </w:r>
    </w:p>
    <w:p>
      <w:pPr>
        <w:spacing w:line="360" w:lineRule="auto" w:after="120"/>
        <w:ind w:firstLine="480"/>
      </w:pPr>
      <w:r>
        <w:rPr>
          <w:rFonts w:ascii="Times New Roman" w:hAnsi="Times New Roman" w:eastAsia="新細明體"/>
          <w:b/>
          <w:i w:val="0"/>
          <w:sz w:val="24"/>
        </w:rPr>
        <w:t>第六節　對比較神學的意義</w:t>
      </w:r>
      <w:r>
        <w:rPr>
          <w:rFonts w:ascii="Times New Roman" w:hAnsi="Times New Roman" w:eastAsia="新細明體"/>
          <w:b w:val="0"/>
          <w:i w:val="0"/>
          <w:sz w:val="24"/>
        </w:rPr>
        <w:t>：比較神學若以「歷史處境的相似」而非「教義命題的對應」作為比較單位，可以得到什麼？以第三至五章所得的四段結構為例，說明一種以歷史為基礎的比較神學的操作方式。</w:t>
      </w:r>
    </w:p>
    <w:p>
      <w:pPr>
        <w:spacing w:line="360" w:lineRule="auto" w:after="120"/>
        <w:ind w:firstLine="480"/>
      </w:pPr>
      <w:r>
        <w:rPr>
          <w:rFonts w:ascii="Times New Roman" w:hAnsi="Times New Roman" w:eastAsia="新細明體"/>
          <w:b/>
          <w:i w:val="0"/>
          <w:sz w:val="24"/>
        </w:rPr>
        <w:t>第七節　「人間」作為空間場域</w:t>
      </w:r>
      <w:r>
        <w:rPr>
          <w:rFonts w:ascii="Times New Roman" w:hAnsi="Times New Roman" w:eastAsia="新細明體"/>
          <w:b w:val="0"/>
          <w:i w:val="0"/>
          <w:sz w:val="24"/>
        </w:rPr>
        <w:t>：從史料中的護生、環境、動物與生態關懷出發，論證兩條系譜實際上都已把「人間」擴張為涵蓋非人受造物的場域，因而此一範式內在地具備超越人類中心主義的延伸能力。</w:t>
      </w:r>
    </w:p>
    <w:p>
      <w:pPr>
        <w:spacing w:line="360" w:lineRule="auto" w:after="120"/>
        <w:ind w:firstLine="480"/>
      </w:pPr>
      <w:r>
        <w:rPr>
          <w:rFonts w:ascii="Times New Roman" w:hAnsi="Times New Roman" w:eastAsia="新細明體"/>
          <w:b/>
          <w:i w:val="0"/>
          <w:sz w:val="24"/>
        </w:rPr>
        <w:t>第八節　範式的限度與適用條件</w:t>
      </w:r>
      <w:r>
        <w:rPr>
          <w:rFonts w:ascii="Times New Roman" w:hAnsi="Times New Roman" w:eastAsia="新細明體"/>
          <w:b w:val="0"/>
          <w:i w:val="0"/>
          <w:sz w:val="24"/>
        </w:rPr>
        <w:t>：本範式適用於何種條件下的宗教（有本源可資訴諸、有公共空間可資參與、有處境壓力可資回應）；不適用於何種情況；把台灣經驗普遍化時應有的保留。</w:t>
      </w:r>
    </w:p>
    <w:p>
      <w:pPr>
        <w:pageBreakBefore w:val="0"/>
        <w:spacing w:line="360" w:lineRule="auto" w:after="200" w:before="160"/>
      </w:pPr>
      <w:r>
        <w:rPr>
          <w:rFonts w:ascii="Times New Roman" w:hAnsi="Times New Roman" w:eastAsia="新細明體"/>
          <w:b/>
          <w:i w:val="0"/>
          <w:sz w:val="26"/>
        </w:rPr>
        <w:t>第七章　結論</w:t>
      </w:r>
    </w:p>
    <w:p>
      <w:pPr>
        <w:spacing w:line="360" w:lineRule="auto" w:after="120"/>
        <w:ind w:firstLine="480"/>
      </w:pPr>
      <w:r>
        <w:rPr>
          <w:rFonts w:ascii="Times New Roman" w:hAnsi="Times New Roman" w:eastAsia="新細明體"/>
          <w:b/>
          <w:i w:val="0"/>
          <w:sz w:val="24"/>
        </w:rPr>
        <w:t>第一節　歷史發現的總結</w:t>
      </w:r>
      <w:r>
        <w:rPr>
          <w:rFonts w:ascii="Times New Roman" w:hAnsi="Times New Roman" w:eastAsia="新細明體"/>
          <w:b w:val="0"/>
          <w:i w:val="0"/>
          <w:sz w:val="24"/>
        </w:rPr>
        <w:t>：東亞近代宗教變革的共同源頭，與台灣佛教、基督教公共性生成的同構歷程。</w:t>
      </w:r>
    </w:p>
    <w:p>
      <w:pPr>
        <w:spacing w:line="360" w:lineRule="auto" w:after="120"/>
        <w:ind w:firstLine="480"/>
      </w:pPr>
      <w:r>
        <w:rPr>
          <w:rFonts w:ascii="Times New Roman" w:hAnsi="Times New Roman" w:eastAsia="新細明體"/>
          <w:b/>
          <w:i w:val="0"/>
          <w:sz w:val="24"/>
        </w:rPr>
        <w:t>第二節　「人間宗教」範式的成立條件與理論位置</w:t>
      </w:r>
      <w:r>
        <w:rPr>
          <w:rFonts w:ascii="Times New Roman" w:hAnsi="Times New Roman" w:eastAsia="新細明體"/>
          <w:b w:val="0"/>
          <w:i w:val="0"/>
          <w:sz w:val="24"/>
        </w:rPr>
        <w:t>：此範式在宗教學與比較神學中的位置，及其可檢驗性。</w:t>
      </w:r>
    </w:p>
    <w:p>
      <w:pPr>
        <w:spacing w:line="360" w:lineRule="auto" w:after="120"/>
        <w:ind w:firstLine="480"/>
      </w:pPr>
      <w:r>
        <w:rPr>
          <w:rFonts w:ascii="Times New Roman" w:hAnsi="Times New Roman" w:eastAsia="新細明體"/>
          <w:b/>
          <w:i w:val="0"/>
          <w:sz w:val="24"/>
        </w:rPr>
        <w:t>第三節　未來研究方向</w:t>
      </w:r>
      <w:r>
        <w:rPr>
          <w:rFonts w:ascii="Times New Roman" w:hAnsi="Times New Roman" w:eastAsia="新細明體"/>
          <w:b w:val="0"/>
          <w:i w:val="0"/>
          <w:sz w:val="24"/>
        </w:rPr>
        <w:t>：東亞其他個案（韓國民眾神學與圓佛教、日本入世佛教與無教會主義、越南入世佛教）的檢證；跨宗教公共倫理的可能形態。</w:t>
      </w:r>
    </w:p>
    <w:p>
      <w:pPr>
        <w:pageBreakBefore w:val="0"/>
        <w:spacing w:line="360" w:lineRule="auto" w:after="200" w:before="240"/>
      </w:pPr>
      <w:r>
        <w:rPr>
          <w:rFonts w:ascii="Times New Roman" w:hAnsi="Times New Roman" w:eastAsia="新細明體"/>
          <w:b/>
          <w:i w:val="0"/>
          <w:sz w:val="28"/>
        </w:rPr>
        <w:t>五、研究時程</w:t>
      </w:r>
    </w:p>
    <w:p>
      <w:pPr>
        <w:spacing w:line="360" w:lineRule="auto" w:after="120"/>
        <w:ind w:firstLine="480"/>
      </w:pPr>
      <w:r>
        <w:rPr>
          <w:rFonts w:ascii="Times New Roman" w:hAnsi="Times New Roman" w:eastAsia="新細明體"/>
          <w:b w:val="0"/>
          <w:i w:val="0"/>
          <w:sz w:val="24"/>
        </w:rPr>
        <w:t>本研究預定以四年完成，各年度工作重點如下。</w:t>
      </w:r>
    </w:p>
    <w:p>
      <w:pPr>
        <w:spacing w:line="360" w:lineRule="auto" w:after="120"/>
        <w:ind w:firstLine="480"/>
      </w:pPr>
      <w:r>
        <w:rPr>
          <w:rFonts w:ascii="Times New Roman" w:hAnsi="Times New Roman" w:eastAsia="新細明體"/>
          <w:b/>
          <w:i w:val="0"/>
          <w:sz w:val="24"/>
        </w:rPr>
        <w:t>第一年（2026年9月–2027年7月）</w:t>
      </w:r>
      <w:r>
        <w:rPr>
          <w:rFonts w:ascii="Times New Roman" w:hAnsi="Times New Roman" w:eastAsia="新細明體"/>
          <w:b w:val="0"/>
          <w:i w:val="0"/>
          <w:sz w:val="24"/>
        </w:rPr>
        <w:t>：確立研究架構與史料基礎。完成八位人物的著作編年目錄、七份教團刊物的篇目索引與兩組關鍵詞的概念史索引；完成第一章初稿、第二章定稿，並規劃口述歷史的受訪名單、訪綱與學術倫理程序。</w:t>
      </w:r>
    </w:p>
    <w:p>
      <w:pPr>
        <w:spacing w:line="360" w:lineRule="auto" w:after="120"/>
        <w:ind w:firstLine="480"/>
      </w:pPr>
      <w:r>
        <w:rPr>
          <w:rFonts w:ascii="Times New Roman" w:hAnsi="Times New Roman" w:eastAsia="新細明體"/>
          <w:b/>
          <w:i w:val="0"/>
          <w:sz w:val="24"/>
        </w:rPr>
        <w:t>第二年（2027年8月–2028年7月）</w:t>
      </w:r>
      <w:r>
        <w:rPr>
          <w:rFonts w:ascii="Times New Roman" w:hAnsi="Times New Roman" w:eastAsia="新細明體"/>
          <w:b w:val="0"/>
          <w:i w:val="0"/>
          <w:sz w:val="24"/>
        </w:rPr>
        <w:t>：完成第三章〈人間佛教在台灣的發展〉與第四章〈台灣長老教會的公共神學發展〉初稿；同步進行口述訪談與教團檔案的實地查閱（妙心寺、弘誓學團、台南神學院、台灣教會公報社、長老教會歷史檔案館）。</w:t>
      </w:r>
    </w:p>
    <w:p>
      <w:pPr>
        <w:spacing w:line="360" w:lineRule="auto" w:after="120"/>
        <w:ind w:firstLine="480"/>
      </w:pPr>
      <w:r>
        <w:rPr>
          <w:rFonts w:ascii="Times New Roman" w:hAnsi="Times New Roman" w:eastAsia="新細明體"/>
          <w:b/>
          <w:i w:val="0"/>
          <w:sz w:val="24"/>
        </w:rPr>
        <w:t>第三年（2028年8月–2029年7月）</w:t>
      </w:r>
      <w:r>
        <w:rPr>
          <w:rFonts w:ascii="Times New Roman" w:hAnsi="Times New Roman" w:eastAsia="新細明體"/>
          <w:b w:val="0"/>
          <w:i w:val="0"/>
          <w:sz w:val="24"/>
        </w:rPr>
        <w:t>：完成第五章的比較分析與第六章的「人間宗教」範式；補訪缺口，並就第五、六章各發表一篇學術論文。</w:t>
      </w:r>
    </w:p>
    <w:p>
      <w:pPr>
        <w:spacing w:line="360" w:lineRule="auto" w:after="120"/>
        <w:ind w:firstLine="480"/>
      </w:pPr>
      <w:r>
        <w:rPr>
          <w:rFonts w:ascii="Times New Roman" w:hAnsi="Times New Roman" w:eastAsia="新細明體"/>
          <w:b/>
          <w:i w:val="0"/>
          <w:sz w:val="24"/>
        </w:rPr>
        <w:t>第四年（2029年8月–2030年7月）</w:t>
      </w:r>
      <w:r>
        <w:rPr>
          <w:rFonts w:ascii="Times New Roman" w:hAnsi="Times New Roman" w:eastAsia="新細明體"/>
          <w:b w:val="0"/>
          <w:i w:val="0"/>
          <w:sz w:val="24"/>
        </w:rPr>
        <w:t>：完成第七章結論，全稿統整修訂，通過學位考試。</w:t>
      </w:r>
    </w:p>
    <w:p>
      <w:pPr>
        <w:spacing w:line="360" w:lineRule="auto" w:after="120"/>
        <w:ind w:firstLine="480"/>
      </w:pPr>
      <w:r>
        <w:rPr>
          <w:rFonts w:ascii="Times New Roman" w:hAnsi="Times New Roman" w:eastAsia="新細明體"/>
          <w:b w:val="0"/>
          <w:i w:val="0"/>
          <w:sz w:val="24"/>
        </w:rPr>
        <w:t>未來十個月（2026年9月–2027年6月）的逐月工作項目另見附錄。</w:t>
      </w:r>
    </w:p>
    <w:p>
      <w:pPr>
        <w:pageBreakBefore w:val="0"/>
        <w:spacing w:line="360" w:lineRule="auto" w:after="200" w:before="240"/>
      </w:pPr>
      <w:r>
        <w:rPr>
          <w:rFonts w:ascii="Times New Roman" w:hAnsi="Times New Roman" w:eastAsia="新細明體"/>
          <w:b/>
          <w:i w:val="0"/>
          <w:sz w:val="28"/>
        </w:rPr>
        <w:t>六、預期研究成果與貢獻</w:t>
      </w:r>
    </w:p>
    <w:p>
      <w:pPr>
        <w:pageBreakBefore w:val="0"/>
        <w:spacing w:line="360" w:lineRule="auto" w:after="200" w:before="160"/>
      </w:pPr>
      <w:r>
        <w:rPr>
          <w:rFonts w:ascii="Times New Roman" w:hAnsi="Times New Roman" w:eastAsia="新細明體"/>
          <w:b/>
          <w:i w:val="0"/>
          <w:sz w:val="26"/>
        </w:rPr>
        <w:t>（一）史學貢獻：兩段歷史的接合與兩條線索的補白</w:t>
      </w:r>
    </w:p>
    <w:p>
      <w:pPr>
        <w:spacing w:line="360" w:lineRule="auto" w:after="120"/>
        <w:ind w:firstLine="480"/>
      </w:pPr>
      <w:r>
        <w:rPr>
          <w:rFonts w:ascii="Times New Roman" w:hAnsi="Times New Roman" w:eastAsia="新細明體"/>
          <w:b w:val="0"/>
          <w:i w:val="0"/>
          <w:sz w:val="24"/>
        </w:rPr>
        <w:t>本研究預期完成的第一件事，是把台灣佛教史與台灣基督教史這兩段一向分開講述的歷史，放在同一個問題（公共性與人間性的生成）之下接合起來，並以四地比較的東亞背景為之定位。其次，在史實層面補足兩條研究薄弱的線索：</w:t>
      </w:r>
      <w:r>
        <w:rPr>
          <w:rFonts w:ascii="Times New Roman" w:hAnsi="Times New Roman" w:eastAsia="新細明體"/>
          <w:b/>
          <w:i w:val="0"/>
          <w:sz w:val="24"/>
        </w:rPr>
        <w:t>傳道法師與妙心寺一系</w:t>
      </w:r>
      <w:r>
        <w:rPr>
          <w:rFonts w:ascii="Times New Roman" w:hAnsi="Times New Roman" w:eastAsia="新細明體"/>
          <w:b w:val="0"/>
          <w:i w:val="0"/>
          <w:sz w:val="24"/>
        </w:rPr>
        <w:t>在人間佛教落地過程中的位置，以及</w:t>
      </w:r>
      <w:r>
        <w:rPr>
          <w:rFonts w:ascii="Times New Roman" w:hAnsi="Times New Roman" w:eastAsia="新細明體"/>
          <w:b/>
          <w:i w:val="0"/>
          <w:sz w:val="24"/>
        </w:rPr>
        <w:t>王憲治與台灣鄉土神學</w:t>
      </w:r>
      <w:r>
        <w:rPr>
          <w:rFonts w:ascii="Times New Roman" w:hAnsi="Times New Roman" w:eastAsia="新細明體"/>
          <w:b w:val="0"/>
          <w:i w:val="0"/>
          <w:sz w:val="24"/>
        </w:rPr>
        <w:t>在本土神學系譜中的中介角色。這兩項補白本身即具獨立的學術價值。</w:t>
      </w:r>
    </w:p>
    <w:p>
      <w:pPr>
        <w:pageBreakBefore w:val="0"/>
        <w:spacing w:line="360" w:lineRule="auto" w:after="200" w:before="160"/>
      </w:pPr>
      <w:r>
        <w:rPr>
          <w:rFonts w:ascii="Times New Roman" w:hAnsi="Times New Roman" w:eastAsia="新細明體"/>
          <w:b/>
          <w:i w:val="0"/>
          <w:sz w:val="26"/>
        </w:rPr>
        <w:t>（二）方法貢獻：以歷史經驗為基礎的宗教比較</w:t>
      </w:r>
    </w:p>
    <w:p>
      <w:pPr>
        <w:spacing w:line="360" w:lineRule="auto" w:after="120"/>
        <w:ind w:firstLine="480"/>
      </w:pPr>
      <w:r>
        <w:rPr>
          <w:rFonts w:ascii="Times New Roman" w:hAnsi="Times New Roman" w:eastAsia="新細明體"/>
          <w:b w:val="0"/>
          <w:i w:val="0"/>
          <w:sz w:val="24"/>
        </w:rPr>
        <w:t>本研究示範一種操作程序：先以宗教史的比較建立歷史範式，再據以檢討既有理論。相對於「以理論框架收編個案」的常見做法，此一程序把理論的正當性建立在史料之上，因而對於被比較的各宗教而言，其主體性的折損最小。此一程序若成立，可推廣至東亞其他個案（韓國民眾神學與圓佛教、日本的入世佛教與無教會主義、越南的入世佛教）。</w:t>
      </w:r>
    </w:p>
    <w:p>
      <w:pPr>
        <w:pageBreakBefore w:val="0"/>
        <w:spacing w:line="360" w:lineRule="auto" w:after="200" w:before="160"/>
      </w:pPr>
      <w:r>
        <w:rPr>
          <w:rFonts w:ascii="Times New Roman" w:hAnsi="Times New Roman" w:eastAsia="新細明體"/>
          <w:b/>
          <w:i w:val="0"/>
          <w:sz w:val="26"/>
        </w:rPr>
        <w:t>（三）理論貢獻：「人間宗教」作為一個經歷史檢證的範式</w:t>
      </w:r>
    </w:p>
    <w:p>
      <w:pPr>
        <w:spacing w:line="360" w:lineRule="auto" w:after="120"/>
        <w:ind w:firstLine="480"/>
      </w:pPr>
      <w:r>
        <w:rPr>
          <w:rFonts w:ascii="Times New Roman" w:hAnsi="Times New Roman" w:eastAsia="新細明體"/>
          <w:b w:val="0"/>
          <w:i w:val="0"/>
          <w:sz w:val="24"/>
        </w:rPr>
        <w:t>本研究預期提出的「人間宗教」，與過去以「宗教對話理論」形式出現的各種主張不同之處在於：它不是一項應然的倡議，而是對一段已發生之歷史的歸納。其可檢驗性即在於此——它可以被更多的歷史個案支持或否證。就當代處境而言，此一範式對於兩個現實問題具有參考價值：面對生態與動物倫理等跨越信仰界線的議題時，各宗教如何在不放棄自身傳統的前提下共同行動；以及面對宗教在公共領域中日益兩極化的處境時，是否存在一條既保有神聖向度、又具備自我改革能力的路徑。</w:t>
      </w:r>
    </w:p>
    <w:p>
      <w:pPr>
        <w:pageBreakBefore w:val="0"/>
        <w:spacing w:line="360" w:lineRule="auto" w:after="200" w:before="240"/>
      </w:pPr>
      <w:r>
        <w:rPr>
          <w:rFonts w:ascii="Times New Roman" w:hAnsi="Times New Roman" w:eastAsia="新細明體"/>
          <w:b/>
          <w:i w:val="0"/>
          <w:sz w:val="28"/>
        </w:rPr>
        <w:t>七、結論</w:t>
      </w:r>
    </w:p>
    <w:p>
      <w:pPr>
        <w:spacing w:line="360" w:lineRule="auto" w:after="120"/>
        <w:ind w:firstLine="480"/>
      </w:pPr>
      <w:r>
        <w:rPr>
          <w:rFonts w:ascii="Times New Roman" w:hAnsi="Times New Roman" w:eastAsia="新細明體"/>
          <w:b w:val="0"/>
          <w:i w:val="0"/>
          <w:sz w:val="24"/>
        </w:rPr>
        <w:t>本計畫主張：台灣佛教的人間性與台灣基督教的公共性，不是兩套各自發展、偶然相似的教義主張，而是同一段歷史處境下的兩種回應。它們共有一個可考的源頭——一九二〇年代前後東亞各地宗教在近代國家整編與殖民處境下的存亡危機；也共有一個可考的轉向——把救贖的重心從彼岸移向此岸、從個人移向社會。</w:t>
      </w:r>
    </w:p>
    <w:p>
      <w:pPr>
        <w:spacing w:line="360" w:lineRule="auto" w:after="120"/>
        <w:ind w:firstLine="480"/>
      </w:pPr>
      <w:r>
        <w:rPr>
          <w:rFonts w:ascii="Times New Roman" w:hAnsi="Times New Roman" w:eastAsia="新細明體"/>
          <w:b w:val="0"/>
          <w:i w:val="0"/>
          <w:sz w:val="24"/>
        </w:rPr>
        <w:t>因此本研究的做法是先史後論：以太虛、印順、傳道、昭慧與黃彰輝、宋泉盛、王憲治、黃伯和兩條系譜為軸，重建這一轉向的實際歷程，再據以歸納「人間宗教」這一範式，並回頭檢討宗教學與比較神學既有的解釋框架。範式的正當性建立在史料之上，而非建立在理論的自我宣稱之上；也因此它是可檢驗的——可以被更多的歷史個案支持或否證。</w:t>
      </w:r>
    </w:p>
    <w:p>
      <w:pPr>
        <w:spacing w:line="360" w:lineRule="auto" w:after="120"/>
        <w:ind w:firstLine="480"/>
      </w:pPr>
      <w:r>
        <w:rPr>
          <w:rFonts w:ascii="Times New Roman" w:hAnsi="Times New Roman" w:eastAsia="新細明體"/>
          <w:b w:val="0"/>
          <w:i w:val="0"/>
          <w:sz w:val="24"/>
        </w:rPr>
        <w:t>若此一構想成立，它的意義不止於補上一段被分開講述的歷史。在生態、動物倫理、人權等跨越信仰界線的當代議題上，它提供一個以歷史經驗為依據的合作基礎：各宗教毋須放棄自身傳統，即可在「人間」這一共同關切上同行。</w:t>
      </w:r>
    </w:p>
    <w:p>
      <w:pPr>
        <w:pageBreakBefore/>
        <w:spacing w:line="360" w:lineRule="auto" w:after="200" w:before="240"/>
      </w:pPr>
      <w:r>
        <w:rPr>
          <w:rFonts w:ascii="Times New Roman" w:hAnsi="Times New Roman" w:eastAsia="新細明體"/>
          <w:b/>
          <w:i w:val="0"/>
          <w:sz w:val="28"/>
        </w:rPr>
        <w:t>參考書目</w:t>
      </w:r>
    </w:p>
    <w:p>
      <w:pPr>
        <w:pageBreakBefore w:val="0"/>
        <w:spacing w:line="360" w:lineRule="auto" w:after="200" w:before="160"/>
      </w:pPr>
      <w:r>
        <w:rPr>
          <w:rFonts w:ascii="Times New Roman" w:hAnsi="Times New Roman" w:eastAsia="新細明體"/>
          <w:b/>
          <w:i w:val="0"/>
          <w:sz w:val="26"/>
        </w:rPr>
        <w:t>一、史料與原典</w:t>
      </w:r>
    </w:p>
    <w:p>
      <w:pPr>
        <w:pageBreakBefore w:val="0"/>
        <w:spacing w:line="360" w:lineRule="auto" w:after="200" w:before="160"/>
      </w:pPr>
      <w:r>
        <w:rPr>
          <w:rFonts w:ascii="Times New Roman" w:hAnsi="Times New Roman" w:eastAsia="新細明體"/>
          <w:b/>
          <w:i w:val="0"/>
          <w:sz w:val="24"/>
        </w:rPr>
        <w:t>（一）佛教</w:t>
      </w:r>
    </w:p>
    <w:p>
      <w:pPr>
        <w:spacing w:line="360" w:lineRule="auto" w:after="80"/>
        <w:ind w:left="482" w:hanging="482"/>
      </w:pPr>
      <w:r>
        <w:rPr>
          <w:rFonts w:ascii="Times New Roman" w:hAnsi="Times New Roman" w:eastAsia="新細明體"/>
          <w:b w:val="0"/>
          <w:i w:val="0"/>
          <w:sz w:val="24"/>
        </w:rPr>
        <w:t>釋太虛（1980）。《太虛大師全書》（全二十編）。台北：善導寺佛經流通處。</w:t>
      </w:r>
    </w:p>
    <w:p>
      <w:pPr>
        <w:spacing w:line="360" w:lineRule="auto" w:after="80"/>
        <w:ind w:left="482" w:hanging="482"/>
      </w:pPr>
      <w:r>
        <w:rPr>
          <w:rFonts w:ascii="Times New Roman" w:hAnsi="Times New Roman" w:eastAsia="新細明體"/>
          <w:b w:val="0"/>
          <w:i w:val="0"/>
          <w:sz w:val="24"/>
        </w:rPr>
        <w:t>釋印順（1988）。《印度之佛教》。新竹：正聞出版社。</w:t>
      </w:r>
    </w:p>
    <w:p>
      <w:pPr>
        <w:spacing w:line="360" w:lineRule="auto" w:after="80"/>
        <w:ind w:left="482" w:hanging="482"/>
      </w:pPr>
      <w:r>
        <w:rPr>
          <w:rFonts w:ascii="Times New Roman" w:hAnsi="Times New Roman" w:eastAsia="新細明體"/>
          <w:b w:val="0"/>
          <w:i w:val="0"/>
          <w:sz w:val="24"/>
        </w:rPr>
        <w:t>釋印順（1992）。《說一切有部為主的論書與論師之研究》。新竹：正聞出版社。</w:t>
      </w:r>
    </w:p>
    <w:p>
      <w:pPr>
        <w:spacing w:line="360" w:lineRule="auto" w:after="80"/>
        <w:ind w:left="482" w:hanging="482"/>
      </w:pPr>
      <w:r>
        <w:rPr>
          <w:rFonts w:ascii="Times New Roman" w:hAnsi="Times New Roman" w:eastAsia="新細明體"/>
          <w:b w:val="0"/>
          <w:i w:val="0"/>
          <w:sz w:val="24"/>
        </w:rPr>
        <w:t>釋印順（1993）。《印度佛教思想史》。新竹：正聞出版社。</w:t>
      </w:r>
    </w:p>
    <w:p>
      <w:pPr>
        <w:spacing w:line="360" w:lineRule="auto" w:after="80"/>
        <w:ind w:left="482" w:hanging="482"/>
      </w:pPr>
      <w:r>
        <w:rPr>
          <w:rFonts w:ascii="Times New Roman" w:hAnsi="Times New Roman" w:eastAsia="新細明體"/>
          <w:b w:val="0"/>
          <w:i w:val="0"/>
          <w:sz w:val="24"/>
        </w:rPr>
        <w:t>釋印順（1993）。《初期大乘佛教之起源與開展》。新竹：正聞出版社。</w:t>
      </w:r>
    </w:p>
    <w:p>
      <w:pPr>
        <w:spacing w:line="360" w:lineRule="auto" w:after="80"/>
        <w:ind w:left="482" w:hanging="482"/>
      </w:pPr>
      <w:r>
        <w:rPr>
          <w:rFonts w:ascii="Times New Roman" w:hAnsi="Times New Roman" w:eastAsia="新細明體"/>
          <w:b w:val="0"/>
          <w:i w:val="0"/>
          <w:sz w:val="24"/>
        </w:rPr>
        <w:t>釋印順（1993）。《華雨集》（全五冊）。新竹：正聞出版社。</w:t>
      </w:r>
    </w:p>
    <w:p>
      <w:pPr>
        <w:spacing w:line="360" w:lineRule="auto" w:after="80"/>
        <w:ind w:left="482" w:hanging="482"/>
      </w:pPr>
      <w:r>
        <w:rPr>
          <w:rFonts w:ascii="Times New Roman" w:hAnsi="Times New Roman" w:eastAsia="新細明體"/>
          <w:b w:val="0"/>
          <w:i w:val="0"/>
          <w:sz w:val="24"/>
        </w:rPr>
        <w:t>釋印順（1994）。《原始佛教聖典之集成》。新竹：正聞出版社。</w:t>
      </w:r>
    </w:p>
    <w:p>
      <w:pPr>
        <w:spacing w:line="360" w:lineRule="auto" w:after="80"/>
        <w:ind w:left="482" w:hanging="482"/>
      </w:pPr>
      <w:r>
        <w:rPr>
          <w:rFonts w:ascii="Times New Roman" w:hAnsi="Times New Roman" w:eastAsia="新細明體"/>
          <w:b w:val="0"/>
          <w:i w:val="0"/>
          <w:sz w:val="24"/>
        </w:rPr>
        <w:t>釋印順（2000）。《太虛大師年譜》。新竹：正聞出版社。</w:t>
      </w:r>
    </w:p>
    <w:p>
      <w:pPr>
        <w:spacing w:line="360" w:lineRule="auto" w:after="80"/>
        <w:ind w:left="482" w:hanging="482"/>
      </w:pPr>
      <w:r>
        <w:rPr>
          <w:rFonts w:ascii="Times New Roman" w:hAnsi="Times New Roman" w:eastAsia="新細明體"/>
          <w:b w:val="0"/>
          <w:i w:val="0"/>
          <w:sz w:val="24"/>
        </w:rPr>
        <w:t>釋印順（2000）。《佛在人間》。新竹：正聞出版社。</w:t>
      </w:r>
    </w:p>
    <w:p>
      <w:pPr>
        <w:spacing w:line="360" w:lineRule="auto" w:after="80"/>
        <w:ind w:left="482" w:hanging="482"/>
      </w:pPr>
      <w:r>
        <w:rPr>
          <w:rFonts w:ascii="Times New Roman" w:hAnsi="Times New Roman" w:eastAsia="新細明體"/>
          <w:b w:val="0"/>
          <w:i w:val="0"/>
          <w:sz w:val="24"/>
        </w:rPr>
        <w:t>釋印順（2000）。《佛法概論》。新竹：正聞出版社。</w:t>
      </w:r>
    </w:p>
    <w:p>
      <w:pPr>
        <w:spacing w:line="360" w:lineRule="auto" w:after="80"/>
        <w:ind w:left="482" w:hanging="482"/>
      </w:pPr>
      <w:r>
        <w:rPr>
          <w:rFonts w:ascii="Times New Roman" w:hAnsi="Times New Roman" w:eastAsia="新細明體"/>
          <w:b w:val="0"/>
          <w:i w:val="0"/>
          <w:sz w:val="24"/>
        </w:rPr>
        <w:t>釋印順（2000）。《我之宗教觀》（收錄於《妙雲集》下篇）。新竹：正聞出版社。</w:t>
      </w:r>
    </w:p>
    <w:p>
      <w:pPr>
        <w:spacing w:line="360" w:lineRule="auto" w:after="80"/>
        <w:ind w:left="482" w:hanging="482"/>
      </w:pPr>
      <w:r>
        <w:rPr>
          <w:rFonts w:ascii="Times New Roman" w:hAnsi="Times New Roman" w:eastAsia="新細明體"/>
          <w:b w:val="0"/>
          <w:i w:val="0"/>
          <w:sz w:val="24"/>
        </w:rPr>
        <w:t>釋印順（2000）。《青年的佛教》。新竹：正聞出版社。</w:t>
      </w:r>
    </w:p>
    <w:p>
      <w:pPr>
        <w:spacing w:line="360" w:lineRule="auto" w:after="80"/>
        <w:ind w:left="482" w:hanging="482"/>
      </w:pPr>
      <w:r>
        <w:rPr>
          <w:rFonts w:ascii="Times New Roman" w:hAnsi="Times New Roman" w:eastAsia="新細明體"/>
          <w:b w:val="0"/>
          <w:i w:val="0"/>
          <w:sz w:val="24"/>
        </w:rPr>
        <w:t>釋印順（2000）。《教制教典與教學》。新竹：正聞出版社。</w:t>
      </w:r>
    </w:p>
    <w:p>
      <w:pPr>
        <w:spacing w:line="360" w:lineRule="auto" w:after="80"/>
        <w:ind w:left="482" w:hanging="482"/>
      </w:pPr>
      <w:r>
        <w:rPr>
          <w:rFonts w:ascii="Times New Roman" w:hAnsi="Times New Roman" w:eastAsia="新細明體"/>
          <w:b w:val="0"/>
          <w:i w:val="0"/>
          <w:sz w:val="24"/>
        </w:rPr>
        <w:t>釋印順（2000）。《成佛之道》。新竹：正聞出版社。</w:t>
      </w:r>
    </w:p>
    <w:p>
      <w:pPr>
        <w:spacing w:line="360" w:lineRule="auto" w:after="80"/>
        <w:ind w:left="482" w:hanging="482"/>
      </w:pPr>
      <w:r>
        <w:rPr>
          <w:rFonts w:ascii="Times New Roman" w:hAnsi="Times New Roman" w:eastAsia="新細明體"/>
          <w:b w:val="0"/>
          <w:i w:val="0"/>
          <w:sz w:val="24"/>
        </w:rPr>
        <w:t>釋印順（2011）。《平凡的一生》（重訂本）。新竹：正聞出版社。</w:t>
      </w:r>
    </w:p>
    <w:p>
      <w:pPr>
        <w:spacing w:line="360" w:lineRule="auto" w:after="80"/>
        <w:ind w:left="482" w:hanging="482"/>
      </w:pPr>
      <w:r>
        <w:rPr>
          <w:rFonts w:ascii="Times New Roman" w:hAnsi="Times New Roman" w:eastAsia="新細明體"/>
          <w:b w:val="0"/>
          <w:i w:val="0"/>
          <w:sz w:val="24"/>
        </w:rPr>
        <w:t>釋傳道（2001）。《印順導師與人間佛教》。台南：中華佛教百科文獻基金會。</w:t>
      </w:r>
    </w:p>
    <w:p>
      <w:pPr>
        <w:spacing w:line="360" w:lineRule="auto" w:after="80"/>
        <w:ind w:left="482" w:hanging="482"/>
      </w:pPr>
      <w:r>
        <w:rPr>
          <w:rFonts w:ascii="Times New Roman" w:hAnsi="Times New Roman" w:eastAsia="新細明體"/>
          <w:b w:val="0"/>
          <w:i w:val="0"/>
          <w:sz w:val="24"/>
        </w:rPr>
        <w:t>釋傳道（2017）。《法句經講記（三）》。台南：中華佛教百科文獻基金會。</w:t>
      </w:r>
    </w:p>
    <w:p>
      <w:pPr>
        <w:spacing w:line="360" w:lineRule="auto" w:after="80"/>
        <w:ind w:left="482" w:hanging="482"/>
      </w:pPr>
      <w:r>
        <w:rPr>
          <w:rFonts w:ascii="Times New Roman" w:hAnsi="Times New Roman" w:eastAsia="新細明體"/>
          <w:b w:val="0"/>
          <w:i w:val="0"/>
          <w:sz w:val="24"/>
        </w:rPr>
        <w:t>釋傳道（1997）。〈太虛大師對僧伽教育的貢獻〉。《妙心雜誌》，(16)，2-4。</w:t>
      </w:r>
    </w:p>
    <w:p>
      <w:pPr>
        <w:spacing w:line="360" w:lineRule="auto" w:after="80"/>
        <w:ind w:left="482" w:hanging="482"/>
      </w:pPr>
      <w:r>
        <w:rPr>
          <w:rFonts w:ascii="Times New Roman" w:hAnsi="Times New Roman" w:eastAsia="新細明體"/>
          <w:b w:val="0"/>
          <w:i w:val="0"/>
          <w:sz w:val="24"/>
        </w:rPr>
        <w:t>釋傳道、伍麗滿（2005）。〈印順導師「人間佛教思想」之實踐——以妙心寺為例〉。載於玄奘大學宗教學系（編），《第六屆「印順導師思想之理論與實踐」學術會議論文集》。新竹：玄奘大學宗教學系。</w:t>
      </w:r>
    </w:p>
    <w:p>
      <w:pPr>
        <w:spacing w:line="360" w:lineRule="auto" w:after="80"/>
        <w:ind w:left="482" w:hanging="482"/>
      </w:pPr>
      <w:r>
        <w:rPr>
          <w:rFonts w:ascii="Times New Roman" w:hAnsi="Times New Roman" w:eastAsia="新細明體"/>
          <w:b w:val="0"/>
          <w:i w:val="0"/>
          <w:sz w:val="24"/>
        </w:rPr>
        <w:t>釋昭慧（1995）。《佛教倫理學》。台北：法界出版社。</w:t>
      </w:r>
    </w:p>
    <w:p>
      <w:pPr>
        <w:spacing w:line="360" w:lineRule="auto" w:after="80"/>
        <w:ind w:left="482" w:hanging="482"/>
      </w:pPr>
      <w:r>
        <w:rPr>
          <w:rFonts w:ascii="Times New Roman" w:hAnsi="Times New Roman" w:eastAsia="新細明體"/>
          <w:b w:val="0"/>
          <w:i w:val="0"/>
          <w:sz w:val="24"/>
        </w:rPr>
        <w:t>釋昭慧（1995）。《願同弱少抗強權》。台北：法界出版社。</w:t>
      </w:r>
    </w:p>
    <w:p>
      <w:pPr>
        <w:spacing w:line="360" w:lineRule="auto" w:after="80"/>
        <w:ind w:left="482" w:hanging="482"/>
      </w:pPr>
      <w:r>
        <w:rPr>
          <w:rFonts w:ascii="Times New Roman" w:hAnsi="Times New Roman" w:eastAsia="新細明體"/>
          <w:b w:val="0"/>
          <w:i w:val="0"/>
          <w:sz w:val="24"/>
        </w:rPr>
        <w:t>釋昭慧（1999）。《律學今詮》。台北：法界出版社。</w:t>
      </w:r>
    </w:p>
    <w:p>
      <w:pPr>
        <w:spacing w:line="360" w:lineRule="auto" w:after="80"/>
        <w:ind w:left="482" w:hanging="482"/>
      </w:pPr>
      <w:r>
        <w:rPr>
          <w:rFonts w:ascii="Times New Roman" w:hAnsi="Times New Roman" w:eastAsia="新細明體"/>
          <w:b w:val="0"/>
          <w:i w:val="0"/>
          <w:sz w:val="24"/>
        </w:rPr>
        <w:t>釋昭慧（2001）。《千載沉吟——新世紀的佛教女性思維》。台北：法界出版社。</w:t>
      </w:r>
    </w:p>
    <w:p>
      <w:pPr>
        <w:spacing w:line="360" w:lineRule="auto" w:after="80"/>
        <w:ind w:left="482" w:hanging="482"/>
      </w:pPr>
      <w:r>
        <w:rPr>
          <w:rFonts w:ascii="Times New Roman" w:hAnsi="Times New Roman" w:eastAsia="新細明體"/>
          <w:b w:val="0"/>
          <w:i w:val="0"/>
          <w:sz w:val="24"/>
        </w:rPr>
        <w:t>釋昭慧（2003）。《佛教規範倫理學》。台北：法界出版社。</w:t>
      </w:r>
    </w:p>
    <w:p>
      <w:pPr>
        <w:spacing w:line="360" w:lineRule="auto" w:after="80"/>
        <w:ind w:left="482" w:hanging="482"/>
      </w:pPr>
      <w:r>
        <w:rPr>
          <w:rFonts w:ascii="Times New Roman" w:hAnsi="Times New Roman" w:eastAsia="新細明體"/>
          <w:b w:val="0"/>
          <w:i w:val="0"/>
          <w:sz w:val="24"/>
        </w:rPr>
        <w:t>釋昭慧（2008）。《佛教後設倫理學》。台北：法界出版社。</w:t>
      </w:r>
    </w:p>
    <w:p>
      <w:pPr>
        <w:spacing w:line="360" w:lineRule="auto" w:after="80"/>
        <w:ind w:left="482" w:hanging="482"/>
      </w:pPr>
      <w:r>
        <w:rPr>
          <w:rFonts w:ascii="Times New Roman" w:hAnsi="Times New Roman" w:eastAsia="新細明體"/>
          <w:b w:val="0"/>
          <w:i w:val="0"/>
          <w:sz w:val="24"/>
        </w:rPr>
        <w:t>釋昭慧（2009）。《法與律之深層探索》。台北：法界出版社。</w:t>
      </w:r>
    </w:p>
    <w:p>
      <w:pPr>
        <w:spacing w:line="360" w:lineRule="auto" w:after="80"/>
        <w:ind w:left="482" w:hanging="482"/>
      </w:pPr>
      <w:r>
        <w:rPr>
          <w:rFonts w:ascii="Times New Roman" w:hAnsi="Times New Roman" w:eastAsia="新細明體"/>
          <w:b w:val="0"/>
          <w:i w:val="0"/>
          <w:sz w:val="24"/>
        </w:rPr>
        <w:t>釋昭慧（2022）。《生命倫理與環境倫理——倫理抉擇的中道智慧(一)》。桃園：法界出版社。</w:t>
      </w:r>
    </w:p>
    <w:p>
      <w:pPr>
        <w:spacing w:line="360" w:lineRule="auto" w:after="80"/>
        <w:ind w:left="482" w:hanging="482"/>
      </w:pPr>
      <w:r>
        <w:rPr>
          <w:rFonts w:ascii="Times New Roman" w:hAnsi="Times New Roman" w:eastAsia="新細明體"/>
          <w:b w:val="0"/>
          <w:i w:val="0"/>
          <w:sz w:val="24"/>
        </w:rPr>
        <w:t>釋昭慧（2022）。《性別倫理與社會關懷——倫理抉擇的中道智慧(二)》。桃園：法界出版社。</w:t>
      </w:r>
    </w:p>
    <w:p>
      <w:pPr>
        <w:spacing w:line="360" w:lineRule="auto" w:after="80"/>
        <w:ind w:left="482" w:hanging="482"/>
      </w:pPr>
      <w:r>
        <w:rPr>
          <w:rFonts w:ascii="Times New Roman" w:hAnsi="Times New Roman" w:eastAsia="新細明體"/>
          <w:b w:val="0"/>
          <w:i w:val="0"/>
          <w:sz w:val="24"/>
        </w:rPr>
        <w:t>釋昭慧（2023）。《令梵行久住——僧制與戒規之當代詮釋》。桃園：法界出版社。</w:t>
      </w:r>
    </w:p>
    <w:p>
      <w:pPr>
        <w:spacing w:line="360" w:lineRule="auto" w:after="80"/>
        <w:ind w:left="482" w:hanging="482"/>
      </w:pPr>
      <w:r>
        <w:rPr>
          <w:rFonts w:ascii="Times New Roman" w:hAnsi="Times New Roman" w:eastAsia="新細明體"/>
          <w:b w:val="0"/>
          <w:i w:val="0"/>
          <w:sz w:val="24"/>
        </w:rPr>
        <w:t>釋昭慧、江燦騰編（2002）。《世紀新聲：當代台灣佛教的入世與出世之爭》。台北：法界出版社。</w:t>
      </w:r>
    </w:p>
    <w:p>
      <w:pPr>
        <w:spacing w:line="360" w:lineRule="auto" w:after="80"/>
        <w:ind w:left="482" w:hanging="482"/>
      </w:pPr>
      <w:r>
        <w:rPr>
          <w:rFonts w:ascii="Times New Roman" w:hAnsi="Times New Roman" w:eastAsia="新細明體"/>
          <w:b w:val="0"/>
          <w:i w:val="0"/>
          <w:sz w:val="24"/>
        </w:rPr>
        <w:t>釋性廣（2001）。《人間佛教禪法及其當代實踐：印順導師禪學思想研究》。台北：法界出版社。</w:t>
      </w:r>
    </w:p>
    <w:p>
      <w:pPr>
        <w:spacing w:line="360" w:lineRule="auto" w:after="80"/>
        <w:ind w:left="482" w:hanging="482"/>
      </w:pPr>
      <w:r>
        <w:rPr>
          <w:rFonts w:ascii="Times New Roman" w:hAnsi="Times New Roman" w:eastAsia="新細明體"/>
          <w:b w:val="0"/>
          <w:i w:val="0"/>
          <w:sz w:val="24"/>
        </w:rPr>
        <w:t>闞正宗、卓遵宏、侯坤宏訪問（2007）。《人間佛教的理論與實踐——傳道法師訪談錄》。台北：國史館。</w:t>
      </w:r>
    </w:p>
    <w:p>
      <w:pPr>
        <w:spacing w:line="360" w:lineRule="auto" w:after="80"/>
        <w:ind w:left="482" w:hanging="482"/>
      </w:pPr>
      <w:r>
        <w:rPr>
          <w:rFonts w:ascii="Times New Roman" w:hAnsi="Times New Roman" w:eastAsia="新細明體"/>
          <w:b w:val="0"/>
          <w:i w:val="0"/>
          <w:sz w:val="24"/>
        </w:rPr>
        <w:t>釋昭慧口述，侯坤宏、卓遵宏訪問（2017）。《浩蕩赴前程：昭慧法師訪談錄》。桃園：法界出版社。</w:t>
      </w:r>
    </w:p>
    <w:p>
      <w:pPr>
        <w:spacing w:line="360" w:lineRule="auto" w:after="80"/>
        <w:ind w:left="482" w:hanging="482"/>
      </w:pPr>
      <w:r>
        <w:rPr>
          <w:rFonts w:ascii="Times New Roman" w:hAnsi="Times New Roman" w:eastAsia="新細明體"/>
          <w:b w:val="0"/>
          <w:i w:val="0"/>
          <w:sz w:val="24"/>
        </w:rPr>
        <w:t>《妙心雜誌》（台南：妙心寺，1993–）。</w:t>
      </w:r>
    </w:p>
    <w:p>
      <w:pPr>
        <w:spacing w:line="360" w:lineRule="auto" w:after="80"/>
        <w:ind w:left="482" w:hanging="482"/>
      </w:pPr>
      <w:r>
        <w:rPr>
          <w:rFonts w:ascii="Times New Roman" w:hAnsi="Times New Roman" w:eastAsia="新細明體"/>
          <w:b w:val="0"/>
          <w:i w:val="0"/>
          <w:sz w:val="24"/>
        </w:rPr>
        <w:t>《弘誓雙月刊》（桃園：佛教弘誓學院，1993–）。</w:t>
      </w:r>
    </w:p>
    <w:p>
      <w:pPr>
        <w:spacing w:line="360" w:lineRule="auto" w:after="80"/>
        <w:ind w:left="482" w:hanging="482"/>
      </w:pPr>
      <w:r>
        <w:rPr>
          <w:rFonts w:ascii="Times New Roman" w:hAnsi="Times New Roman" w:eastAsia="新細明體"/>
          <w:b w:val="0"/>
          <w:i w:val="0"/>
          <w:sz w:val="24"/>
        </w:rPr>
        <w:t>《法印學報》（桃園：佛教弘誓學院，2011–）。</w:t>
      </w:r>
    </w:p>
    <w:p>
      <w:pPr>
        <w:pageBreakBefore w:val="0"/>
        <w:spacing w:line="360" w:lineRule="auto" w:after="200" w:before="160"/>
      </w:pPr>
      <w:r>
        <w:rPr>
          <w:rFonts w:ascii="Times New Roman" w:hAnsi="Times New Roman" w:eastAsia="新細明體"/>
          <w:b/>
          <w:i w:val="0"/>
          <w:sz w:val="24"/>
        </w:rPr>
        <w:t>（二）基督教</w:t>
      </w:r>
    </w:p>
    <w:p>
      <w:pPr>
        <w:spacing w:line="360" w:lineRule="auto" w:after="80"/>
        <w:ind w:left="482" w:hanging="482"/>
      </w:pPr>
      <w:r>
        <w:rPr>
          <w:rFonts w:ascii="Times New Roman" w:hAnsi="Times New Roman" w:eastAsia="新細明體"/>
          <w:b w:val="0"/>
          <w:i w:val="0"/>
          <w:sz w:val="24"/>
        </w:rPr>
        <w:t>Coe, S.（黃彰輝）(1993). *Recollections and reflections*. New York: The Rev. Dr. Shoki Coe's Memorial Fund.</w:t>
      </w:r>
    </w:p>
    <w:p>
      <w:pPr>
        <w:spacing w:line="360" w:lineRule="auto" w:after="80"/>
        <w:ind w:left="482" w:hanging="482"/>
      </w:pPr>
      <w:r>
        <w:rPr>
          <w:rFonts w:ascii="Times New Roman" w:hAnsi="Times New Roman" w:eastAsia="新細明體"/>
          <w:b w:val="0"/>
          <w:i w:val="0"/>
          <w:sz w:val="24"/>
        </w:rPr>
        <w:t>Coe, S.（黃彰輝）(2011). *Christian mission in the context of Asian nation building*. New Jersey: Princeton Theological Seminary Educational Media.</w:t>
      </w:r>
    </w:p>
    <w:p>
      <w:pPr>
        <w:spacing w:line="360" w:lineRule="auto" w:after="80"/>
        <w:ind w:left="482" w:hanging="482"/>
      </w:pPr>
      <w:r>
        <w:rPr>
          <w:rFonts w:ascii="Times New Roman" w:hAnsi="Times New Roman" w:eastAsia="新細明體"/>
          <w:b w:val="0"/>
          <w:i w:val="0"/>
          <w:sz w:val="24"/>
        </w:rPr>
        <w:t>Coe, S.（黃彰輝）(2012). *Christian mission and the test of discipleship*. New Jersey: Princeton Theological Seminary Educational Media.</w:t>
      </w:r>
    </w:p>
    <w:p>
      <w:pPr>
        <w:spacing w:line="360" w:lineRule="auto" w:after="80"/>
        <w:ind w:left="482" w:hanging="482"/>
      </w:pPr>
      <w:r>
        <w:rPr>
          <w:rFonts w:ascii="Times New Roman" w:hAnsi="Times New Roman" w:eastAsia="新細明體"/>
          <w:b w:val="0"/>
          <w:i w:val="0"/>
          <w:sz w:val="24"/>
        </w:rPr>
        <w:t>黃彰輝（2000）。〈不斷處境化的神學〉（林毓芬譯）。《台灣教會公報》，(2539)，12版。</w:t>
      </w:r>
    </w:p>
    <w:p>
      <w:pPr>
        <w:spacing w:line="360" w:lineRule="auto" w:after="80"/>
        <w:ind w:left="482" w:hanging="482"/>
      </w:pPr>
      <w:r>
        <w:rPr>
          <w:rFonts w:ascii="Times New Roman" w:hAnsi="Times New Roman" w:eastAsia="新細明體"/>
          <w:b w:val="0"/>
          <w:i w:val="0"/>
          <w:sz w:val="24"/>
        </w:rPr>
        <w:t>宋泉盛（1989）。《第三眼神學》（莊雅棠譯）。台南：台灣教會公報社。</w:t>
      </w:r>
    </w:p>
    <w:p>
      <w:pPr>
        <w:spacing w:line="360" w:lineRule="auto" w:after="80"/>
        <w:ind w:left="482" w:hanging="482"/>
      </w:pPr>
      <w:r>
        <w:rPr>
          <w:rFonts w:ascii="Times New Roman" w:hAnsi="Times New Roman" w:eastAsia="新細明體"/>
          <w:b w:val="0"/>
          <w:i w:val="0"/>
          <w:sz w:val="24"/>
        </w:rPr>
        <w:t>宋泉盛（1990）。《故事神學》（莊雅棠譯）。台南：台灣教會公報社。</w:t>
      </w:r>
    </w:p>
    <w:p>
      <w:pPr>
        <w:spacing w:line="360" w:lineRule="auto" w:after="80"/>
        <w:ind w:left="482" w:hanging="482"/>
      </w:pPr>
      <w:r>
        <w:rPr>
          <w:rFonts w:ascii="Times New Roman" w:hAnsi="Times New Roman" w:eastAsia="新細明體"/>
          <w:b w:val="0"/>
          <w:i w:val="0"/>
          <w:sz w:val="24"/>
        </w:rPr>
        <w:t>宋泉盛（2002）。《孟姜女的眼淚》（鄭加泰譯）。台南：人光出版社。</w:t>
      </w:r>
    </w:p>
    <w:p>
      <w:pPr>
        <w:spacing w:line="360" w:lineRule="auto" w:after="80"/>
        <w:ind w:left="482" w:hanging="482"/>
      </w:pPr>
      <w:r>
        <w:rPr>
          <w:rFonts w:ascii="Times New Roman" w:hAnsi="Times New Roman" w:eastAsia="新細明體"/>
          <w:b w:val="0"/>
          <w:i w:val="0"/>
          <w:sz w:val="24"/>
        </w:rPr>
        <w:t>宋泉盛（2002）。《耶穌，被釘十字架的人民》（莊雅棠譯）。台南：人光出版社。</w:t>
      </w:r>
    </w:p>
    <w:p>
      <w:pPr>
        <w:spacing w:line="360" w:lineRule="auto" w:after="80"/>
        <w:ind w:left="482" w:hanging="482"/>
      </w:pPr>
      <w:r>
        <w:rPr>
          <w:rFonts w:ascii="Times New Roman" w:hAnsi="Times New Roman" w:eastAsia="新細明體"/>
          <w:b w:val="0"/>
          <w:i w:val="0"/>
          <w:sz w:val="24"/>
        </w:rPr>
        <w:t>宋泉盛（2012）。《悲天憫人的上帝》（林弘宣譯）。台南：台灣教會公報社。</w:t>
      </w:r>
    </w:p>
    <w:p>
      <w:pPr>
        <w:spacing w:line="360" w:lineRule="auto" w:after="80"/>
        <w:ind w:left="482" w:hanging="482"/>
      </w:pPr>
      <w:r>
        <w:rPr>
          <w:rFonts w:ascii="Times New Roman" w:hAnsi="Times New Roman" w:eastAsia="新細明體"/>
          <w:b w:val="0"/>
          <w:i w:val="0"/>
          <w:sz w:val="24"/>
        </w:rPr>
        <w:t>陳榮爝編（2025）。《故事神學家開講——宋泉盛牧師文集》。台南：南神出版社。</w:t>
      </w:r>
    </w:p>
    <w:p>
      <w:pPr>
        <w:spacing w:line="360" w:lineRule="auto" w:after="80"/>
        <w:ind w:left="482" w:hanging="482"/>
      </w:pPr>
      <w:r>
        <w:rPr>
          <w:rFonts w:ascii="Times New Roman" w:hAnsi="Times New Roman" w:eastAsia="新細明體"/>
          <w:b w:val="0"/>
          <w:i w:val="0"/>
          <w:sz w:val="24"/>
        </w:rPr>
        <w:t>王憲治（1988）。《台灣鄉土神學論文集（一）》。台南：台南神學院。</w:t>
      </w:r>
    </w:p>
    <w:p>
      <w:pPr>
        <w:spacing w:line="360" w:lineRule="auto" w:after="80"/>
        <w:ind w:left="482" w:hanging="482"/>
      </w:pPr>
      <w:r>
        <w:rPr>
          <w:rFonts w:ascii="Times New Roman" w:hAnsi="Times New Roman" w:eastAsia="新細明體"/>
          <w:b w:val="0"/>
          <w:i w:val="0"/>
          <w:sz w:val="24"/>
        </w:rPr>
        <w:t>王憲治（1978）。《道德經之自然觀及其神學意義》（神學博士論文）。東南亞神學研究院。</w:t>
      </w:r>
    </w:p>
    <w:p>
      <w:pPr>
        <w:spacing w:line="360" w:lineRule="auto" w:after="80"/>
        <w:ind w:left="482" w:hanging="482"/>
      </w:pPr>
      <w:r>
        <w:rPr>
          <w:rFonts w:ascii="Times New Roman" w:hAnsi="Times New Roman" w:eastAsia="新細明體"/>
          <w:b w:val="0"/>
          <w:i w:val="0"/>
          <w:sz w:val="24"/>
        </w:rPr>
        <w:t>黃伯和（1990）。《宗教與自決》。台北：稻鄉出版社。</w:t>
      </w:r>
    </w:p>
    <w:p>
      <w:pPr>
        <w:spacing w:line="360" w:lineRule="auto" w:after="80"/>
        <w:ind w:left="482" w:hanging="482"/>
      </w:pPr>
      <w:r>
        <w:rPr>
          <w:rFonts w:ascii="Times New Roman" w:hAnsi="Times New Roman" w:eastAsia="新細明體"/>
          <w:b w:val="0"/>
          <w:i w:val="0"/>
          <w:sz w:val="24"/>
        </w:rPr>
        <w:t>黃伯和（1991）。《奔向出頭天的子民》。台北：稻鄉出版社。</w:t>
      </w:r>
    </w:p>
    <w:p>
      <w:pPr>
        <w:spacing w:line="360" w:lineRule="auto" w:after="80"/>
        <w:ind w:left="482" w:hanging="482"/>
      </w:pPr>
      <w:r>
        <w:rPr>
          <w:rFonts w:ascii="Times New Roman" w:hAnsi="Times New Roman" w:eastAsia="新細明體"/>
          <w:b w:val="0"/>
          <w:i w:val="0"/>
          <w:sz w:val="24"/>
        </w:rPr>
        <w:t>黃伯和（2022）。《道‧自決出頭天：神學的道成肉身》。台南：恩惠文教基金會。</w:t>
      </w:r>
    </w:p>
    <w:p>
      <w:pPr>
        <w:spacing w:line="360" w:lineRule="auto" w:after="80"/>
        <w:ind w:left="482" w:hanging="482"/>
      </w:pPr>
      <w:r>
        <w:rPr>
          <w:rFonts w:ascii="Times New Roman" w:hAnsi="Times New Roman" w:eastAsia="新細明體"/>
          <w:b w:val="0"/>
          <w:i w:val="0"/>
          <w:sz w:val="24"/>
        </w:rPr>
        <w:t>黃伯和（2022）。《旅‧轉身與啟程：神學的典範轉移》。台南：恩惠文教基金會。</w:t>
      </w:r>
    </w:p>
    <w:p>
      <w:pPr>
        <w:spacing w:line="360" w:lineRule="auto" w:after="80"/>
        <w:ind w:left="482" w:hanging="482"/>
      </w:pPr>
      <w:r>
        <w:rPr>
          <w:rFonts w:ascii="Times New Roman" w:hAnsi="Times New Roman" w:eastAsia="新細明體"/>
          <w:b w:val="0"/>
          <w:i w:val="0"/>
          <w:sz w:val="24"/>
        </w:rPr>
        <w:t>黃伯和（2022）。《盼‧委身再告白：神學的應許之地》。台南：恩惠文教基金會。</w:t>
      </w:r>
    </w:p>
    <w:p>
      <w:pPr>
        <w:spacing w:line="360" w:lineRule="auto" w:after="80"/>
        <w:ind w:left="482" w:hanging="482"/>
      </w:pPr>
      <w:r>
        <w:rPr>
          <w:rFonts w:ascii="Times New Roman" w:hAnsi="Times New Roman" w:eastAsia="新細明體"/>
          <w:b w:val="0"/>
          <w:i w:val="0"/>
          <w:sz w:val="24"/>
        </w:rPr>
        <w:t>黃伯和（2022）。《悲憫‧虛己的愛：本土的倫理學》。台南：恩惠文教基金會。</w:t>
      </w:r>
    </w:p>
    <w:p>
      <w:pPr>
        <w:spacing w:line="360" w:lineRule="auto" w:after="80"/>
        <w:ind w:left="482" w:hanging="482"/>
      </w:pPr>
      <w:r>
        <w:rPr>
          <w:rFonts w:ascii="Times New Roman" w:hAnsi="Times New Roman" w:eastAsia="新細明體"/>
          <w:b w:val="0"/>
          <w:i w:val="0"/>
          <w:sz w:val="24"/>
        </w:rPr>
        <w:t>黃伯和（2022）。《希望‧使命傳承：處境化神學教育》。台南：恩惠文教基金會。</w:t>
      </w:r>
    </w:p>
    <w:p>
      <w:pPr>
        <w:spacing w:line="360" w:lineRule="auto" w:after="80"/>
        <w:ind w:left="482" w:hanging="482"/>
      </w:pPr>
      <w:r>
        <w:rPr>
          <w:rFonts w:ascii="Times New Roman" w:hAnsi="Times New Roman" w:eastAsia="新細明體"/>
          <w:b w:val="0"/>
          <w:i w:val="0"/>
          <w:sz w:val="24"/>
        </w:rPr>
        <w:t>林芳仲主編（2014）。《台灣新而獨立的國家——台灣基督長老教會人權宣言30週年國際研討會文集》。台北：台灣基督長老教會信仰與教制委員會。</w:t>
      </w:r>
    </w:p>
    <w:p>
      <w:pPr>
        <w:spacing w:line="360" w:lineRule="auto" w:after="80"/>
        <w:ind w:left="482" w:hanging="482"/>
      </w:pPr>
      <w:r>
        <w:rPr>
          <w:rFonts w:ascii="Times New Roman" w:hAnsi="Times New Roman" w:eastAsia="新細明體"/>
          <w:b w:val="0"/>
          <w:i w:val="0"/>
          <w:sz w:val="24"/>
        </w:rPr>
        <w:t>《台灣教會公報》（台南：台灣教會公報社）。</w:t>
      </w:r>
    </w:p>
    <w:p>
      <w:pPr>
        <w:spacing w:line="360" w:lineRule="auto" w:after="80"/>
        <w:ind w:left="482" w:hanging="482"/>
      </w:pPr>
      <w:r>
        <w:rPr>
          <w:rFonts w:ascii="Times New Roman" w:hAnsi="Times New Roman" w:eastAsia="新細明體"/>
          <w:b w:val="0"/>
          <w:i w:val="0"/>
          <w:sz w:val="24"/>
        </w:rPr>
        <w:t>《新使者》（台北：台灣基督長老教會新使者雜誌社）。</w:t>
      </w:r>
    </w:p>
    <w:p>
      <w:pPr>
        <w:spacing w:line="360" w:lineRule="auto" w:after="80"/>
        <w:ind w:left="482" w:hanging="482"/>
      </w:pPr>
      <w:r>
        <w:rPr>
          <w:rFonts w:ascii="Times New Roman" w:hAnsi="Times New Roman" w:eastAsia="新細明體"/>
          <w:b w:val="0"/>
          <w:i w:val="0"/>
          <w:sz w:val="24"/>
        </w:rPr>
        <w:t>《神學與教會》（台南：台南神學院）。</w:t>
      </w:r>
    </w:p>
    <w:p>
      <w:pPr>
        <w:spacing w:line="360" w:lineRule="auto" w:after="80"/>
        <w:ind w:left="482" w:hanging="482"/>
      </w:pPr>
      <w:r>
        <w:rPr>
          <w:rFonts w:ascii="Times New Roman" w:hAnsi="Times New Roman" w:eastAsia="新細明體"/>
          <w:b w:val="0"/>
          <w:i w:val="0"/>
          <w:sz w:val="24"/>
        </w:rPr>
        <w:t>《道雜誌》（台南）。</w:t>
      </w:r>
    </w:p>
    <w:p>
      <w:pPr>
        <w:pageBreakBefore w:val="0"/>
        <w:spacing w:line="360" w:lineRule="auto" w:after="200" w:before="160"/>
      </w:pPr>
      <w:r>
        <w:rPr>
          <w:rFonts w:ascii="Times New Roman" w:hAnsi="Times New Roman" w:eastAsia="新細明體"/>
          <w:b/>
          <w:i w:val="0"/>
          <w:sz w:val="24"/>
        </w:rPr>
        <w:t>（三）跨宗教與論戰文獻</w:t>
      </w:r>
    </w:p>
    <w:p>
      <w:pPr>
        <w:spacing w:line="360" w:lineRule="auto" w:after="80"/>
        <w:ind w:left="482" w:hanging="482"/>
      </w:pPr>
      <w:r>
        <w:rPr>
          <w:rFonts w:ascii="Times New Roman" w:hAnsi="Times New Roman" w:eastAsia="新細明體"/>
          <w:b w:val="0"/>
          <w:i w:val="0"/>
          <w:sz w:val="24"/>
        </w:rPr>
        <w:t>釋煮雲（1960）。《佛教與基督教的比較》。新北：華成書局。</w:t>
      </w:r>
    </w:p>
    <w:p>
      <w:pPr>
        <w:spacing w:line="360" w:lineRule="auto" w:after="80"/>
        <w:ind w:left="482" w:hanging="482"/>
      </w:pPr>
      <w:r>
        <w:rPr>
          <w:rFonts w:ascii="Times New Roman" w:hAnsi="Times New Roman" w:eastAsia="新細明體"/>
          <w:b w:val="0"/>
          <w:i w:val="0"/>
          <w:sz w:val="24"/>
        </w:rPr>
        <w:t>吳恩溥（1956）。《駁「佛教與基督教的比較」》。台北：聖文社。</w:t>
      </w:r>
    </w:p>
    <w:p>
      <w:pPr>
        <w:spacing w:line="360" w:lineRule="auto" w:after="80"/>
        <w:ind w:left="482" w:hanging="482"/>
      </w:pPr>
      <w:r>
        <w:rPr>
          <w:rFonts w:ascii="Times New Roman" w:hAnsi="Times New Roman" w:eastAsia="新細明體"/>
          <w:b w:val="0"/>
          <w:i w:val="0"/>
          <w:sz w:val="24"/>
        </w:rPr>
        <w:t>釋聖嚴（1967）。《基督教之研究》。台北：佛教文化服務處。</w:t>
      </w:r>
    </w:p>
    <w:p>
      <w:pPr>
        <w:spacing w:line="360" w:lineRule="auto" w:after="80"/>
        <w:ind w:left="482" w:hanging="482"/>
      </w:pPr>
      <w:r>
        <w:rPr>
          <w:rFonts w:ascii="Times New Roman" w:hAnsi="Times New Roman" w:eastAsia="新細明體"/>
          <w:b w:val="0"/>
          <w:i w:val="0"/>
          <w:sz w:val="24"/>
        </w:rPr>
        <w:t>釋聖嚴（1968）。《比較宗教學》。台北：中華佛教文化館。</w:t>
      </w:r>
    </w:p>
    <w:p>
      <w:pPr>
        <w:spacing w:line="360" w:lineRule="auto" w:after="80"/>
        <w:ind w:left="482" w:hanging="482"/>
      </w:pPr>
      <w:r>
        <w:rPr>
          <w:rFonts w:ascii="Times New Roman" w:hAnsi="Times New Roman" w:eastAsia="新細明體"/>
          <w:b w:val="0"/>
          <w:i w:val="0"/>
          <w:sz w:val="24"/>
        </w:rPr>
        <w:t>龔天民（1989）。《真理自明：基督教與佛教的比較》。香港：橄欖文化。</w:t>
      </w:r>
    </w:p>
    <w:p>
      <w:pPr>
        <w:spacing w:line="360" w:lineRule="auto" w:after="80"/>
        <w:ind w:left="482" w:hanging="482"/>
      </w:pPr>
      <w:r>
        <w:rPr>
          <w:rFonts w:ascii="Times New Roman" w:hAnsi="Times New Roman" w:eastAsia="新細明體"/>
          <w:b w:val="0"/>
          <w:i w:val="0"/>
          <w:sz w:val="24"/>
        </w:rPr>
        <w:t>現代禪教研部主編（2002）。《佛教與基督教信仰的交會：現代禪與中華信義神學院的對話》。台北：現代禪出版社。</w:t>
      </w:r>
    </w:p>
    <w:p>
      <w:pPr>
        <w:spacing w:line="360" w:lineRule="auto" w:after="80"/>
        <w:ind w:left="482" w:hanging="482"/>
      </w:pPr>
      <w:r>
        <w:rPr>
          <w:rFonts w:ascii="Times New Roman" w:hAnsi="Times New Roman" w:eastAsia="新細明體"/>
          <w:b w:val="0"/>
          <w:i w:val="0"/>
          <w:sz w:val="24"/>
        </w:rPr>
        <w:t>釋聖嚴（2001）。《聖嚴法師與宗教對話》。台北：法鼓文化。</w:t>
      </w:r>
    </w:p>
    <w:p>
      <w:pPr>
        <w:spacing w:line="360" w:lineRule="auto" w:after="80"/>
        <w:ind w:left="482" w:hanging="482"/>
      </w:pPr>
      <w:r>
        <w:rPr>
          <w:rFonts w:ascii="Times New Roman" w:hAnsi="Times New Roman" w:eastAsia="新細明體"/>
          <w:b w:val="0"/>
          <w:i w:val="0"/>
          <w:sz w:val="24"/>
        </w:rPr>
        <w:t>單國璽、林保寶（2008）。《生命告別之旅》。台北：天下文化。</w:t>
      </w:r>
    </w:p>
    <w:p>
      <w:pPr>
        <w:spacing w:line="360" w:lineRule="auto" w:after="80"/>
        <w:ind w:left="482" w:hanging="482"/>
      </w:pPr>
      <w:r>
        <w:rPr>
          <w:rFonts w:ascii="Times New Roman" w:hAnsi="Times New Roman" w:eastAsia="新細明體"/>
          <w:b w:val="0"/>
          <w:i w:val="0"/>
          <w:sz w:val="24"/>
        </w:rPr>
        <w:t>釋昭慧、古倫（Anselm Grün）（2013）。《你信什麼？——基督宗教與佛教之對話》（吳信如譯）。台北：南與北文化。</w:t>
      </w:r>
    </w:p>
    <w:p>
      <w:pPr>
        <w:spacing w:line="360" w:lineRule="auto" w:after="80"/>
        <w:ind w:left="482" w:hanging="482"/>
      </w:pPr>
      <w:r>
        <w:rPr>
          <w:rFonts w:ascii="Times New Roman" w:hAnsi="Times New Roman" w:eastAsia="新細明體"/>
          <w:b w:val="0"/>
          <w:i w:val="0"/>
          <w:sz w:val="24"/>
        </w:rPr>
        <w:t>釋昭慧、彼得‧辛格（Peter Singer）（2021）。《心靈的交會——山間對話》。桃園：法界出版社。</w:t>
      </w:r>
    </w:p>
    <w:p>
      <w:pPr>
        <w:pageBreakBefore w:val="0"/>
        <w:spacing w:line="360" w:lineRule="auto" w:after="200" w:before="160"/>
      </w:pPr>
      <w:r>
        <w:rPr>
          <w:rFonts w:ascii="Times New Roman" w:hAnsi="Times New Roman" w:eastAsia="新細明體"/>
          <w:b/>
          <w:i w:val="0"/>
          <w:sz w:val="26"/>
        </w:rPr>
        <w:t>二、研究專書</w:t>
      </w:r>
    </w:p>
    <w:p>
      <w:pPr>
        <w:spacing w:line="360" w:lineRule="auto" w:after="80"/>
        <w:ind w:left="482" w:hanging="482"/>
      </w:pPr>
      <w:r>
        <w:rPr>
          <w:rFonts w:ascii="Times New Roman" w:hAnsi="Times New Roman" w:eastAsia="新細明體"/>
          <w:b w:val="0"/>
          <w:i w:val="0"/>
          <w:sz w:val="24"/>
        </w:rPr>
        <w:t>侯坤宏（2009）。《真實與方便：印順思想研究》。台北：法界出版社。</w:t>
      </w:r>
    </w:p>
    <w:p>
      <w:pPr>
        <w:spacing w:line="360" w:lineRule="auto" w:after="80"/>
        <w:ind w:left="482" w:hanging="482"/>
      </w:pPr>
      <w:r>
        <w:rPr>
          <w:rFonts w:ascii="Times New Roman" w:hAnsi="Times New Roman" w:eastAsia="新細明體"/>
          <w:b w:val="0"/>
          <w:i w:val="0"/>
          <w:sz w:val="24"/>
        </w:rPr>
        <w:t>侯坤宏（2018）。《太虛時代：多維視角下的民國佛教（1912-1949）》。台北：政大出版社。</w:t>
      </w:r>
    </w:p>
    <w:p>
      <w:pPr>
        <w:spacing w:line="360" w:lineRule="auto" w:after="80"/>
        <w:ind w:left="482" w:hanging="482"/>
      </w:pPr>
      <w:r>
        <w:rPr>
          <w:rFonts w:ascii="Times New Roman" w:hAnsi="Times New Roman" w:eastAsia="新細明體"/>
          <w:b w:val="0"/>
          <w:i w:val="0"/>
          <w:sz w:val="24"/>
        </w:rPr>
        <w:t>侯坤宏編（2022）。《台灣佛教通史》（第八冊）。台北：彌陀出版社。</w:t>
      </w:r>
    </w:p>
    <w:p>
      <w:pPr>
        <w:spacing w:line="360" w:lineRule="auto" w:after="80"/>
        <w:ind w:left="482" w:hanging="482"/>
      </w:pPr>
      <w:r>
        <w:rPr>
          <w:rFonts w:ascii="Times New Roman" w:hAnsi="Times New Roman" w:eastAsia="新細明體"/>
          <w:b w:val="0"/>
          <w:i w:val="0"/>
          <w:sz w:val="24"/>
        </w:rPr>
        <w:t>藍吉富編（2013）。《臺灣佛教辭典》。台南：妙心出版社、中華佛教百科文獻基金會。</w:t>
      </w:r>
    </w:p>
    <w:p>
      <w:pPr>
        <w:spacing w:line="360" w:lineRule="auto" w:after="80"/>
        <w:ind w:left="482" w:hanging="482"/>
      </w:pPr>
      <w:r>
        <w:rPr>
          <w:rFonts w:ascii="Times New Roman" w:hAnsi="Times New Roman" w:eastAsia="新細明體"/>
          <w:b w:val="0"/>
          <w:i w:val="0"/>
          <w:sz w:val="24"/>
        </w:rPr>
        <w:t>邱敏捷（2015）。《傳道法師年譜》。台南：妙心出版社。</w:t>
      </w:r>
    </w:p>
    <w:p>
      <w:pPr>
        <w:spacing w:line="360" w:lineRule="auto" w:after="80"/>
        <w:ind w:left="482" w:hanging="482"/>
      </w:pPr>
      <w:r>
        <w:rPr>
          <w:rFonts w:ascii="Times New Roman" w:hAnsi="Times New Roman" w:eastAsia="新細明體"/>
          <w:b w:val="0"/>
          <w:i w:val="0"/>
          <w:sz w:val="24"/>
        </w:rPr>
        <w:t>邱敏捷（2000）。《印順導師的佛教思想》。台北：法界出版社。</w:t>
      </w:r>
    </w:p>
    <w:p>
      <w:pPr>
        <w:spacing w:line="360" w:lineRule="auto" w:after="80"/>
        <w:ind w:left="482" w:hanging="482"/>
      </w:pPr>
      <w:r>
        <w:rPr>
          <w:rFonts w:ascii="Times New Roman" w:hAnsi="Times New Roman" w:eastAsia="新細明體"/>
          <w:b w:val="0"/>
          <w:i w:val="0"/>
          <w:sz w:val="24"/>
        </w:rPr>
        <w:t>楊惠南（1991）。《當代佛教思想展望》。台北：東大圖書公司。</w:t>
      </w:r>
    </w:p>
    <w:p>
      <w:pPr>
        <w:spacing w:line="360" w:lineRule="auto" w:after="80"/>
        <w:ind w:left="482" w:hanging="482"/>
      </w:pPr>
      <w:r>
        <w:rPr>
          <w:rFonts w:ascii="Times New Roman" w:hAnsi="Times New Roman" w:eastAsia="新細明體"/>
          <w:b w:val="0"/>
          <w:i w:val="0"/>
          <w:sz w:val="24"/>
        </w:rPr>
        <w:t>溫金柯（2001）。《繼承與批判印順法師人間佛教思想》。台北：現代禪出版社。</w:t>
      </w:r>
    </w:p>
    <w:p>
      <w:pPr>
        <w:spacing w:line="360" w:lineRule="auto" w:after="80"/>
        <w:ind w:left="482" w:hanging="482"/>
      </w:pPr>
      <w:r>
        <w:rPr>
          <w:rFonts w:ascii="Times New Roman" w:hAnsi="Times New Roman" w:eastAsia="新細明體"/>
          <w:b w:val="0"/>
          <w:i w:val="0"/>
          <w:sz w:val="24"/>
        </w:rPr>
        <w:t>李玉珍（2016）。《戰後台灣佛教與女性：李玉珍自選集》。新北：博揚文化。</w:t>
      </w:r>
    </w:p>
    <w:p>
      <w:pPr>
        <w:spacing w:line="360" w:lineRule="auto" w:after="80"/>
        <w:ind w:left="482" w:hanging="482"/>
      </w:pPr>
      <w:r>
        <w:rPr>
          <w:rFonts w:ascii="Times New Roman" w:hAnsi="Times New Roman" w:eastAsia="新細明體"/>
          <w:b w:val="0"/>
          <w:i w:val="0"/>
          <w:sz w:val="24"/>
        </w:rPr>
        <w:t>李筱峰（2026）。《革命，和尚，公民覺醒：台灣文化啟蒙先驅林秋梧傳記》。台北：明白文化。</w:t>
      </w:r>
    </w:p>
    <w:p>
      <w:pPr>
        <w:spacing w:line="360" w:lineRule="auto" w:after="80"/>
        <w:ind w:left="482" w:hanging="482"/>
      </w:pPr>
      <w:r>
        <w:rPr>
          <w:rFonts w:ascii="Times New Roman" w:hAnsi="Times New Roman" w:eastAsia="新細明體"/>
          <w:b w:val="0"/>
          <w:i w:val="0"/>
          <w:sz w:val="24"/>
        </w:rPr>
        <w:t>黃運喜（2019）。《佛教的社會關懷與寺產問題》。新北：大千出版社。</w:t>
      </w:r>
    </w:p>
    <w:p>
      <w:pPr>
        <w:spacing w:line="360" w:lineRule="auto" w:after="80"/>
        <w:ind w:left="482" w:hanging="482"/>
      </w:pPr>
      <w:r>
        <w:rPr>
          <w:rFonts w:ascii="Times New Roman" w:hAnsi="Times New Roman" w:eastAsia="新細明體"/>
          <w:b w:val="0"/>
          <w:i w:val="0"/>
          <w:sz w:val="24"/>
        </w:rPr>
        <w:t>釋清德（2022）。《當代佛教戒律新詮：印順導師人間佛教的戒律思想》。台北：紹印出版社。</w:t>
      </w:r>
    </w:p>
    <w:p>
      <w:pPr>
        <w:spacing w:line="360" w:lineRule="auto" w:after="80"/>
        <w:ind w:left="482" w:hanging="482"/>
      </w:pPr>
      <w:r>
        <w:rPr>
          <w:rFonts w:ascii="Times New Roman" w:hAnsi="Times New Roman" w:eastAsia="新細明體"/>
          <w:b w:val="0"/>
          <w:i w:val="0"/>
          <w:sz w:val="24"/>
        </w:rPr>
        <w:t>林建德（2003）。《諸說中第一：力挺佛陀在人間》。台南：妙心出版社。</w:t>
      </w:r>
    </w:p>
    <w:p>
      <w:pPr>
        <w:spacing w:line="360" w:lineRule="auto" w:after="80"/>
        <w:ind w:left="482" w:hanging="482"/>
      </w:pPr>
      <w:r>
        <w:rPr>
          <w:rFonts w:ascii="Times New Roman" w:hAnsi="Times New Roman" w:eastAsia="新細明體"/>
          <w:b w:val="0"/>
          <w:i w:val="0"/>
          <w:sz w:val="24"/>
        </w:rPr>
        <w:t>田智雄（2012）。《絕地逢生：澎湖公民力量的展現——台灣首次公投勝利的故事》。台北：法界出版社。</w:t>
      </w:r>
    </w:p>
    <w:p>
      <w:pPr>
        <w:spacing w:line="360" w:lineRule="auto" w:after="80"/>
        <w:ind w:left="482" w:hanging="482"/>
      </w:pPr>
      <w:r>
        <w:rPr>
          <w:rFonts w:ascii="Times New Roman" w:hAnsi="Times New Roman" w:eastAsia="新細明體"/>
          <w:b w:val="0"/>
          <w:i w:val="0"/>
          <w:sz w:val="24"/>
        </w:rPr>
        <w:t>汪盈利（2013）。《動保足履：關懷二十年（1992-2012）》。台北：關懷生命協會。</w:t>
      </w:r>
    </w:p>
    <w:p>
      <w:pPr>
        <w:spacing w:line="360" w:lineRule="auto" w:after="80"/>
        <w:ind w:left="482" w:hanging="482"/>
      </w:pPr>
      <w:r>
        <w:rPr>
          <w:rFonts w:ascii="Times New Roman" w:hAnsi="Times New Roman" w:eastAsia="新細明體"/>
          <w:b w:val="0"/>
          <w:i w:val="0"/>
          <w:sz w:val="24"/>
        </w:rPr>
        <w:t>鄭仰恩（2010）。《定根本土的臺灣基督教：臺灣基督教史研究論集》。台南：人光出版社。</w:t>
      </w:r>
    </w:p>
    <w:p>
      <w:pPr>
        <w:spacing w:line="360" w:lineRule="auto" w:after="80"/>
        <w:ind w:left="482" w:hanging="482"/>
      </w:pPr>
      <w:r>
        <w:rPr>
          <w:rFonts w:ascii="Times New Roman" w:hAnsi="Times New Roman" w:eastAsia="新細明體"/>
          <w:b w:val="0"/>
          <w:i w:val="0"/>
          <w:sz w:val="24"/>
        </w:rPr>
        <w:t>鄭仰恩主編（2024）。《台灣基督長老教會史（1865-2015）卷一：分期史》。台北：使徒出版社。</w:t>
      </w:r>
    </w:p>
    <w:p>
      <w:pPr>
        <w:spacing w:line="360" w:lineRule="auto" w:after="80"/>
        <w:ind w:left="482" w:hanging="482"/>
      </w:pPr>
      <w:r>
        <w:rPr>
          <w:rFonts w:ascii="Times New Roman" w:hAnsi="Times New Roman" w:eastAsia="新細明體"/>
          <w:b w:val="0"/>
          <w:i w:val="0"/>
          <w:sz w:val="24"/>
        </w:rPr>
        <w:t>鄭仰恩主編（2025）。《台灣基督長老教會史（1865-2015）卷二：專題史》。台北：使徒出版社。</w:t>
      </w:r>
    </w:p>
    <w:p>
      <w:pPr>
        <w:spacing w:line="360" w:lineRule="auto" w:after="80"/>
        <w:ind w:left="482" w:hanging="482"/>
      </w:pPr>
      <w:r>
        <w:rPr>
          <w:rFonts w:ascii="Times New Roman" w:hAnsi="Times New Roman" w:eastAsia="新細明體"/>
          <w:b w:val="0"/>
          <w:i w:val="0"/>
          <w:sz w:val="24"/>
        </w:rPr>
        <w:t>蔡榮芳（2020）。《從宗教到政治：黃彰輝牧師普世神學的實踐》。台北：玉山社。</w:t>
      </w:r>
    </w:p>
    <w:p>
      <w:pPr>
        <w:spacing w:line="360" w:lineRule="auto" w:after="80"/>
        <w:ind w:left="482" w:hanging="482"/>
      </w:pPr>
      <w:r>
        <w:rPr>
          <w:rFonts w:ascii="Times New Roman" w:hAnsi="Times New Roman" w:eastAsia="新細明體"/>
          <w:b w:val="0"/>
          <w:i w:val="0"/>
          <w:sz w:val="24"/>
        </w:rPr>
        <w:t>張瑞雄（2014）。《台灣人的先覺：黃彰輝》。台南：南神出版社。</w:t>
      </w:r>
    </w:p>
    <w:p>
      <w:pPr>
        <w:spacing w:line="360" w:lineRule="auto" w:after="80"/>
        <w:ind w:left="482" w:hanging="482"/>
      </w:pPr>
      <w:r>
        <w:rPr>
          <w:rFonts w:ascii="Times New Roman" w:hAnsi="Times New Roman" w:eastAsia="新細明體"/>
          <w:b w:val="0"/>
          <w:i w:val="0"/>
          <w:sz w:val="24"/>
        </w:rPr>
        <w:t>鄭睦群（2023）。《從大中華到台灣國：台灣基督長老教會的國家認同及其論述轉換》。台北：政大出版社。</w:t>
      </w:r>
    </w:p>
    <w:p>
      <w:pPr>
        <w:spacing w:line="360" w:lineRule="auto" w:after="80"/>
        <w:ind w:left="482" w:hanging="482"/>
      </w:pPr>
      <w:r>
        <w:rPr>
          <w:rFonts w:ascii="Times New Roman" w:hAnsi="Times New Roman" w:eastAsia="新細明體"/>
          <w:b w:val="0"/>
          <w:i w:val="0"/>
          <w:sz w:val="24"/>
        </w:rPr>
        <w:t>王鏡玲（2016）。《分別為聖：長老教會‧普渡‧通靈象徵》。台北：前衛出版社。</w:t>
      </w:r>
    </w:p>
    <w:p>
      <w:pPr>
        <w:spacing w:line="360" w:lineRule="auto" w:after="80"/>
        <w:ind w:left="482" w:hanging="482"/>
      </w:pPr>
      <w:r>
        <w:rPr>
          <w:rFonts w:ascii="Times New Roman" w:hAnsi="Times New Roman" w:eastAsia="新細明體"/>
          <w:b w:val="0"/>
          <w:i w:val="0"/>
          <w:sz w:val="24"/>
        </w:rPr>
        <w:t>董芳苑（2008）。《台灣宗教大觀》。台北：前衛出版社。</w:t>
      </w:r>
    </w:p>
    <w:p>
      <w:pPr>
        <w:spacing w:line="360" w:lineRule="auto" w:after="80"/>
        <w:ind w:left="482" w:hanging="482"/>
      </w:pPr>
      <w:r>
        <w:rPr>
          <w:rFonts w:ascii="Times New Roman" w:hAnsi="Times New Roman" w:eastAsia="新細明體"/>
          <w:b w:val="0"/>
          <w:i w:val="0"/>
          <w:sz w:val="24"/>
        </w:rPr>
        <w:t>盧俊義（2003）。《台灣之愛：盧俊義牧師的牧會筆記》。台北：前衛出版社。</w:t>
      </w:r>
    </w:p>
    <w:p>
      <w:pPr>
        <w:spacing w:line="360" w:lineRule="auto" w:after="80"/>
        <w:ind w:left="482" w:hanging="482"/>
      </w:pPr>
      <w:r>
        <w:rPr>
          <w:rFonts w:ascii="Times New Roman" w:hAnsi="Times New Roman" w:eastAsia="新細明體"/>
          <w:b w:val="0"/>
          <w:i w:val="0"/>
          <w:sz w:val="24"/>
        </w:rPr>
        <w:t>劉錦昌（2014）。《神學的公共事務》。新竹：台灣基督長老教會聖經書院。</w:t>
      </w:r>
    </w:p>
    <w:p>
      <w:pPr>
        <w:spacing w:line="360" w:lineRule="auto" w:after="80"/>
        <w:ind w:left="482" w:hanging="482"/>
      </w:pPr>
      <w:r>
        <w:rPr>
          <w:rFonts w:ascii="Times New Roman" w:hAnsi="Times New Roman" w:eastAsia="新細明體"/>
          <w:b w:val="0"/>
          <w:i w:val="0"/>
          <w:sz w:val="24"/>
        </w:rPr>
        <w:t>李熾昌（1996）。《亞洲處境與聖經詮釋》。香港：基督教文藝出版社。</w:t>
      </w:r>
    </w:p>
    <w:p>
      <w:pPr>
        <w:spacing w:line="360" w:lineRule="auto" w:after="80"/>
        <w:ind w:left="482" w:hanging="482"/>
      </w:pPr>
      <w:r>
        <w:rPr>
          <w:rFonts w:ascii="Times New Roman" w:hAnsi="Times New Roman" w:eastAsia="新細明體"/>
          <w:b w:val="0"/>
          <w:i w:val="0"/>
          <w:sz w:val="24"/>
        </w:rPr>
        <w:t>賴品超（2011）。《大乘基督教神學：漢語神學的思想實驗》。香港：道風書社。</w:t>
      </w:r>
    </w:p>
    <w:p>
      <w:pPr>
        <w:spacing w:line="360" w:lineRule="auto" w:after="80"/>
        <w:ind w:left="482" w:hanging="482"/>
      </w:pPr>
      <w:r>
        <w:rPr>
          <w:rFonts w:ascii="Times New Roman" w:hAnsi="Times New Roman" w:eastAsia="新細明體"/>
          <w:b w:val="0"/>
          <w:i w:val="0"/>
          <w:sz w:val="24"/>
        </w:rPr>
        <w:t>賴品超、學愚主編（2008）。《天國、淨土與人間：耶佛對話與社會關懷》。香港：中華書局。</w:t>
      </w:r>
    </w:p>
    <w:p>
      <w:pPr>
        <w:spacing w:line="360" w:lineRule="auto" w:after="80"/>
        <w:ind w:left="482" w:hanging="482"/>
      </w:pPr>
      <w:r>
        <w:rPr>
          <w:rFonts w:ascii="Times New Roman" w:hAnsi="Times New Roman" w:eastAsia="新細明體"/>
          <w:b w:val="0"/>
          <w:i w:val="0"/>
          <w:sz w:val="24"/>
        </w:rPr>
        <w:t>賴品超主編（2008）。《佛耶對話：近代中國佛教與基督宗教的相遇》。北京：宗教文化出版社。</w:t>
      </w:r>
    </w:p>
    <w:p>
      <w:pPr>
        <w:spacing w:line="360" w:lineRule="auto" w:after="80"/>
        <w:ind w:left="482" w:hanging="482"/>
      </w:pPr>
      <w:r>
        <w:rPr>
          <w:rFonts w:ascii="Times New Roman" w:hAnsi="Times New Roman" w:eastAsia="新細明體"/>
          <w:b w:val="0"/>
          <w:i w:val="0"/>
          <w:sz w:val="24"/>
        </w:rPr>
        <w:t>吳耀宗（1949）。《黑暗與光明》。上海：青年協會書局。</w:t>
      </w:r>
    </w:p>
    <w:p>
      <w:pPr>
        <w:pageBreakBefore w:val="0"/>
        <w:spacing w:line="360" w:lineRule="auto" w:after="200" w:before="160"/>
      </w:pPr>
      <w:r>
        <w:rPr>
          <w:rFonts w:ascii="Times New Roman" w:hAnsi="Times New Roman" w:eastAsia="新細明體"/>
          <w:b/>
          <w:i w:val="0"/>
          <w:sz w:val="26"/>
        </w:rPr>
        <w:t>三、期刊論文、會議論文與學位論文</w:t>
      </w:r>
    </w:p>
    <w:p>
      <w:pPr>
        <w:spacing w:line="360" w:lineRule="auto" w:after="80"/>
        <w:ind w:left="482" w:hanging="482"/>
      </w:pPr>
      <w:r>
        <w:rPr>
          <w:rFonts w:ascii="Times New Roman" w:hAnsi="Times New Roman" w:eastAsia="新細明體"/>
          <w:b w:val="0"/>
          <w:i w:val="0"/>
          <w:sz w:val="24"/>
        </w:rPr>
        <w:t>闞正宗（2011）。〈傳法弘道——傳道法師人間佛教理路〉。《法印學報》，(1)，119-143。</w:t>
      </w:r>
    </w:p>
    <w:p>
      <w:pPr>
        <w:spacing w:line="360" w:lineRule="auto" w:after="80"/>
        <w:ind w:left="482" w:hanging="482"/>
      </w:pPr>
      <w:r>
        <w:rPr>
          <w:rFonts w:ascii="Times New Roman" w:hAnsi="Times New Roman" w:eastAsia="新細明體"/>
          <w:b w:val="0"/>
          <w:i w:val="0"/>
          <w:sz w:val="24"/>
        </w:rPr>
        <w:t>釋昭慧（2011）。〈傳道法師對南傳佛教在台灣之觀察與評議〉。《法印學報》，(1)，1-32。</w:t>
      </w:r>
    </w:p>
    <w:p>
      <w:pPr>
        <w:spacing w:line="360" w:lineRule="auto" w:after="80"/>
        <w:ind w:left="482" w:hanging="482"/>
      </w:pPr>
      <w:r>
        <w:rPr>
          <w:rFonts w:ascii="Times New Roman" w:hAnsi="Times New Roman" w:eastAsia="新細明體"/>
          <w:b w:val="0"/>
          <w:i w:val="0"/>
          <w:sz w:val="24"/>
        </w:rPr>
        <w:t>伍麗滿（2006）。《台南妙心寺對印順「人間佛教」的落實與弘展》（碩士論文）。玄奘大學宗教學系碩士在職專班，新竹。</w:t>
      </w:r>
    </w:p>
    <w:p>
      <w:pPr>
        <w:spacing w:line="360" w:lineRule="auto" w:after="80"/>
        <w:ind w:left="482" w:hanging="482"/>
      </w:pPr>
      <w:r>
        <w:rPr>
          <w:rFonts w:ascii="Times New Roman" w:hAnsi="Times New Roman" w:eastAsia="新細明體"/>
          <w:b w:val="0"/>
          <w:i w:val="0"/>
          <w:sz w:val="24"/>
        </w:rPr>
        <w:t>陳玉峯（2011）。〈草根和尚——傳道法師與我〉。《弘誓雙月刊》，(109)，22-29。</w:t>
      </w:r>
    </w:p>
    <w:p>
      <w:pPr>
        <w:spacing w:line="360" w:lineRule="auto" w:after="80"/>
        <w:ind w:left="482" w:hanging="482"/>
      </w:pPr>
      <w:r>
        <w:rPr>
          <w:rFonts w:ascii="Times New Roman" w:hAnsi="Times New Roman" w:eastAsia="新細明體"/>
          <w:b w:val="0"/>
          <w:i w:val="0"/>
          <w:sz w:val="24"/>
        </w:rPr>
        <w:t>侯坤宏（2004）。〈從太虛大師到印順法師：一個思想史角度的觀察〉。載於弘誓文教基金會（編），《第五屆「印順導師思想之理論與實踐」學術會議論文集》。桃園：弘誓文教基金會。</w:t>
      </w:r>
    </w:p>
    <w:p>
      <w:pPr>
        <w:spacing w:line="360" w:lineRule="auto" w:after="80"/>
        <w:ind w:left="482" w:hanging="482"/>
      </w:pPr>
      <w:r>
        <w:rPr>
          <w:rFonts w:ascii="Times New Roman" w:hAnsi="Times New Roman" w:eastAsia="新細明體"/>
          <w:b w:val="0"/>
          <w:i w:val="0"/>
          <w:sz w:val="24"/>
        </w:rPr>
        <w:t>侯坤宏（2016）。〈戰後台灣佛教正義議題之回顧〉。《法印學報》，(6)，103-148。</w:t>
      </w:r>
    </w:p>
    <w:p>
      <w:pPr>
        <w:spacing w:line="360" w:lineRule="auto" w:after="80"/>
        <w:ind w:left="482" w:hanging="482"/>
      </w:pPr>
      <w:r>
        <w:rPr>
          <w:rFonts w:ascii="Times New Roman" w:hAnsi="Times New Roman" w:eastAsia="新細明體"/>
          <w:b w:val="0"/>
          <w:i w:val="0"/>
          <w:sz w:val="24"/>
        </w:rPr>
        <w:t>藍吉富（2002）。〈台灣佛教思想史上的後印順時代〉。載於弘誓文教基金會（編），《第三屆「印順導師思想之理論與實踐」學術研討會論文集》。桃園：弘誓文教基金會。</w:t>
      </w:r>
    </w:p>
    <w:p>
      <w:pPr>
        <w:spacing w:line="360" w:lineRule="auto" w:after="80"/>
        <w:ind w:left="482" w:hanging="482"/>
      </w:pPr>
      <w:r>
        <w:rPr>
          <w:rFonts w:ascii="Times New Roman" w:hAnsi="Times New Roman" w:eastAsia="新細明體"/>
          <w:b w:val="0"/>
          <w:i w:val="0"/>
          <w:sz w:val="24"/>
        </w:rPr>
        <w:t>邱敏捷（2013）。〈印順學派的核心思想：以人間佛教為中心的開展〉。《人文與社會研究學報》，(47)，19-32。</w:t>
      </w:r>
    </w:p>
    <w:p>
      <w:pPr>
        <w:spacing w:line="360" w:lineRule="auto" w:after="80"/>
        <w:ind w:left="482" w:hanging="482"/>
      </w:pPr>
      <w:r>
        <w:rPr>
          <w:rFonts w:ascii="Times New Roman" w:hAnsi="Times New Roman" w:eastAsia="新細明體"/>
          <w:b w:val="0"/>
          <w:i w:val="0"/>
          <w:sz w:val="24"/>
        </w:rPr>
        <w:t>林建德（2012）。〈印順學派與慈濟宗門——試論印順思想對慈濟志業開展之可能啟發〉。《玄奘佛學研究》，(17)，93-134。</w:t>
      </w:r>
    </w:p>
    <w:p>
      <w:pPr>
        <w:spacing w:line="360" w:lineRule="auto" w:after="80"/>
        <w:ind w:left="482" w:hanging="482"/>
      </w:pPr>
      <w:r>
        <w:rPr>
          <w:rFonts w:ascii="Times New Roman" w:hAnsi="Times New Roman" w:eastAsia="新細明體"/>
          <w:b w:val="0"/>
          <w:i w:val="0"/>
          <w:sz w:val="24"/>
        </w:rPr>
        <w:t>林建德（2015）。〈「人類為本」與「眾生平等」——印順法師「人間佛教」觀點下的動物保護〉。《玄奘佛學研究》，(23)，197-222。</w:t>
      </w:r>
    </w:p>
    <w:p>
      <w:pPr>
        <w:spacing w:line="360" w:lineRule="auto" w:after="80"/>
        <w:ind w:left="482" w:hanging="482"/>
      </w:pPr>
      <w:r>
        <w:rPr>
          <w:rFonts w:ascii="Times New Roman" w:hAnsi="Times New Roman" w:eastAsia="新細明體"/>
          <w:b w:val="0"/>
          <w:i w:val="0"/>
          <w:sz w:val="24"/>
        </w:rPr>
        <w:t>林建德（2023）。〈台灣「人間佛教」之承傳與開展——從證嚴法師是否為「印順學派」探討起〉。《成大中文學報》，(81)，69-98。</w:t>
      </w:r>
    </w:p>
    <w:p>
      <w:pPr>
        <w:spacing w:line="360" w:lineRule="auto" w:after="80"/>
        <w:ind w:left="482" w:hanging="482"/>
      </w:pPr>
      <w:r>
        <w:rPr>
          <w:rFonts w:ascii="Times New Roman" w:hAnsi="Times New Roman" w:eastAsia="新細明體"/>
          <w:b w:val="0"/>
          <w:i w:val="0"/>
          <w:sz w:val="24"/>
        </w:rPr>
        <w:t>林朝成（2015）。〈動物解放與護生行動：從關懷生命協會的角度來探討〉。《玄奘佛學研究》，(23)，175-195。</w:t>
      </w:r>
    </w:p>
    <w:p>
      <w:pPr>
        <w:spacing w:line="360" w:lineRule="auto" w:after="80"/>
        <w:ind w:left="482" w:hanging="482"/>
      </w:pPr>
      <w:r>
        <w:rPr>
          <w:rFonts w:ascii="Times New Roman" w:hAnsi="Times New Roman" w:eastAsia="新細明體"/>
          <w:b w:val="0"/>
          <w:i w:val="0"/>
          <w:sz w:val="24"/>
        </w:rPr>
        <w:t>楊惠南（1990）。〈當代台灣佛教「出世」性格的分析〉。《東方宗教研究》，(新1)，317-343。</w:t>
      </w:r>
    </w:p>
    <w:p>
      <w:pPr>
        <w:spacing w:line="360" w:lineRule="auto" w:after="80"/>
        <w:ind w:left="482" w:hanging="482"/>
      </w:pPr>
      <w:r>
        <w:rPr>
          <w:rFonts w:ascii="Times New Roman" w:hAnsi="Times New Roman" w:eastAsia="新細明體"/>
          <w:b w:val="0"/>
          <w:i w:val="0"/>
          <w:sz w:val="24"/>
        </w:rPr>
        <w:t>李玉珍（2015）。〈受戒施教：戰後台灣比丘尼身分的形成與凝聚〉。《近代中國婦女史研究》，(25)，1-52。</w:t>
      </w:r>
    </w:p>
    <w:p>
      <w:pPr>
        <w:spacing w:line="360" w:lineRule="auto" w:after="80"/>
        <w:ind w:left="482" w:hanging="482"/>
      </w:pPr>
      <w:r>
        <w:rPr>
          <w:rFonts w:ascii="Times New Roman" w:hAnsi="Times New Roman" w:eastAsia="新細明體"/>
          <w:b w:val="0"/>
          <w:i w:val="0"/>
          <w:sz w:val="24"/>
        </w:rPr>
        <w:t>蓑輪顕量（2016）。〈現代台灣佛教與印順法師——五大本山與人間佛教的背景一探〉。《佛光學報》，2(2)，31-53。</w:t>
      </w:r>
    </w:p>
    <w:p>
      <w:pPr>
        <w:spacing w:line="360" w:lineRule="auto" w:after="80"/>
        <w:ind w:left="482" w:hanging="482"/>
      </w:pPr>
      <w:r>
        <w:rPr>
          <w:rFonts w:ascii="Times New Roman" w:hAnsi="Times New Roman" w:eastAsia="新細明體"/>
          <w:b w:val="0"/>
          <w:i w:val="0"/>
          <w:sz w:val="24"/>
        </w:rPr>
        <w:t>劉文芳（釋傳法）（2002）。《當代台灣佛教的社會運動》（碩士論文）。玄奘人文社會學院宗教學研究所，新竹。</w:t>
      </w:r>
    </w:p>
    <w:p>
      <w:pPr>
        <w:spacing w:line="360" w:lineRule="auto" w:after="80"/>
        <w:ind w:left="482" w:hanging="482"/>
      </w:pPr>
      <w:r>
        <w:rPr>
          <w:rFonts w:ascii="Times New Roman" w:hAnsi="Times New Roman" w:eastAsia="新細明體"/>
          <w:b w:val="0"/>
          <w:i w:val="0"/>
          <w:sz w:val="24"/>
        </w:rPr>
        <w:t>劉文芳（釋傳法）（2019）。《左翼佛教和公民社會：泰國和馬來西亞的佛教公共介入之研究》（博士論文）。國立政治大學宗教研究所，台北。</w:t>
      </w:r>
    </w:p>
    <w:p>
      <w:pPr>
        <w:spacing w:line="360" w:lineRule="auto" w:after="80"/>
        <w:ind w:left="482" w:hanging="482"/>
      </w:pPr>
      <w:r>
        <w:rPr>
          <w:rFonts w:ascii="Times New Roman" w:hAnsi="Times New Roman" w:eastAsia="新細明體"/>
          <w:b w:val="0"/>
          <w:i w:val="0"/>
          <w:sz w:val="24"/>
        </w:rPr>
        <w:t>釋傳法、釋性廣（2009）。〈社運浪潮中之護教運動——以中國佛教會護教組為探討核心〉。《玄奘佛學研究》，(11)，55-86。</w:t>
      </w:r>
    </w:p>
    <w:p>
      <w:pPr>
        <w:spacing w:line="360" w:lineRule="auto" w:after="80"/>
        <w:ind w:left="482" w:hanging="482"/>
      </w:pPr>
      <w:r>
        <w:rPr>
          <w:rFonts w:ascii="Times New Roman" w:hAnsi="Times New Roman" w:eastAsia="新細明體"/>
          <w:b w:val="0"/>
          <w:i w:val="0"/>
          <w:sz w:val="24"/>
        </w:rPr>
        <w:t>莊雅棠（1997）。〈台灣鄉土神學的開拓者——王憲治牧師〉。《新使者》，(43)。</w:t>
      </w:r>
    </w:p>
    <w:p>
      <w:pPr>
        <w:spacing w:line="360" w:lineRule="auto" w:after="80"/>
        <w:ind w:left="482" w:hanging="482"/>
      </w:pPr>
      <w:r>
        <w:rPr>
          <w:rFonts w:ascii="Times New Roman" w:hAnsi="Times New Roman" w:eastAsia="新細明體"/>
          <w:b w:val="0"/>
          <w:i w:val="0"/>
          <w:sz w:val="24"/>
        </w:rPr>
        <w:t>莊雅棠（2001）。〈實況化神學的意義及其超越一般——台灣本土神學方法論的反思〉。《道雜誌》，(2)，30-39。</w:t>
      </w:r>
    </w:p>
    <w:p>
      <w:pPr>
        <w:spacing w:line="360" w:lineRule="auto" w:after="80"/>
        <w:ind w:left="482" w:hanging="482"/>
      </w:pPr>
      <w:r>
        <w:rPr>
          <w:rFonts w:ascii="Times New Roman" w:hAnsi="Times New Roman" w:eastAsia="新細明體"/>
          <w:b w:val="0"/>
          <w:i w:val="0"/>
          <w:sz w:val="24"/>
        </w:rPr>
        <w:t>莊雅棠（2003）。〈宋泉盛的故事神學〉。《神學與教會》，28(1)，123-145。</w:t>
      </w:r>
    </w:p>
    <w:p>
      <w:pPr>
        <w:spacing w:line="360" w:lineRule="auto" w:after="80"/>
        <w:ind w:left="482" w:hanging="482"/>
      </w:pPr>
      <w:r>
        <w:rPr>
          <w:rFonts w:ascii="Times New Roman" w:hAnsi="Times New Roman" w:eastAsia="新細明體"/>
          <w:b w:val="0"/>
          <w:i w:val="0"/>
          <w:sz w:val="24"/>
        </w:rPr>
        <w:t>莊雅棠（2019）。〈在後現代處境中的台灣本土神學〉。《神學與教會》，44(1)，75-102。</w:t>
      </w:r>
    </w:p>
    <w:p>
      <w:pPr>
        <w:spacing w:line="360" w:lineRule="auto" w:after="80"/>
        <w:ind w:left="482" w:hanging="482"/>
      </w:pPr>
      <w:r>
        <w:rPr>
          <w:rFonts w:ascii="Times New Roman" w:hAnsi="Times New Roman" w:eastAsia="新細明體"/>
          <w:b w:val="0"/>
          <w:i w:val="0"/>
          <w:sz w:val="24"/>
        </w:rPr>
        <w:t>陳南州（2004）。〈實況化神學的開展：黃彰輝牧師神學思想的探討〉。《台灣神學論刊》，(26)，59-83。</w:t>
      </w:r>
    </w:p>
    <w:p>
      <w:pPr>
        <w:spacing w:line="360" w:lineRule="auto" w:after="80"/>
        <w:ind w:left="482" w:hanging="482"/>
      </w:pPr>
      <w:r>
        <w:rPr>
          <w:rFonts w:ascii="Times New Roman" w:hAnsi="Times New Roman" w:eastAsia="新細明體"/>
          <w:b w:val="0"/>
          <w:i w:val="0"/>
          <w:sz w:val="24"/>
        </w:rPr>
        <w:t>鄭仰恩（2001）。〈獻身普世運動的台灣本土神學家——黃彰輝牧師小傳〉。《新使者》，(64)，30-33。</w:t>
      </w:r>
    </w:p>
    <w:p>
      <w:pPr>
        <w:spacing w:line="360" w:lineRule="auto" w:after="80"/>
        <w:ind w:left="482" w:hanging="482"/>
      </w:pPr>
      <w:r>
        <w:rPr>
          <w:rFonts w:ascii="Times New Roman" w:hAnsi="Times New Roman" w:eastAsia="新細明體"/>
          <w:b w:val="0"/>
          <w:i w:val="0"/>
          <w:sz w:val="24"/>
        </w:rPr>
        <w:t>鄭仰恩（2005）。〈從「自立」到「認同」：台灣基督長老教會本土化過程的歷史探討〉。《台灣神學論刊》，(27)，75-102。</w:t>
      </w:r>
    </w:p>
    <w:p>
      <w:pPr>
        <w:spacing w:line="360" w:lineRule="auto" w:after="80"/>
        <w:ind w:left="482" w:hanging="482"/>
      </w:pPr>
      <w:r>
        <w:rPr>
          <w:rFonts w:ascii="Times New Roman" w:hAnsi="Times New Roman" w:eastAsia="新細明體"/>
          <w:b w:val="0"/>
          <w:i w:val="0"/>
          <w:sz w:val="24"/>
        </w:rPr>
        <w:t>鄭仰恩（2015）。〈黃彰輝牧師及現今普世視域中的實況化神學發展〉。載於王崇堯等（主編），《黃彰輝牧師的精神資產研討會論文集》（頁165-192）。台南：南神出版社。</w:t>
      </w:r>
    </w:p>
    <w:p>
      <w:pPr>
        <w:spacing w:line="360" w:lineRule="auto" w:after="80"/>
        <w:ind w:left="482" w:hanging="482"/>
      </w:pPr>
      <w:r>
        <w:rPr>
          <w:rFonts w:ascii="Times New Roman" w:hAnsi="Times New Roman" w:eastAsia="新細明體"/>
          <w:b w:val="0"/>
          <w:i w:val="0"/>
          <w:sz w:val="24"/>
        </w:rPr>
        <w:t>歐力仁（2009）。〈亞洲神學之實況化詮釋學的形成與轉變〉。《宗教哲學》，(48)，123-142。</w:t>
      </w:r>
    </w:p>
    <w:p>
      <w:pPr>
        <w:spacing w:line="360" w:lineRule="auto" w:after="80"/>
        <w:ind w:left="482" w:hanging="482"/>
      </w:pPr>
      <w:r>
        <w:rPr>
          <w:rFonts w:ascii="Times New Roman" w:hAnsi="Times New Roman" w:eastAsia="新細明體"/>
          <w:b w:val="0"/>
          <w:i w:val="0"/>
          <w:sz w:val="24"/>
        </w:rPr>
        <w:t>歐力仁（2011）。〈訴說苦難生命的故事——宋泉盛的故事神學方法論及其批判〉。《道風：基督教文化評論》，(35)，245-277。</w:t>
      </w:r>
    </w:p>
    <w:p>
      <w:pPr>
        <w:spacing w:line="360" w:lineRule="auto" w:after="80"/>
        <w:ind w:left="482" w:hanging="482"/>
      </w:pPr>
      <w:r>
        <w:rPr>
          <w:rFonts w:ascii="Times New Roman" w:hAnsi="Times New Roman" w:eastAsia="新細明體"/>
          <w:b w:val="0"/>
          <w:i w:val="0"/>
          <w:sz w:val="24"/>
        </w:rPr>
        <w:t>謝易宏（2011）。〈鄉土神學「出埃及模式」的反思與再處境化〉。《神學與教會》，36(2)，387-408。</w:t>
      </w:r>
    </w:p>
    <w:p>
      <w:pPr>
        <w:spacing w:line="360" w:lineRule="auto" w:after="80"/>
        <w:ind w:left="482" w:hanging="482"/>
      </w:pPr>
      <w:r>
        <w:rPr>
          <w:rFonts w:ascii="Times New Roman" w:hAnsi="Times New Roman" w:eastAsia="新細明體"/>
          <w:b w:val="0"/>
          <w:i w:val="0"/>
          <w:sz w:val="24"/>
        </w:rPr>
        <w:t>邱凱莉（2021）。〈從人民自決到獨立建國：以後殖民觀點分析台灣基督長老教會政治神學解嚴後三十年發展〉。《輔仁宗教研究》，(42)，121-146。</w:t>
      </w:r>
    </w:p>
    <w:p>
      <w:pPr>
        <w:spacing w:line="360" w:lineRule="auto" w:after="80"/>
        <w:ind w:left="482" w:hanging="482"/>
      </w:pPr>
      <w:r>
        <w:rPr>
          <w:rFonts w:ascii="Times New Roman" w:hAnsi="Times New Roman" w:eastAsia="新細明體"/>
          <w:b w:val="0"/>
          <w:i w:val="0"/>
          <w:sz w:val="24"/>
        </w:rPr>
        <w:t>黃克先（2021）。〈跨國宗教與受限制的黨國：從監控檔案再探長老教會的政教關係〉。《臺灣社會學刊》，(70)，1-76。</w:t>
      </w:r>
    </w:p>
    <w:p>
      <w:pPr>
        <w:spacing w:line="360" w:lineRule="auto" w:after="80"/>
        <w:ind w:left="482" w:hanging="482"/>
      </w:pPr>
      <w:r>
        <w:rPr>
          <w:rFonts w:ascii="Times New Roman" w:hAnsi="Times New Roman" w:eastAsia="新細明體"/>
          <w:b w:val="0"/>
          <w:i w:val="0"/>
          <w:sz w:val="24"/>
        </w:rPr>
        <w:t>王崇堯（2015）。〈台灣南部長老教會150年來宣教反思〉。《神學與教會》，40(2)，249-273。</w:t>
      </w:r>
    </w:p>
    <w:p>
      <w:pPr>
        <w:spacing w:line="360" w:lineRule="auto" w:after="80"/>
        <w:ind w:left="482" w:hanging="482"/>
      </w:pPr>
      <w:r>
        <w:rPr>
          <w:rFonts w:ascii="Times New Roman" w:hAnsi="Times New Roman" w:eastAsia="新細明體"/>
          <w:b w:val="0"/>
          <w:i w:val="0"/>
          <w:sz w:val="24"/>
        </w:rPr>
        <w:t>程璞爾（2017）。《論後太陽花運動教會參與公共性之「想像」——以台灣基督長老教會為例》（碩士論文）。中原大學宗教研究所，桃園。</w:t>
      </w:r>
    </w:p>
    <w:p>
      <w:pPr>
        <w:spacing w:line="360" w:lineRule="auto" w:after="80"/>
        <w:ind w:left="482" w:hanging="482"/>
      </w:pPr>
      <w:r>
        <w:rPr>
          <w:rFonts w:ascii="Times New Roman" w:hAnsi="Times New Roman" w:eastAsia="新細明體"/>
          <w:b w:val="0"/>
          <w:i w:val="0"/>
          <w:sz w:val="24"/>
        </w:rPr>
        <w:t>莊秉潔（2011）。《當代台灣佛教與基督教對話之研究》（碩士論文）。玄奘大學宗教學研究所，新竹。</w:t>
      </w:r>
    </w:p>
    <w:p>
      <w:pPr>
        <w:spacing w:line="360" w:lineRule="auto" w:after="80"/>
        <w:ind w:left="482" w:hanging="482"/>
      </w:pPr>
      <w:r>
        <w:rPr>
          <w:rFonts w:ascii="Times New Roman" w:hAnsi="Times New Roman" w:eastAsia="新細明體"/>
          <w:b w:val="0"/>
          <w:i w:val="0"/>
          <w:sz w:val="24"/>
        </w:rPr>
        <w:t>賴賢宗（2004）。〈佛教與基督教的對話：以當代台灣宗教界為中心〉。《哲學與文化》，31(5)，23-41。</w:t>
      </w:r>
    </w:p>
    <w:p>
      <w:pPr>
        <w:spacing w:line="360" w:lineRule="auto" w:after="80"/>
        <w:ind w:left="482" w:hanging="482"/>
      </w:pPr>
      <w:r>
        <w:rPr>
          <w:rFonts w:ascii="Times New Roman" w:hAnsi="Times New Roman" w:eastAsia="新細明體"/>
          <w:b w:val="0"/>
          <w:i w:val="0"/>
          <w:sz w:val="24"/>
        </w:rPr>
        <w:t>蔡怡佳（2016）。〈與佛相應、與神相契：臺灣佛教徒與基督徒的祈禱修行體驗〉。《臺灣宗教研究》，15(1)，51-78。</w:t>
      </w:r>
    </w:p>
    <w:p>
      <w:pPr>
        <w:spacing w:line="360" w:lineRule="auto" w:after="80"/>
        <w:ind w:left="482" w:hanging="482"/>
      </w:pPr>
      <w:r>
        <w:rPr>
          <w:rFonts w:ascii="Times New Roman" w:hAnsi="Times New Roman" w:eastAsia="新細明體"/>
          <w:b w:val="0"/>
          <w:i w:val="0"/>
          <w:sz w:val="24"/>
        </w:rPr>
        <w:t>游祥洲（2007）。〈論全球入世佛教之發展進路——兼論其涉及公共事務時之政治取向〉。《弘誓雙月刊》，(88)，6-23。</w:t>
      </w:r>
    </w:p>
    <w:p>
      <w:pPr>
        <w:spacing w:line="360" w:lineRule="auto" w:after="80"/>
        <w:ind w:left="482" w:hanging="482"/>
      </w:pPr>
      <w:r>
        <w:rPr>
          <w:rFonts w:ascii="Times New Roman" w:hAnsi="Times New Roman" w:eastAsia="新細明體"/>
          <w:b w:val="0"/>
          <w:i w:val="0"/>
          <w:sz w:val="24"/>
        </w:rPr>
        <w:t>張辰瑋（2023）。〈昭慧法師與性廣法師對印順學的傳承與實踐——以經營佛教弘誓學院、參與社運、闡揚人間佛教禪法為例〉。《法印學報》，(14)，181-204。</w:t>
      </w:r>
    </w:p>
    <w:p>
      <w:pPr>
        <w:spacing w:line="360" w:lineRule="auto" w:after="80"/>
        <w:ind w:left="482" w:hanging="482"/>
      </w:pPr>
      <w:r>
        <w:rPr>
          <w:rFonts w:ascii="Times New Roman" w:hAnsi="Times New Roman" w:eastAsia="新細明體"/>
          <w:b w:val="0"/>
          <w:i w:val="0"/>
          <w:sz w:val="24"/>
        </w:rPr>
        <w:t>張辰瑋（2024）。〈從「青年佛教」之精神看印順學派的歷史發展〉。《法印學報》，229-252。</w:t>
      </w:r>
    </w:p>
    <w:p>
      <w:pPr>
        <w:spacing w:line="360" w:lineRule="auto" w:after="80"/>
        <w:ind w:left="482" w:hanging="482"/>
      </w:pPr>
      <w:r>
        <w:rPr>
          <w:rFonts w:ascii="Times New Roman" w:hAnsi="Times New Roman" w:eastAsia="新細明體"/>
          <w:b w:val="0"/>
          <w:i w:val="0"/>
          <w:sz w:val="24"/>
        </w:rPr>
        <w:t>張辰瑋（2024）。〈耶佛之間的跨宗教友誼與跨宗教合作：以釋昭慧法師、盧俊義牧師、洪山川主教為例〉。「2024年度台灣宗教學會年會」，中央研究院民族學研究所，台北。</w:t>
      </w:r>
    </w:p>
    <w:p>
      <w:pPr>
        <w:spacing w:line="360" w:lineRule="auto" w:after="80"/>
        <w:ind w:left="482" w:hanging="482"/>
      </w:pPr>
      <w:r>
        <w:rPr>
          <w:rFonts w:ascii="Times New Roman" w:hAnsi="Times New Roman" w:eastAsia="新細明體"/>
          <w:b w:val="0"/>
          <w:i w:val="0"/>
          <w:sz w:val="24"/>
        </w:rPr>
        <w:t>張辰瑋（2025）。〈昭慧法師的戒律學思想與實踐：以性別議題為核心〉。第六屆中華國際佛學會議，法鼓山中華佛學研究所，台北。</w:t>
      </w:r>
    </w:p>
    <w:p>
      <w:pPr>
        <w:spacing w:line="360" w:lineRule="auto" w:after="80"/>
        <w:ind w:left="482" w:hanging="482"/>
      </w:pPr>
      <w:r>
        <w:rPr>
          <w:rFonts w:ascii="Times New Roman" w:hAnsi="Times New Roman" w:eastAsia="新細明體"/>
          <w:b w:val="0"/>
          <w:i w:val="0"/>
          <w:sz w:val="24"/>
        </w:rPr>
        <w:t>張辰瑋（2025）。《印順導師人間佛教思想的傳承與實踐：以昭慧法師、性廣法師為核心》（碩士論文）。國立台北教育大學台灣文化研究所，台北。</w:t>
      </w:r>
    </w:p>
    <w:p>
      <w:pPr>
        <w:pageBreakBefore w:val="0"/>
        <w:spacing w:line="360" w:lineRule="auto" w:after="200" w:before="160"/>
      </w:pPr>
      <w:r>
        <w:rPr>
          <w:rFonts w:ascii="Times New Roman" w:hAnsi="Times New Roman" w:eastAsia="新細明體"/>
          <w:b/>
          <w:i w:val="0"/>
          <w:sz w:val="26"/>
        </w:rPr>
        <w:t>四、外文文獻</w:t>
      </w:r>
    </w:p>
    <w:p>
      <w:pPr>
        <w:spacing w:line="360" w:lineRule="auto" w:after="80"/>
        <w:ind w:left="482" w:hanging="482"/>
      </w:pPr>
      <w:r>
        <w:rPr>
          <w:rFonts w:ascii="Times New Roman" w:hAnsi="Times New Roman" w:eastAsia="新細明體"/>
          <w:b w:val="0"/>
          <w:i w:val="0"/>
          <w:sz w:val="24"/>
        </w:rPr>
        <w:t>Ahn, B.-M.（안병무）(1981). *Minjung theology: People as the subjects of history*. Maryknoll, NY: Orbis Books.</w:t>
      </w:r>
    </w:p>
    <w:p>
      <w:pPr>
        <w:spacing w:line="360" w:lineRule="auto" w:after="80"/>
        <w:ind w:left="482" w:hanging="482"/>
      </w:pPr>
      <w:r>
        <w:rPr>
          <w:rFonts w:ascii="Times New Roman" w:hAnsi="Times New Roman" w:eastAsia="新細明體"/>
          <w:b w:val="0"/>
          <w:i w:val="0"/>
          <w:sz w:val="24"/>
        </w:rPr>
        <w:t>Clooney, F. X. (2010). *Comparative theology: Deep learning across religious borders*. Malden, MA: Wiley-Blackwell.</w:t>
      </w:r>
    </w:p>
    <w:p>
      <w:pPr>
        <w:spacing w:line="360" w:lineRule="auto" w:after="80"/>
        <w:ind w:left="482" w:hanging="482"/>
      </w:pPr>
      <w:r>
        <w:rPr>
          <w:rFonts w:ascii="Times New Roman" w:hAnsi="Times New Roman" w:eastAsia="新細明體"/>
          <w:b w:val="0"/>
          <w:i w:val="0"/>
          <w:sz w:val="24"/>
        </w:rPr>
        <w:t>Duara, P. (2015). *The crisis of global modernity: Asian traditions and a sustainable future*. Cambridge: Cambridge University Press.</w:t>
      </w:r>
    </w:p>
    <w:p>
      <w:pPr>
        <w:spacing w:line="360" w:lineRule="auto" w:after="80"/>
        <w:ind w:left="482" w:hanging="482"/>
      </w:pPr>
      <w:r>
        <w:rPr>
          <w:rFonts w:ascii="Times New Roman" w:hAnsi="Times New Roman" w:eastAsia="新細明體"/>
          <w:b w:val="0"/>
          <w:i w:val="0"/>
          <w:sz w:val="24"/>
        </w:rPr>
        <w:t>Goossaert, V., &amp; Palmer, D. A. (2011). *The religious question in modern China*. Chicago: University of Chicago Press.</w:t>
      </w:r>
    </w:p>
    <w:p>
      <w:pPr>
        <w:spacing w:line="360" w:lineRule="auto" w:after="80"/>
        <w:ind w:left="482" w:hanging="482"/>
      </w:pPr>
      <w:r>
        <w:rPr>
          <w:rFonts w:ascii="Times New Roman" w:hAnsi="Times New Roman" w:eastAsia="新細明體"/>
          <w:b w:val="0"/>
          <w:i w:val="0"/>
          <w:sz w:val="24"/>
        </w:rPr>
        <w:t>Hick, J. (1989). *An interpretation of religion: Human responses to the transcendent*. New Haven: Yale University Press.</w:t>
      </w:r>
    </w:p>
    <w:p>
      <w:pPr>
        <w:spacing w:line="360" w:lineRule="auto" w:after="80"/>
        <w:ind w:left="482" w:hanging="482"/>
      </w:pPr>
      <w:r>
        <w:rPr>
          <w:rFonts w:ascii="Times New Roman" w:hAnsi="Times New Roman" w:eastAsia="新細明體"/>
          <w:b w:val="0"/>
          <w:i w:val="0"/>
          <w:sz w:val="24"/>
        </w:rPr>
        <w:t>Kagawa, T.（賀川豊彦）(1936). *Brotherhood economics*. New York: Harper &amp; Brothers.</w:t>
      </w:r>
    </w:p>
    <w:p>
      <w:pPr>
        <w:spacing w:line="360" w:lineRule="auto" w:after="80"/>
        <w:ind w:left="482" w:hanging="482"/>
      </w:pPr>
      <w:r>
        <w:rPr>
          <w:rFonts w:ascii="Times New Roman" w:hAnsi="Times New Roman" w:eastAsia="新細明體"/>
          <w:b w:val="0"/>
          <w:i w:val="0"/>
          <w:sz w:val="24"/>
        </w:rPr>
        <w:t>Knitter, P. F. (1995). *One earth many religions: Multifaith dialogue and global responsibility*. Maryknoll, NY: Orbis Books.</w:t>
      </w:r>
    </w:p>
    <w:p>
      <w:pPr>
        <w:spacing w:line="360" w:lineRule="auto" w:after="80"/>
        <w:ind w:left="482" w:hanging="482"/>
      </w:pPr>
      <w:r>
        <w:rPr>
          <w:rFonts w:ascii="Times New Roman" w:hAnsi="Times New Roman" w:eastAsia="新細明體"/>
          <w:b w:val="0"/>
          <w:i w:val="0"/>
          <w:sz w:val="24"/>
        </w:rPr>
        <w:t>Koyama, K.（小山晃佑）(1974). *Water buffalo theology*. Maryknoll, NY: Orbis Books.</w:t>
      </w:r>
    </w:p>
    <w:p>
      <w:pPr>
        <w:spacing w:line="360" w:lineRule="auto" w:after="80"/>
        <w:ind w:left="482" w:hanging="482"/>
      </w:pPr>
      <w:r>
        <w:rPr>
          <w:rFonts w:ascii="Times New Roman" w:hAnsi="Times New Roman" w:eastAsia="新細明體"/>
          <w:b w:val="0"/>
          <w:i w:val="0"/>
          <w:sz w:val="24"/>
        </w:rPr>
        <w:t>Lian, X. (2010). *Redeemed by fire: The rise of popular Christianity in modern China*. New Haven: Yale University Press.</w:t>
      </w:r>
    </w:p>
    <w:p>
      <w:pPr>
        <w:spacing w:line="360" w:lineRule="auto" w:after="80"/>
        <w:ind w:left="482" w:hanging="482"/>
      </w:pPr>
      <w:r>
        <w:rPr>
          <w:rFonts w:ascii="Times New Roman" w:hAnsi="Times New Roman" w:eastAsia="新細明體"/>
          <w:b w:val="0"/>
          <w:i w:val="0"/>
          <w:sz w:val="24"/>
        </w:rPr>
        <w:t>Madsen, R. (2007). *Democracy's dharma: Religious renaissance and political development in Taiwan*. Berkeley: University of California Press.</w:t>
      </w:r>
    </w:p>
    <w:p>
      <w:pPr>
        <w:spacing w:line="360" w:lineRule="auto" w:after="80"/>
        <w:ind w:left="482" w:hanging="482"/>
      </w:pPr>
      <w:r>
        <w:rPr>
          <w:rFonts w:ascii="Times New Roman" w:hAnsi="Times New Roman" w:eastAsia="新細明體"/>
          <w:b w:val="0"/>
          <w:i w:val="0"/>
          <w:sz w:val="24"/>
        </w:rPr>
        <w:t>Panikkar, R. (1999). *The intra-religious dialogue* (Rev. ed.). New York: Paulist Press.</w:t>
      </w:r>
    </w:p>
    <w:p>
      <w:pPr>
        <w:spacing w:line="360" w:lineRule="auto" w:after="80"/>
        <w:ind w:left="482" w:hanging="482"/>
      </w:pPr>
      <w:r>
        <w:rPr>
          <w:rFonts w:ascii="Times New Roman" w:hAnsi="Times New Roman" w:eastAsia="新細明體"/>
          <w:b w:val="0"/>
          <w:i w:val="0"/>
          <w:sz w:val="24"/>
        </w:rPr>
        <w:t>Pieris, A. (1988). *An Asian theology of liberation*. Maryknoll, NY: Orbis Books.</w:t>
      </w:r>
    </w:p>
    <w:p>
      <w:pPr>
        <w:spacing w:line="360" w:lineRule="auto" w:after="80"/>
        <w:ind w:left="482" w:hanging="482"/>
      </w:pPr>
      <w:r>
        <w:rPr>
          <w:rFonts w:ascii="Times New Roman" w:hAnsi="Times New Roman" w:eastAsia="新細明體"/>
          <w:b w:val="0"/>
          <w:i w:val="0"/>
          <w:sz w:val="24"/>
        </w:rPr>
        <w:t>Queen, C. S., &amp; King, S. B. (Eds.). (1996). *Engaged Buddhism: Buddhist liberation movements in Asia*. Albany: State University of New York Press.</w:t>
      </w:r>
    </w:p>
    <w:p>
      <w:pPr>
        <w:spacing w:line="360" w:lineRule="auto" w:after="80"/>
        <w:ind w:left="482" w:hanging="482"/>
      </w:pPr>
      <w:r>
        <w:rPr>
          <w:rFonts w:ascii="Times New Roman" w:hAnsi="Times New Roman" w:eastAsia="新細明體"/>
          <w:b w:val="0"/>
          <w:i w:val="0"/>
          <w:sz w:val="24"/>
        </w:rPr>
        <w:t>Rauschenbusch, W. (1917). *A theology for the social gospel*. New York: Macmillan.</w:t>
      </w:r>
    </w:p>
    <w:p>
      <w:pPr>
        <w:spacing w:line="360" w:lineRule="auto" w:after="80"/>
        <w:ind w:left="482" w:hanging="482"/>
      </w:pPr>
      <w:r>
        <w:rPr>
          <w:rFonts w:ascii="Times New Roman" w:hAnsi="Times New Roman" w:eastAsia="新細明體"/>
          <w:b w:val="0"/>
          <w:i w:val="0"/>
          <w:sz w:val="24"/>
        </w:rPr>
        <w:t>Ritzinger, J. R. (2017). *Anarchy in the Pure Land: Tradition and modernity in the movements of Taixu and Yinshun*. Honolulu: University of Hawaii Press.</w:t>
      </w:r>
    </w:p>
    <w:p>
      <w:pPr>
        <w:spacing w:line="360" w:lineRule="auto" w:after="80"/>
        <w:ind w:left="482" w:hanging="482"/>
      </w:pPr>
      <w:r>
        <w:rPr>
          <w:rFonts w:ascii="Times New Roman" w:hAnsi="Times New Roman" w:eastAsia="新細明體"/>
          <w:b w:val="0"/>
          <w:i w:val="0"/>
          <w:sz w:val="24"/>
        </w:rPr>
        <w:t>Shields, J. M. (2017). *Against harmony: Progressive and radical Buddhism in modern Japan*. Oxford: Oxford University Press.</w:t>
      </w:r>
    </w:p>
    <w:p>
      <w:pPr>
        <w:spacing w:line="360" w:lineRule="auto" w:after="80"/>
        <w:ind w:left="482" w:hanging="482"/>
      </w:pPr>
      <w:r>
        <w:rPr>
          <w:rFonts w:ascii="Times New Roman" w:hAnsi="Times New Roman" w:eastAsia="新細明體"/>
          <w:b w:val="0"/>
          <w:i w:val="0"/>
          <w:sz w:val="24"/>
        </w:rPr>
        <w:t>Starr, C. (2016). *Chinese theology: Text and context*. New Haven: Yale University Press.</w:t>
      </w:r>
    </w:p>
    <w:p>
      <w:pPr>
        <w:spacing w:line="360" w:lineRule="auto" w:after="80"/>
        <w:ind w:left="482" w:hanging="482"/>
      </w:pPr>
      <w:r>
        <w:rPr>
          <w:rFonts w:ascii="Times New Roman" w:hAnsi="Times New Roman" w:eastAsia="新細明體"/>
          <w:b w:val="0"/>
          <w:i w:val="0"/>
          <w:sz w:val="24"/>
        </w:rPr>
        <w:t>Xing, J. (1996). *Baptized in the fire of revolution: The American social gospel and the YMCA in China, 1919-1937*. Bethlehem: Lehigh University Press.</w:t>
      </w:r>
    </w:p>
    <w:p>
      <w:pPr>
        <w:pageBreakBefore/>
        <w:spacing w:line="360" w:lineRule="auto" w:after="200" w:before="240"/>
      </w:pPr>
      <w:r>
        <w:rPr>
          <w:rFonts w:ascii="Times New Roman" w:hAnsi="Times New Roman" w:eastAsia="新細明體"/>
          <w:b/>
          <w:i w:val="0"/>
          <w:sz w:val="28"/>
        </w:rPr>
        <w:t>附錄　十個月研究工作計畫（2026年9月–2027年6月）</w:t>
      </w:r>
    </w:p>
    <w:p>
      <w:pPr>
        <w:spacing w:line="360" w:lineRule="auto" w:after="120"/>
        <w:ind w:firstLine="480"/>
      </w:pPr>
      <w:r>
        <w:rPr>
          <w:rFonts w:ascii="Times New Roman" w:hAnsi="Times New Roman" w:eastAsia="新細明體"/>
          <w:b/>
          <w:i w:val="0"/>
          <w:sz w:val="24"/>
        </w:rPr>
        <w:t>九月–十月　人間佛教的史料整理</w:t>
      </w:r>
      <w:r>
        <w:rPr>
          <w:rFonts w:ascii="Times New Roman" w:hAnsi="Times New Roman" w:eastAsia="新細明體"/>
          <w:b w:val="0"/>
          <w:i w:val="0"/>
          <w:sz w:val="24"/>
        </w:rPr>
        <w:t>：研讀太虛、印順教史著作與〈契理契機之人間佛教〉，續讀傳道法師著述、《傳道法師年譜》及昭慧法師律學與倫理學著作。產出四人著作編年目錄，以及《妙心雜誌》、《弘誓雙月刊》、《法印學報》篇目索引。</w:t>
      </w:r>
    </w:p>
    <w:p>
      <w:pPr>
        <w:spacing w:line="360" w:lineRule="auto" w:after="120"/>
        <w:ind w:firstLine="480"/>
      </w:pPr>
      <w:r>
        <w:rPr>
          <w:rFonts w:ascii="Times New Roman" w:hAnsi="Times New Roman" w:eastAsia="新細明體"/>
          <w:b/>
          <w:i w:val="0"/>
          <w:sz w:val="24"/>
        </w:rPr>
        <w:t>十一月–十二月　長老教會公共神學的史料整理</w:t>
      </w:r>
      <w:r>
        <w:rPr>
          <w:rFonts w:ascii="Times New Roman" w:hAnsi="Times New Roman" w:eastAsia="新細明體"/>
          <w:b w:val="0"/>
          <w:i w:val="0"/>
          <w:sz w:val="24"/>
        </w:rPr>
        <w:t>：研讀《台灣基督長老教會史》、三大聲明與一九八五年信仰告白相關文獻，及黃彰輝、宋泉盛、王憲治、黃伯和四人著作。產出四人著作編年目錄，以及《台灣教會公報》、《新使者》、《神學與教會》、《道雜誌》篇目索引。</w:t>
      </w:r>
    </w:p>
    <w:p>
      <w:pPr>
        <w:spacing w:line="360" w:lineRule="auto" w:after="120"/>
        <w:ind w:firstLine="480"/>
      </w:pPr>
      <w:r>
        <w:rPr>
          <w:rFonts w:ascii="Times New Roman" w:hAnsi="Times New Roman" w:eastAsia="新細明體"/>
          <w:b/>
          <w:i w:val="0"/>
          <w:sz w:val="24"/>
        </w:rPr>
        <w:t>一月　第一章初稿</w:t>
      </w:r>
      <w:r>
        <w:rPr>
          <w:rFonts w:ascii="Times New Roman" w:hAnsi="Times New Roman" w:eastAsia="新細明體"/>
          <w:b w:val="0"/>
          <w:i w:val="0"/>
          <w:sz w:val="24"/>
        </w:rPr>
        <w:t>：收束前四個月成果為第一章〈研究方法與文獻回顧〉初稿（約兩萬字）；建置兩組關鍵詞（人生佛教／人間佛教／此時此地此人；本色化／實況化／鄉土／出頭天）的概念史索引。繳交第一學期論文進度審查表。</w:t>
      </w:r>
    </w:p>
    <w:p>
      <w:pPr>
        <w:spacing w:line="360" w:lineRule="auto" w:after="120"/>
        <w:ind w:firstLine="480"/>
      </w:pPr>
      <w:r>
        <w:rPr>
          <w:rFonts w:ascii="Times New Roman" w:hAnsi="Times New Roman" w:eastAsia="新細明體"/>
          <w:b/>
          <w:i w:val="0"/>
          <w:sz w:val="24"/>
        </w:rPr>
        <w:t>二月–三月　第二章</w:t>
      </w:r>
      <w:r>
        <w:rPr>
          <w:rFonts w:ascii="Times New Roman" w:hAnsi="Times New Roman" w:eastAsia="新細明體"/>
          <w:b w:val="0"/>
          <w:i w:val="0"/>
          <w:sz w:val="24"/>
        </w:rPr>
        <w:t>：完成〈東亞近代宗教變革〉全六節初稿並統稿（約四萬字），涵蓋日本、中國、朝鮮、台灣四線與比較歸納。</w:t>
      </w:r>
    </w:p>
    <w:p>
      <w:pPr>
        <w:spacing w:line="360" w:lineRule="auto" w:after="120"/>
        <w:ind w:firstLine="480"/>
      </w:pPr>
      <w:r>
        <w:rPr>
          <w:rFonts w:ascii="Times New Roman" w:hAnsi="Times New Roman" w:eastAsia="新細明體"/>
          <w:b/>
          <w:i w:val="0"/>
          <w:sz w:val="24"/>
        </w:rPr>
        <w:t>四月–五月　第三章</w:t>
      </w:r>
      <w:r>
        <w:rPr>
          <w:rFonts w:ascii="Times New Roman" w:hAnsi="Times New Roman" w:eastAsia="新細明體"/>
          <w:b w:val="0"/>
          <w:i w:val="0"/>
          <w:sz w:val="24"/>
        </w:rPr>
        <w:t>：以第一學期長編為基礎完成〈人間佛教在台灣的發展〉全章初稿；赴妙心寺、台南神學院、台灣教會公報社實地查閱，補齊傳道一節的一手材料，並整理第四章寫作大綱與引文長編。</w:t>
      </w:r>
    </w:p>
    <w:p>
      <w:pPr>
        <w:spacing w:line="360" w:lineRule="auto" w:after="120"/>
        <w:ind w:firstLine="480"/>
      </w:pPr>
      <w:r>
        <w:rPr>
          <w:rFonts w:ascii="Times New Roman" w:hAnsi="Times New Roman" w:eastAsia="新細明體"/>
          <w:b/>
          <w:i w:val="0"/>
          <w:sz w:val="24"/>
        </w:rPr>
        <w:t>六月　投稿與訪談啟動</w:t>
      </w:r>
      <w:r>
        <w:rPr>
          <w:rFonts w:ascii="Times New Roman" w:hAnsi="Times New Roman" w:eastAsia="新細明體"/>
          <w:b w:val="0"/>
          <w:i w:val="0"/>
          <w:sz w:val="24"/>
        </w:rPr>
        <w:t>：第二章定稿並投稿學術研討會；完成口述歷史受訪名單、訪綱與學術倫理程序，進行第一批訪談三場以上。繳交第二學期論文進度審查表。</w:t>
      </w:r>
    </w:p>
    <w:p>
      <w:pPr>
        <w:spacing w:line="360" w:lineRule="auto" w:after="120"/>
        <w:ind w:firstLine="480"/>
      </w:pPr>
      <w:r>
        <w:rPr>
          <w:rFonts w:ascii="Times New Roman" w:hAnsi="Times New Roman" w:eastAsia="新細明體"/>
          <w:b/>
          <w:i w:val="0"/>
          <w:sz w:val="24"/>
        </w:rPr>
        <w:t>十個月後的預期成果</w:t>
      </w:r>
      <w:r>
        <w:rPr>
          <w:rFonts w:ascii="Times New Roman" w:hAnsi="Times New Roman" w:eastAsia="新細明體"/>
          <w:b w:val="0"/>
          <w:i w:val="0"/>
          <w:sz w:val="24"/>
        </w:rPr>
        <w:t>：第一章初稿、第二章定稿（含一場研討會發表）、第三章全章初稿、第四章寫作大綱；八人著作編年目錄、七份教團刊物篇目索引、兩組關鍵詞概念史索引；訪談逐字稿三份。研究期間每月與指導教授進行二次以上進度討論，按月填具論文指導紀錄表。</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