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56"/>
        </w:rPr>
        <w:t>XRP COMPLETE</w:t>
      </w:r>
    </w:p>
    <w:p>
      <w:pPr>
        <w:jc w:val="center"/>
      </w:pPr>
      <w:r>
        <w:rPr>
          <w:b/>
          <w:sz w:val="44"/>
        </w:rPr>
        <w:t>4-Month Monetization &amp; Brand Growth Plan</w:t>
      </w:r>
    </w:p>
    <w:p>
      <w:pPr>
        <w:jc w:val="center"/>
      </w:pPr>
      <w:r>
        <w:rPr>
          <w:sz w:val="24"/>
        </w:rPr>
        <w:t>xrpcomplete.com  +  xrpcompleteblog.com</w:t>
      </w:r>
    </w:p>
    <w:p>
      <w:pPr>
        <w:spacing w:before="360"/>
        <w:jc w:val="center"/>
      </w:pPr>
      <w:r>
        <w:rPr>
          <w:b/>
          <w:sz w:val="24"/>
        </w:rPr>
        <w:t>Objective: Build to at least $5,000/month in recurring and repeatable revenue within four months</w:t>
      </w:r>
    </w:p>
    <w:p>
      <w:pPr>
        <w:spacing w:before="2600"/>
        <w:jc w:val="center"/>
      </w:pPr>
      <w:r>
        <w:rPr>
          <w:b/>
        </w:rPr>
        <w:t>Entrepreneurial / Financial Strategy</w:t>
        <w:br/>
      </w:r>
      <w:r>
        <w:t>Prepared August 28, 2026</w:t>
        <w:br/>
      </w:r>
      <w:r>
        <w:t>Printer-friendly edition</w:t>
      </w:r>
    </w:p>
    <w:p>
      <w:r>
        <w:br w:type="page"/>
      </w:r>
    </w:p>
    <w:p>
      <w:pPr>
        <w:pStyle w:val="Heading1"/>
      </w:pPr>
      <w:r>
        <w:t>Executive Summary</w:t>
      </w:r>
    </w:p>
    <w:p>
      <w:r>
        <w:t>XRP Complete already has the hardest ingredient to manufacture: a differentiated information product. The primary site presents live XRP market intelligence, regulatory monitoring, institutional adoption tracking, technical metrics, a continuously updated news layer, and a Global Partnership Bridge containing 400+ XRP/Ripple/XRPL deal entries. The blog adds long-form analysis and current research. The commercial gap is not content; it is packaging, audience capture, conversion, and repeatable sales.</w:t>
      </w:r>
    </w:p>
    <w:p>
      <w:pPr>
        <w:pStyle w:val="Callout"/>
      </w:pPr>
      <w:r>
        <w:rPr>
          <w:b/>
        </w:rPr>
        <w:t xml:space="preserve">Recommended business model: </w:t>
      </w:r>
      <w:r>
        <w:t>keep a large free intelligence layer to attract search and social traffic, then monetize high-intent users through a three-tier ladder: Free → Pro → Professional/Institutional, supplemented by sponsorships, one-time research products, and selective B2B data licensing.</w:t>
      </w:r>
    </w:p>
    <w:p>
      <w:pPr>
        <w:pStyle w:val="Heading2"/>
      </w:pPr>
      <w:r>
        <w:t>Four-Month Target Case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trPr>
        <w:tc>
          <w:tcPr>
            <w:tcW w:type="dxa" w:w="3528"/>
            <w:tcMar>
              <w:top w:w="60" w:type="dxa"/>
              <w:start w:w="70" w:type="dxa"/>
              <w:bottom w:w="60" w:type="dxa"/>
              <w:end w:w="70" w:type="dxa"/>
            </w:tcMar>
            <w:vAlign w:val="center"/>
            <w:shd w:fill="E7E6E6"/>
          </w:tcPr>
          <w:p>
            <w:pPr>
              <w:spacing w:after="0" w:before="0" w:line="240" w:lineRule="auto"/>
            </w:pPr>
            <w:r>
              <w:rPr>
                <w:rFonts w:ascii="Aptos" w:hAnsi="Aptos"/>
                <w:b/>
                <w:sz w:val="16"/>
              </w:rPr>
              <w:t>Revenue Stream</w:t>
            </w:r>
          </w:p>
        </w:tc>
        <w:tc>
          <w:tcPr>
            <w:tcW w:type="dxa" w:w="1440"/>
            <w:tcMar>
              <w:top w:w="60" w:type="dxa"/>
              <w:start w:w="70" w:type="dxa"/>
              <w:bottom w:w="60" w:type="dxa"/>
              <w:end w:w="70" w:type="dxa"/>
            </w:tcMar>
            <w:vAlign w:val="center"/>
            <w:shd w:fill="E7E6E6"/>
          </w:tcPr>
          <w:p>
            <w:pPr>
              <w:spacing w:after="0" w:before="0" w:line="240" w:lineRule="auto"/>
            </w:pPr>
            <w:r>
              <w:rPr>
                <w:rFonts w:ascii="Aptos" w:hAnsi="Aptos"/>
                <w:b/>
                <w:sz w:val="16"/>
              </w:rPr>
              <w:t>Month 1</w:t>
            </w:r>
          </w:p>
        </w:tc>
        <w:tc>
          <w:tcPr>
            <w:tcW w:type="dxa" w:w="1440"/>
            <w:tcMar>
              <w:top w:w="60" w:type="dxa"/>
              <w:start w:w="70" w:type="dxa"/>
              <w:bottom w:w="60" w:type="dxa"/>
              <w:end w:w="70" w:type="dxa"/>
            </w:tcMar>
            <w:vAlign w:val="center"/>
            <w:shd w:fill="E7E6E6"/>
          </w:tcPr>
          <w:p>
            <w:pPr>
              <w:spacing w:after="0" w:before="0" w:line="240" w:lineRule="auto"/>
            </w:pPr>
            <w:r>
              <w:rPr>
                <w:rFonts w:ascii="Aptos" w:hAnsi="Aptos"/>
                <w:b/>
                <w:sz w:val="16"/>
              </w:rPr>
              <w:t>Month 2</w:t>
            </w:r>
          </w:p>
        </w:tc>
        <w:tc>
          <w:tcPr>
            <w:tcW w:type="dxa" w:w="1440"/>
            <w:tcMar>
              <w:top w:w="60" w:type="dxa"/>
              <w:start w:w="70" w:type="dxa"/>
              <w:bottom w:w="60" w:type="dxa"/>
              <w:end w:w="70" w:type="dxa"/>
            </w:tcMar>
            <w:vAlign w:val="center"/>
            <w:shd w:fill="E7E6E6"/>
          </w:tcPr>
          <w:p>
            <w:pPr>
              <w:spacing w:after="0" w:before="0" w:line="240" w:lineRule="auto"/>
            </w:pPr>
            <w:r>
              <w:rPr>
                <w:rFonts w:ascii="Aptos" w:hAnsi="Aptos"/>
                <w:b/>
                <w:sz w:val="16"/>
              </w:rPr>
              <w:t>Month 3</w:t>
            </w:r>
          </w:p>
        </w:tc>
        <w:tc>
          <w:tcPr>
            <w:tcW w:type="dxa" w:w="1440"/>
            <w:tcMar>
              <w:top w:w="60" w:type="dxa"/>
              <w:start w:w="70" w:type="dxa"/>
              <w:bottom w:w="60" w:type="dxa"/>
              <w:end w:w="70" w:type="dxa"/>
            </w:tcMar>
            <w:vAlign w:val="center"/>
            <w:shd w:fill="E7E6E6"/>
          </w:tcPr>
          <w:p>
            <w:pPr>
              <w:spacing w:after="0" w:before="0" w:line="240" w:lineRule="auto"/>
            </w:pPr>
            <w:r>
              <w:rPr>
                <w:rFonts w:ascii="Aptos" w:hAnsi="Aptos"/>
                <w:b/>
                <w:sz w:val="16"/>
              </w:rPr>
              <w:t>Month 4</w:t>
            </w:r>
          </w:p>
        </w:tc>
      </w:tr>
      <w:tr>
        <w:tc>
          <w:tcPr>
            <w:tcW w:type="dxa" w:w="3528"/>
            <w:tcMar>
              <w:top w:w="60" w:type="dxa"/>
              <w:start w:w="70" w:type="dxa"/>
              <w:bottom w:w="60" w:type="dxa"/>
              <w:end w:w="70" w:type="dxa"/>
            </w:tcMar>
            <w:vAlign w:val="center"/>
          </w:tcPr>
          <w:p>
            <w:pPr>
              <w:spacing w:after="0" w:before="0" w:line="240" w:lineRule="auto"/>
            </w:pPr>
            <w:r>
              <w:rPr>
                <w:rFonts w:ascii="Aptos" w:hAnsi="Aptos"/>
                <w:sz w:val="16"/>
              </w:rPr>
              <w:t>Pro memberships</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$285</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$665</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$1,560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$2,400</w:t>
            </w:r>
          </w:p>
        </w:tc>
      </w:tr>
      <w:tr>
        <w:tc>
          <w:tcPr>
            <w:tcW w:type="dxa" w:w="3528"/>
            <w:tcMar>
              <w:top w:w="60" w:type="dxa"/>
              <w:start w:w="70" w:type="dxa"/>
              <w:bottom w:w="60" w:type="dxa"/>
              <w:end w:w="70" w:type="dxa"/>
            </w:tcMar>
            <w:vAlign w:val="center"/>
          </w:tcPr>
          <w:p>
            <w:pPr>
              <w:spacing w:after="0" w:before="0" w:line="240" w:lineRule="auto"/>
            </w:pPr>
            <w:r>
              <w:rPr>
                <w:rFonts w:ascii="Aptos" w:hAnsi="Aptos"/>
                <w:sz w:val="16"/>
              </w:rPr>
              <w:t>Professional memberships</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$198</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$594</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$990</w:t>
            </w:r>
          </w:p>
        </w:tc>
      </w:tr>
      <w:tr>
        <w:tc>
          <w:tcPr>
            <w:tcW w:type="dxa" w:w="3528"/>
            <w:tcMar>
              <w:top w:w="60" w:type="dxa"/>
              <w:start w:w="70" w:type="dxa"/>
              <w:bottom w:w="60" w:type="dxa"/>
              <w:end w:w="70" w:type="dxa"/>
            </w:tcMar>
            <w:vAlign w:val="center"/>
          </w:tcPr>
          <w:p>
            <w:pPr>
              <w:spacing w:after="0" w:before="0" w:line="240" w:lineRule="auto"/>
            </w:pPr>
            <w:r>
              <w:rPr>
                <w:rFonts w:ascii="Aptos" w:hAnsi="Aptos"/>
                <w:sz w:val="16"/>
              </w:rPr>
              <w:t>Direct sponsorships</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$500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$750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$1,000</w:t>
            </w:r>
          </w:p>
        </w:tc>
      </w:tr>
      <w:tr>
        <w:tc>
          <w:tcPr>
            <w:tcW w:type="dxa" w:w="3528"/>
            <w:tcMar>
              <w:top w:w="60" w:type="dxa"/>
              <w:start w:w="70" w:type="dxa"/>
              <w:bottom w:w="60" w:type="dxa"/>
              <w:end w:w="70" w:type="dxa"/>
            </w:tcMar>
            <w:vAlign w:val="center"/>
          </w:tcPr>
          <w:p>
            <w:pPr>
              <w:spacing w:after="0" w:before="0" w:line="240" w:lineRule="auto"/>
            </w:pPr>
            <w:r>
              <w:rPr>
                <w:rFonts w:ascii="Aptos" w:hAnsi="Aptos"/>
                <w:sz w:val="16"/>
              </w:rPr>
              <w:t>Paid reports / data packs</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$200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$400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$600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$750</w:t>
            </w:r>
          </w:p>
        </w:tc>
      </w:tr>
      <w:tr>
        <w:tc>
          <w:tcPr>
            <w:tcW w:type="dxa" w:w="3528"/>
            <w:tcMar>
              <w:top w:w="60" w:type="dxa"/>
              <w:start w:w="70" w:type="dxa"/>
              <w:bottom w:w="60" w:type="dxa"/>
              <w:end w:w="70" w:type="dxa"/>
            </w:tcMar>
            <w:vAlign w:val="center"/>
          </w:tcPr>
          <w:p>
            <w:pPr>
              <w:spacing w:after="0" w:before="0" w:line="240" w:lineRule="auto"/>
            </w:pPr>
            <w:r>
              <w:rPr>
                <w:rFonts w:ascii="Aptos" w:hAnsi="Aptos"/>
                <w:sz w:val="16"/>
              </w:rPr>
              <w:t>Webinars / briefings</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$250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$400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$500</w:t>
            </w:r>
          </w:p>
        </w:tc>
      </w:tr>
      <w:tr>
        <w:tc>
          <w:tcPr>
            <w:tcW w:type="dxa" w:w="3528"/>
            <w:tcMar>
              <w:top w:w="60" w:type="dxa"/>
              <w:start w:w="70" w:type="dxa"/>
              <w:bottom w:w="60" w:type="dxa"/>
              <w:end w:w="70" w:type="dxa"/>
            </w:tcMar>
            <w:vAlign w:val="center"/>
          </w:tcPr>
          <w:p>
            <w:pPr>
              <w:spacing w:after="0" w:before="0" w:line="240" w:lineRule="auto"/>
            </w:pPr>
            <w:r>
              <w:rPr>
                <w:rFonts w:ascii="Aptos" w:hAnsi="Aptos"/>
                <w:sz w:val="16"/>
              </w:rPr>
              <w:t>Affiliate / referral revenue</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$75</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$150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$250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$350</w:t>
            </w:r>
          </w:p>
        </w:tc>
      </w:tr>
      <w:tr>
        <w:tc>
          <w:tcPr>
            <w:tcW w:type="dxa" w:w="3528"/>
            <w:tcMar>
              <w:top w:w="60" w:type="dxa"/>
              <w:start w:w="70" w:type="dxa"/>
              <w:bottom w:w="60" w:type="dxa"/>
              <w:end w:w="70" w:type="dxa"/>
            </w:tcMar>
            <w:vAlign w:val="center"/>
          </w:tcPr>
          <w:p>
            <w:pPr>
              <w:spacing w:after="0" w:before="0" w:line="240" w:lineRule="auto"/>
            </w:pPr>
            <w:r>
              <w:rPr>
                <w:rFonts w:ascii="Aptos" w:hAnsi="Aptos"/>
                <w:sz w:val="16"/>
              </w:rPr>
              <w:t>B2B data licensing</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$500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$750</w:t>
            </w:r>
          </w:p>
        </w:tc>
      </w:tr>
      <w:tr>
        <w:tc>
          <w:tcPr>
            <w:tcW w:type="dxa" w:w="3528"/>
            <w:tcMar>
              <w:top w:w="60" w:type="dxa"/>
              <w:start w:w="70" w:type="dxa"/>
              <w:bottom w:w="60" w:type="dxa"/>
              <w:end w:w="70" w:type="dxa"/>
            </w:tcMar>
            <w:vAlign w:val="center"/>
          </w:tcPr>
          <w:p>
            <w:pPr>
              <w:spacing w:after="0" w:before="0" w:line="240" w:lineRule="auto"/>
            </w:pPr>
            <w:r>
              <w:rPr>
                <w:rFonts w:ascii="Aptos" w:hAnsi="Aptos"/>
                <w:sz w:val="16"/>
              </w:rPr>
              <w:t>Sponsored research/content</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$350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$500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$500</w:t>
            </w:r>
          </w:p>
        </w:tc>
      </w:tr>
      <w:tr>
        <w:tc>
          <w:tcPr>
            <w:tcW w:type="dxa" w:w="3528"/>
            <w:tcMar>
              <w:top w:w="60" w:type="dxa"/>
              <w:start w:w="70" w:type="dxa"/>
              <w:bottom w:w="60" w:type="dxa"/>
              <w:end w:w="70" w:type="dxa"/>
            </w:tcMar>
            <w:vAlign w:val="center"/>
          </w:tcPr>
          <w:p>
            <w:pPr>
              <w:spacing w:after="0" w:before="0" w:line="240" w:lineRule="auto"/>
            </w:pPr>
            <w:r>
              <w:rPr>
                <w:rFonts w:ascii="Aptos" w:hAnsi="Aptos"/>
                <w:sz w:val="16"/>
              </w:rPr>
              <w:t>Directory / job listings</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$100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$200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$250</w:t>
            </w:r>
          </w:p>
        </w:tc>
      </w:tr>
      <w:tr>
        <w:tc>
          <w:tcPr>
            <w:tcW w:type="dxa" w:w="3528"/>
            <w:tcMar>
              <w:top w:w="60" w:type="dxa"/>
              <w:start w:w="70" w:type="dxa"/>
              <w:bottom w:w="60" w:type="dxa"/>
              <w:end w:w="70" w:type="dxa"/>
            </w:tcMar>
            <w:vAlign w:val="center"/>
          </w:tcPr>
          <w:p>
            <w:pPr>
              <w:spacing w:after="0" w:before="0" w:line="240" w:lineRule="auto"/>
            </w:pPr>
            <w:r>
              <w:rPr>
                <w:rFonts w:ascii="Aptos" w:hAnsi="Aptos"/>
                <w:sz w:val="16"/>
              </w:rPr>
              <w:t>Merchandise / print products</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$50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$100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$150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$200</w:t>
            </w:r>
          </w:p>
        </w:tc>
      </w:tr>
      <w:tr>
        <w:tc>
          <w:tcPr>
            <w:tcW w:type="dxa" w:w="3528"/>
            <w:tcMar>
              <w:top w:w="60" w:type="dxa"/>
              <w:start w:w="70" w:type="dxa"/>
              <w:bottom w:w="60" w:type="dxa"/>
              <w:end w:w="70" w:type="dxa"/>
            </w:tcMar>
            <w:vAlign w:val="center"/>
          </w:tcPr>
          <w:p>
            <w:pPr>
              <w:spacing w:after="0" w:before="0" w:line="240" w:lineRule="auto"/>
            </w:pPr>
            <w:r>
              <w:rPr>
                <w:rFonts w:ascii="Aptos" w:hAnsi="Aptos"/>
                <w:sz w:val="16"/>
              </w:rPr>
              <w:t>TOTAL</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$610</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$2,713</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$5,504</w:t>
            </w:r>
          </w:p>
        </w:tc>
        <w:tc>
          <w:tcPr>
            <w:tcW w:type="dxa" w:w="1440"/>
            <w:tcMar>
              <w:top w:w="60" w:type="dxa"/>
              <w:start w:w="70" w:type="dxa"/>
              <w:bottom w:w="60" w:type="dxa"/>
              <w:end w:w="70" w:type="dxa"/>
            </w:tcMar>
            <w:vAlign w:val="center"/>
          </w:tcPr>
          <w:p>
            <w:pPr>
              <w:spacing w:after="0" w:before="0" w:line="240" w:lineRule="auto"/>
            </w:pPr>
            <w:r>
              <w:rPr>
                <w:rFonts w:ascii="Aptos" w:hAnsi="Aptos"/>
                <w:sz w:val="16"/>
              </w:rPr>
              <w:t>$7,690</w:t>
            </w:r>
          </w:p>
        </w:tc>
      </w:tr>
    </w:tbl>
    <w:p>
      <w:r>
        <w:t>This is a target-case operating forecast, not a guarantee. It assumes consistent weekly publishing, a functioning email funnel, disciplined outreach, and enough qualified traffic to convert approximately 110–120 paying readers by Month 4. The plan deliberately reaches the $5,000 threshold in Month 3 in the modeled case to leave room for execution slippage.</w:t>
      </w:r>
    </w:p>
    <w:p>
      <w:pPr>
        <w:pStyle w:val="Heading2"/>
      </w:pPr>
      <w:r>
        <w:t>What I Would Prioritize</w:t>
      </w:r>
    </w:p>
    <w:p>
      <w:pPr>
        <w:pStyle w:val="ListBullet"/>
        <w:spacing w:after="40"/>
      </w:pPr>
      <w:r>
        <w:t>First: install email capture and launch a paid Pro tier. This is the core recurring-revenue engine and the highest-value use of the existing intelligence assets.</w:t>
      </w:r>
    </w:p>
    <w:p>
      <w:pPr>
        <w:pStyle w:val="ListBullet"/>
        <w:spacing w:after="40"/>
      </w:pPr>
      <w:r>
        <w:t>Second: sell direct sponsorship packages. XRP/crypto is a valuable specialized advertiser audience, and direct sponsorships can monetize before the site reaches mass scale.</w:t>
      </w:r>
    </w:p>
    <w:p>
      <w:pPr>
        <w:pStyle w:val="ListBullet"/>
        <w:spacing w:after="40"/>
      </w:pPr>
      <w:r>
        <w:t>Third: productize the Global Partnership Bridge and regulatory/institutional datasets as premium downloadable reports and eventually B2B licenses.</w:t>
      </w:r>
    </w:p>
    <w:p>
      <w:pPr>
        <w:pStyle w:val="ListBullet"/>
        <w:spacing w:after="40"/>
      </w:pPr>
      <w:r>
        <w:t>Fourth: use the blog and Instagram/social content primarily as acquisition channels that push readers into the email list and membership funnel—not as isolated publishing destinations.</w:t>
      </w:r>
    </w:p>
    <w:p>
      <w:pPr>
        <w:pStyle w:val="ListBullet"/>
        <w:spacing w:after="40"/>
      </w:pPr>
      <w:r>
        <w:t>Fifth: delay low-margin merchandise until the higher-margin digital products are functioning.</w:t>
      </w:r>
    </w:p>
    <w:p>
      <w:pPr>
        <w:pStyle w:val="Heading1"/>
      </w:pPr>
      <w:r>
        <w:t>Current Commercial Assessment of the Two Sites</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1728"/>
            <w:tcMar>
              <w:top w:w="60" w:type="dxa"/>
              <w:start w:w="70" w:type="dxa"/>
              <w:bottom w:w="60" w:type="dxa"/>
              <w:end w:w="70" w:type="dxa"/>
            </w:tcMar>
            <w:vAlign w:val="center"/>
            <w:shd w:fill="E7E6E6"/>
          </w:tcPr>
          <w:p>
            <w:pPr>
              <w:spacing w:after="0" w:before="0" w:line="240" w:lineRule="auto"/>
            </w:pPr>
            <w:r>
              <w:rPr>
                <w:rFonts w:ascii="Aptos" w:hAnsi="Aptos"/>
                <w:b/>
                <w:sz w:val="16"/>
              </w:rPr>
              <w:t>Asset</w:t>
            </w:r>
          </w:p>
        </w:tc>
        <w:tc>
          <w:tcPr>
            <w:tcW w:type="dxa" w:w="3312"/>
            <w:tcMar>
              <w:top w:w="60" w:type="dxa"/>
              <w:start w:w="70" w:type="dxa"/>
              <w:bottom w:w="60" w:type="dxa"/>
              <w:end w:w="70" w:type="dxa"/>
            </w:tcMar>
            <w:vAlign w:val="center"/>
            <w:shd w:fill="E7E6E6"/>
          </w:tcPr>
          <w:p>
            <w:pPr>
              <w:spacing w:after="0" w:before="0" w:line="240" w:lineRule="auto"/>
            </w:pPr>
            <w:r>
              <w:rPr>
                <w:rFonts w:ascii="Aptos" w:hAnsi="Aptos"/>
                <w:b/>
                <w:sz w:val="16"/>
              </w:rPr>
              <w:t>Current Strength</w:t>
            </w:r>
          </w:p>
        </w:tc>
        <w:tc>
          <w:tcPr>
            <w:tcW w:type="dxa" w:w="3456"/>
            <w:tcMar>
              <w:top w:w="60" w:type="dxa"/>
              <w:start w:w="70" w:type="dxa"/>
              <w:bottom w:w="60" w:type="dxa"/>
              <w:end w:w="70" w:type="dxa"/>
            </w:tcMar>
            <w:vAlign w:val="center"/>
            <w:shd w:fill="E7E6E6"/>
          </w:tcPr>
          <w:p>
            <w:pPr>
              <w:spacing w:after="0" w:before="0" w:line="240" w:lineRule="auto"/>
            </w:pPr>
            <w:r>
              <w:rPr>
                <w:rFonts w:ascii="Aptos" w:hAnsi="Aptos"/>
                <w:b/>
                <w:sz w:val="16"/>
              </w:rPr>
              <w:t>Commercial Opportunity</w:t>
            </w:r>
          </w:p>
        </w:tc>
        <w:tc>
          <w:tcPr>
            <w:tcW w:type="dxa" w:w="2736"/>
            <w:tcMar>
              <w:top w:w="60" w:type="dxa"/>
              <w:start w:w="70" w:type="dxa"/>
              <w:bottom w:w="60" w:type="dxa"/>
              <w:end w:w="70" w:type="dxa"/>
            </w:tcMar>
            <w:vAlign w:val="center"/>
            <w:shd w:fill="E7E6E6"/>
          </w:tcPr>
          <w:p>
            <w:pPr>
              <w:spacing w:after="0" w:before="0" w:line="240" w:lineRule="auto"/>
            </w:pPr>
            <w:r>
              <w:rPr>
                <w:rFonts w:ascii="Aptos" w:hAnsi="Aptos"/>
                <w:b/>
                <w:sz w:val="16"/>
              </w:rPr>
              <w:t>Immediate Gap</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xrpcomplete.com</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Real-time intelligence, market metrics, regulatory and institutional tracking, news aggregation, 400+ partnership/deal repository</w:t>
            </w:r>
          </w:p>
        </w:tc>
        <w:tc>
          <w:tcPr>
            <w:tcW w:type="dxa" w:w="3456"/>
            <w:tcMar>
              <w:top w:w="60" w:type="dxa"/>
              <w:start w:w="70" w:type="dxa"/>
              <w:bottom w:w="60" w:type="dxa"/>
              <w:end w:w="70" w:type="dxa"/>
            </w:tcMar>
            <w:vAlign w:val="center"/>
          </w:tcPr>
          <w:p>
            <w:pPr>
              <w:spacing w:after="0" w:before="0" w:line="240" w:lineRule="auto"/>
            </w:pPr>
            <w:r>
              <w:rPr>
                <w:rFonts w:ascii="Aptos" w:hAnsi="Aptos"/>
                <w:sz w:val="16"/>
              </w:rPr>
              <w:t>Strong basis for paid intelligence, sponsor inventory, premium alerts, data products and licensing</w:t>
            </w:r>
          </w:p>
        </w:tc>
        <w:tc>
          <w:tcPr>
            <w:tcW w:type="dxa" w:w="2736"/>
            <w:tcMar>
              <w:top w:w="60" w:type="dxa"/>
              <w:start w:w="70" w:type="dxa"/>
              <w:bottom w:w="60" w:type="dxa"/>
              <w:end w:w="70" w:type="dxa"/>
            </w:tcMar>
            <w:vAlign w:val="center"/>
          </w:tcPr>
          <w:p>
            <w:pPr>
              <w:spacing w:after="0" w:before="0" w:line="240" w:lineRule="auto"/>
            </w:pPr>
            <w:r>
              <w:rPr>
                <w:rFonts w:ascii="Aptos" w:hAnsi="Aptos"/>
                <w:sz w:val="16"/>
              </w:rPr>
              <w:t>No obvious subscription, email capture, sponsor or advertise CTA surfaced in the crawled page</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xrpcompleteblog.com</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Long-form XRP analysis and current editorial research</w:t>
            </w:r>
          </w:p>
        </w:tc>
        <w:tc>
          <w:tcPr>
            <w:tcW w:type="dxa" w:w="3456"/>
            <w:tcMar>
              <w:top w:w="60" w:type="dxa"/>
              <w:start w:w="70" w:type="dxa"/>
              <w:bottom w:w="60" w:type="dxa"/>
              <w:end w:w="70" w:type="dxa"/>
            </w:tcMar>
            <w:vAlign w:val="center"/>
          </w:tcPr>
          <w:p>
            <w:pPr>
              <w:spacing w:after="0" w:before="0" w:line="240" w:lineRule="auto"/>
            </w:pPr>
            <w:r>
              <w:rPr>
                <w:rFonts w:ascii="Aptos" w:hAnsi="Aptos"/>
                <w:sz w:val="16"/>
              </w:rPr>
              <w:t>SEO acquisition, premium reports, sponsored research, newsletter conversion, authority building</w:t>
            </w:r>
          </w:p>
        </w:tc>
        <w:tc>
          <w:tcPr>
            <w:tcW w:type="dxa" w:w="2736"/>
            <w:tcMar>
              <w:top w:w="60" w:type="dxa"/>
              <w:start w:w="70" w:type="dxa"/>
              <w:bottom w:w="60" w:type="dxa"/>
              <w:end w:w="70" w:type="dxa"/>
            </w:tcMar>
            <w:vAlign w:val="center"/>
          </w:tcPr>
          <w:p>
            <w:pPr>
              <w:spacing w:after="0" w:before="0" w:line="240" w:lineRule="auto"/>
            </w:pPr>
            <w:r>
              <w:rPr>
                <w:rFonts w:ascii="Aptos" w:hAnsi="Aptos"/>
                <w:sz w:val="16"/>
              </w:rPr>
              <w:t>No obvious subscribe/membership/email CTA surfaced in the crawled homepage</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Brand</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Clear niche and repeatable 'intelligence standard' positioning</w:t>
            </w:r>
          </w:p>
        </w:tc>
        <w:tc>
          <w:tcPr>
            <w:tcW w:type="dxa" w:w="3456"/>
            <w:tcMar>
              <w:top w:w="60" w:type="dxa"/>
              <w:start w:w="70" w:type="dxa"/>
              <w:bottom w:w="60" w:type="dxa"/>
              <w:end w:w="70" w:type="dxa"/>
            </w:tcMar>
            <w:vAlign w:val="center"/>
          </w:tcPr>
          <w:p>
            <w:pPr>
              <w:spacing w:after="0" w:before="0" w:line="240" w:lineRule="auto"/>
            </w:pPr>
            <w:r>
              <w:rPr>
                <w:rFonts w:ascii="Aptos" w:hAnsi="Aptos"/>
                <w:sz w:val="16"/>
              </w:rPr>
              <w:t>Can occupy space between hobbyist XRP media and expensive institutional research</w:t>
            </w:r>
          </w:p>
        </w:tc>
        <w:tc>
          <w:tcPr>
            <w:tcW w:type="dxa" w:w="2736"/>
            <w:tcMar>
              <w:top w:w="60" w:type="dxa"/>
              <w:start w:w="70" w:type="dxa"/>
              <w:bottom w:w="60" w:type="dxa"/>
              <w:end w:w="70" w:type="dxa"/>
            </w:tcMar>
            <w:vAlign w:val="center"/>
          </w:tcPr>
          <w:p>
            <w:pPr>
              <w:spacing w:after="0" w:before="0" w:line="240" w:lineRule="auto"/>
            </w:pPr>
            <w:r>
              <w:rPr>
                <w:rFonts w:ascii="Aptos" w:hAnsi="Aptos"/>
                <w:sz w:val="16"/>
              </w:rPr>
              <w:t>Needs a defined commercial promise, product ladder, proof metrics and rate card</w:t>
            </w:r>
          </w:p>
        </w:tc>
      </w:tr>
    </w:tbl>
    <w:p>
      <w:pPr>
        <w:pStyle w:val="Heading1"/>
      </w:pPr>
      <w:r>
        <w:t>Pricing Architecture</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1728"/>
            <w:tcMar>
              <w:top w:w="60" w:type="dxa"/>
              <w:start w:w="70" w:type="dxa"/>
              <w:bottom w:w="60" w:type="dxa"/>
              <w:end w:w="70" w:type="dxa"/>
            </w:tcMar>
            <w:vAlign w:val="center"/>
            <w:shd w:fill="E7E6E6"/>
          </w:tcPr>
          <w:p>
            <w:pPr>
              <w:spacing w:after="0" w:before="0" w:line="240" w:lineRule="auto"/>
            </w:pPr>
            <w:r>
              <w:rPr>
                <w:rFonts w:ascii="Aptos" w:hAnsi="Aptos"/>
                <w:b/>
                <w:sz w:val="16"/>
              </w:rPr>
              <w:t>Tier</w:t>
            </w:r>
          </w:p>
        </w:tc>
        <w:tc>
          <w:tcPr>
            <w:tcW w:type="dxa" w:w="1800"/>
            <w:tcMar>
              <w:top w:w="60" w:type="dxa"/>
              <w:start w:w="70" w:type="dxa"/>
              <w:bottom w:w="60" w:type="dxa"/>
              <w:end w:w="70" w:type="dxa"/>
            </w:tcMar>
            <w:vAlign w:val="center"/>
            <w:shd w:fill="E7E6E6"/>
          </w:tcPr>
          <w:p>
            <w:pPr>
              <w:spacing w:after="0" w:before="0" w:line="240" w:lineRule="auto"/>
            </w:pPr>
            <w:r>
              <w:rPr>
                <w:rFonts w:ascii="Aptos" w:hAnsi="Aptos"/>
                <w:b/>
                <w:sz w:val="16"/>
              </w:rPr>
              <w:t>Price</w:t>
            </w:r>
          </w:p>
        </w:tc>
        <w:tc>
          <w:tcPr>
            <w:tcW w:type="dxa" w:w="2592"/>
            <w:tcMar>
              <w:top w:w="60" w:type="dxa"/>
              <w:start w:w="70" w:type="dxa"/>
              <w:bottom w:w="60" w:type="dxa"/>
              <w:end w:w="70" w:type="dxa"/>
            </w:tcMar>
            <w:vAlign w:val="center"/>
            <w:shd w:fill="E7E6E6"/>
          </w:tcPr>
          <w:p>
            <w:pPr>
              <w:spacing w:after="0" w:before="0" w:line="240" w:lineRule="auto"/>
            </w:pPr>
            <w:r>
              <w:rPr>
                <w:rFonts w:ascii="Aptos" w:hAnsi="Aptos"/>
                <w:b/>
                <w:sz w:val="16"/>
              </w:rPr>
              <w:t>Purpose</w:t>
            </w:r>
          </w:p>
        </w:tc>
        <w:tc>
          <w:tcPr>
            <w:tcW w:type="dxa" w:w="5112"/>
            <w:tcMar>
              <w:top w:w="60" w:type="dxa"/>
              <w:start w:w="70" w:type="dxa"/>
              <w:bottom w:w="60" w:type="dxa"/>
              <w:end w:w="70" w:type="dxa"/>
            </w:tcMar>
            <w:vAlign w:val="center"/>
            <w:shd w:fill="E7E6E6"/>
          </w:tcPr>
          <w:p>
            <w:pPr>
              <w:spacing w:after="0" w:before="0" w:line="240" w:lineRule="auto"/>
            </w:pPr>
            <w:r>
              <w:rPr>
                <w:rFonts w:ascii="Aptos" w:hAnsi="Aptos"/>
                <w:b/>
                <w:sz w:val="16"/>
              </w:rPr>
              <w:t>Suggested Features</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Free</w:t>
            </w:r>
          </w:p>
        </w:tc>
        <w:tc>
          <w:tcPr>
            <w:tcW w:type="dxa" w:w="1800"/>
            <w:tcMar>
              <w:top w:w="60" w:type="dxa"/>
              <w:start w:w="70" w:type="dxa"/>
              <w:bottom w:w="60" w:type="dxa"/>
              <w:end w:w="70" w:type="dxa"/>
            </w:tcMar>
            <w:vAlign w:val="center"/>
          </w:tcPr>
          <w:p>
            <w:pPr>
              <w:spacing w:after="0" w:before="0" w:line="240" w:lineRule="auto"/>
            </w:pPr>
            <w:r>
              <w:rPr>
                <w:rFonts w:ascii="Aptos" w:hAnsi="Aptos"/>
                <w:sz w:val="16"/>
              </w:rPr>
              <w:t>$0</w:t>
            </w:r>
          </w:p>
        </w:tc>
        <w:tc>
          <w:tcPr>
            <w:tcW w:type="dxa" w:w="2592"/>
            <w:tcMar>
              <w:top w:w="60" w:type="dxa"/>
              <w:start w:w="70" w:type="dxa"/>
              <w:bottom w:w="60" w:type="dxa"/>
              <w:end w:w="70" w:type="dxa"/>
            </w:tcMar>
            <w:vAlign w:val="center"/>
          </w:tcPr>
          <w:p>
            <w:pPr>
              <w:spacing w:after="0" w:before="0" w:line="240" w:lineRule="auto"/>
            </w:pPr>
            <w:r>
              <w:rPr>
                <w:rFonts w:ascii="Aptos" w:hAnsi="Aptos"/>
                <w:sz w:val="16"/>
              </w:rPr>
              <w:t>Audience growth</w:t>
            </w:r>
          </w:p>
        </w:tc>
        <w:tc>
          <w:tcPr>
            <w:tcW w:type="dxa" w:w="5112"/>
            <w:tcMar>
              <w:top w:w="60" w:type="dxa"/>
              <w:start w:w="70" w:type="dxa"/>
              <w:bottom w:w="60" w:type="dxa"/>
              <w:end w:w="70" w:type="dxa"/>
            </w:tcMar>
            <w:vAlign w:val="center"/>
          </w:tcPr>
          <w:p>
            <w:pPr>
              <w:spacing w:after="0" w:before="0" w:line="240" w:lineRule="auto"/>
            </w:pPr>
            <w:r>
              <w:rPr>
                <w:rFonts w:ascii="Aptos" w:hAnsi="Aptos"/>
                <w:sz w:val="16"/>
              </w:rPr>
              <w:t>Selected live dashboards; delayed/limited feeds; blog; weekly digest; 7-day archive</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Pro</w:t>
            </w:r>
          </w:p>
        </w:tc>
        <w:tc>
          <w:tcPr>
            <w:tcW w:type="dxa" w:w="1800"/>
            <w:tcMar>
              <w:top w:w="60" w:type="dxa"/>
              <w:start w:w="70" w:type="dxa"/>
              <w:bottom w:w="60" w:type="dxa"/>
              <w:end w:w="70" w:type="dxa"/>
            </w:tcMar>
            <w:vAlign w:val="center"/>
          </w:tcPr>
          <w:p>
            <w:pPr>
              <w:spacing w:after="0" w:before="0" w:line="240" w:lineRule="auto"/>
            </w:pPr>
            <w:r>
              <w:rPr>
                <w:rFonts w:ascii="Aptos" w:hAnsi="Aptos"/>
                <w:sz w:val="16"/>
              </w:rPr>
              <w:t>$24/mo or $240/yr</w:t>
            </w:r>
          </w:p>
        </w:tc>
        <w:tc>
          <w:tcPr>
            <w:tcW w:type="dxa" w:w="2592"/>
            <w:tcMar>
              <w:top w:w="60" w:type="dxa"/>
              <w:start w:w="70" w:type="dxa"/>
              <w:bottom w:w="60" w:type="dxa"/>
              <w:end w:w="70" w:type="dxa"/>
            </w:tcMar>
            <w:vAlign w:val="center"/>
          </w:tcPr>
          <w:p>
            <w:pPr>
              <w:spacing w:after="0" w:before="0" w:line="240" w:lineRule="auto"/>
            </w:pPr>
            <w:r>
              <w:rPr>
                <w:rFonts w:ascii="Aptos" w:hAnsi="Aptos"/>
                <w:sz w:val="16"/>
              </w:rPr>
              <w:t>Core consumer recurring revenue</w:t>
            </w:r>
          </w:p>
        </w:tc>
        <w:tc>
          <w:tcPr>
            <w:tcW w:type="dxa" w:w="5112"/>
            <w:tcMar>
              <w:top w:w="60" w:type="dxa"/>
              <w:start w:w="70" w:type="dxa"/>
              <w:bottom w:w="60" w:type="dxa"/>
              <w:end w:w="70" w:type="dxa"/>
            </w:tcMar>
            <w:vAlign w:val="center"/>
          </w:tcPr>
          <w:p>
            <w:pPr>
              <w:spacing w:after="0" w:before="0" w:line="240" w:lineRule="auto"/>
            </w:pPr>
            <w:r>
              <w:rPr>
                <w:rFonts w:ascii="Aptos" w:hAnsi="Aptos"/>
                <w:sz w:val="16"/>
              </w:rPr>
              <w:t>Full daily brief; complete archive; Bridge database; premium reports; watchlists/alerts; members-only weekly briefing</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Professional</w:t>
            </w:r>
          </w:p>
        </w:tc>
        <w:tc>
          <w:tcPr>
            <w:tcW w:type="dxa" w:w="1800"/>
            <w:tcMar>
              <w:top w:w="60" w:type="dxa"/>
              <w:start w:w="70" w:type="dxa"/>
              <w:bottom w:w="60" w:type="dxa"/>
              <w:end w:w="70" w:type="dxa"/>
            </w:tcMar>
            <w:vAlign w:val="center"/>
          </w:tcPr>
          <w:p>
            <w:pPr>
              <w:spacing w:after="0" w:before="0" w:line="240" w:lineRule="auto"/>
            </w:pPr>
            <w:r>
              <w:rPr>
                <w:rFonts w:ascii="Aptos" w:hAnsi="Aptos"/>
                <w:sz w:val="16"/>
              </w:rPr>
              <w:t>$99/mo or $990/yr</w:t>
            </w:r>
          </w:p>
        </w:tc>
        <w:tc>
          <w:tcPr>
            <w:tcW w:type="dxa" w:w="2592"/>
            <w:tcMar>
              <w:top w:w="60" w:type="dxa"/>
              <w:start w:w="70" w:type="dxa"/>
              <w:bottom w:w="60" w:type="dxa"/>
              <w:end w:w="70" w:type="dxa"/>
            </w:tcMar>
            <w:vAlign w:val="center"/>
          </w:tcPr>
          <w:p>
            <w:pPr>
              <w:spacing w:after="0" w:before="0" w:line="240" w:lineRule="auto"/>
            </w:pPr>
            <w:r>
              <w:rPr>
                <w:rFonts w:ascii="Aptos" w:hAnsi="Aptos"/>
                <w:sz w:val="16"/>
              </w:rPr>
              <w:t>High-intent researchers / businesses</w:t>
            </w:r>
          </w:p>
        </w:tc>
        <w:tc>
          <w:tcPr>
            <w:tcW w:type="dxa" w:w="5112"/>
            <w:tcMar>
              <w:top w:w="60" w:type="dxa"/>
              <w:start w:w="70" w:type="dxa"/>
              <w:bottom w:w="60" w:type="dxa"/>
              <w:end w:w="70" w:type="dxa"/>
            </w:tcMar>
            <w:vAlign w:val="center"/>
          </w:tcPr>
          <w:p>
            <w:pPr>
              <w:spacing w:after="0" w:before="0" w:line="240" w:lineRule="auto"/>
            </w:pPr>
            <w:r>
              <w:rPr>
                <w:rFonts w:ascii="Aptos" w:hAnsi="Aptos"/>
                <w:sz w:val="16"/>
              </w:rPr>
              <w:t>Everything in Pro; CSV/Excel exports; monthly institutional dossier; priority alerts; data downloads; commercial-use permission for internal research</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Enterprise/Data</w:t>
            </w:r>
          </w:p>
        </w:tc>
        <w:tc>
          <w:tcPr>
            <w:tcW w:type="dxa" w:w="1800"/>
            <w:tcMar>
              <w:top w:w="60" w:type="dxa"/>
              <w:start w:w="70" w:type="dxa"/>
              <w:bottom w:w="60" w:type="dxa"/>
              <w:end w:w="70" w:type="dxa"/>
            </w:tcMar>
            <w:vAlign w:val="center"/>
          </w:tcPr>
          <w:p>
            <w:pPr>
              <w:spacing w:after="0" w:before="0" w:line="240" w:lineRule="auto"/>
            </w:pPr>
            <w:r>
              <w:rPr>
                <w:rFonts w:ascii="Aptos" w:hAnsi="Aptos"/>
                <w:sz w:val="16"/>
              </w:rPr>
              <w:t>$500–$1,500+/mo</w:t>
            </w:r>
          </w:p>
        </w:tc>
        <w:tc>
          <w:tcPr>
            <w:tcW w:type="dxa" w:w="2592"/>
            <w:tcMar>
              <w:top w:w="60" w:type="dxa"/>
              <w:start w:w="70" w:type="dxa"/>
              <w:bottom w:w="60" w:type="dxa"/>
              <w:end w:w="70" w:type="dxa"/>
            </w:tcMar>
            <w:vAlign w:val="center"/>
          </w:tcPr>
          <w:p>
            <w:pPr>
              <w:spacing w:after="0" w:before="0" w:line="240" w:lineRule="auto"/>
            </w:pPr>
            <w:r>
              <w:rPr>
                <w:rFonts w:ascii="Aptos" w:hAnsi="Aptos"/>
                <w:sz w:val="16"/>
              </w:rPr>
              <w:t>B2B licensing</w:t>
            </w:r>
          </w:p>
        </w:tc>
        <w:tc>
          <w:tcPr>
            <w:tcW w:type="dxa" w:w="5112"/>
            <w:tcMar>
              <w:top w:w="60" w:type="dxa"/>
              <w:start w:w="70" w:type="dxa"/>
              <w:bottom w:w="60" w:type="dxa"/>
              <w:end w:w="70" w:type="dxa"/>
            </w:tcMar>
            <w:vAlign w:val="center"/>
          </w:tcPr>
          <w:p>
            <w:pPr>
              <w:spacing w:after="0" w:before="0" w:line="240" w:lineRule="auto"/>
            </w:pPr>
            <w:r>
              <w:rPr>
                <w:rFonts w:ascii="Aptos" w:hAnsi="Aptos"/>
                <w:sz w:val="16"/>
              </w:rPr>
              <w:t>Data feed/export, custom monitoring, team access, attribution/license agreement, monthly analyst call if desired</w:t>
            </w:r>
          </w:p>
        </w:tc>
      </w:tr>
    </w:tbl>
    <w:p>
      <w:r>
        <w:t>Competitive reference point: XRP Report currently advertises a $29/month or $290/year Pro plan, while another XRP analytics site advertises a $6/month premium tier. That supports positioning XRP Complete around $24–$29/month if its differentiated value is the breadth of live intelligence plus the Partnership Bridge rather than basic price tracking.</w:t>
      </w:r>
    </w:p>
    <w:p>
      <w:pPr>
        <w:pStyle w:val="Heading1"/>
      </w:pPr>
      <w:r>
        <w:t>The 10 Monetization Plans</w:t>
      </w:r>
    </w:p>
    <w:p>
      <w:pPr>
        <w:pStyle w:val="Heading2"/>
      </w:pPr>
      <w:r>
        <w:t>1. XRP Complete Pro Membership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tcMar>
              <w:top w:w="60" w:type="dxa"/>
              <w:start w:w="70" w:type="dxa"/>
              <w:bottom w:w="60" w:type="dxa"/>
              <w:end w:w="70" w:type="dxa"/>
            </w:tcMar>
            <w:vAlign w:val="center"/>
          </w:tcPr>
          <w:p>
            <w:pPr>
              <w:spacing w:after="0" w:before="0" w:line="240" w:lineRule="auto"/>
            </w:pPr>
            <w:r>
              <w:rPr>
                <w:rFonts w:ascii="Aptos" w:hAnsi="Aptos"/>
                <w:sz w:val="16"/>
              </w:rPr>
              <w:t>Priority</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Highest</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Launch Time</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7–14 days</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Revenue Model</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Recurring subscription</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Estimated Cost</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$100–$500 setup; roughly 3–8% payment processing/software plus platform costs depending on stack</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Month-4 Target</w:t>
            </w:r>
          </w:p>
        </w:tc>
        <w:tc>
          <w:tcPr>
            <w:tcW w:type="dxa" w:w="1728"/>
            <w:gridSpan w:val="2"/>
            <w:tcMar>
              <w:top w:w="60" w:type="dxa"/>
              <w:start w:w="70" w:type="dxa"/>
              <w:bottom w:w="60" w:type="dxa"/>
              <w:end w:w="70" w:type="dxa"/>
            </w:tcMar>
            <w:vAlign w:val="center"/>
          </w:tcPr>
          <w:p>
            <w:pPr>
              <w:spacing w:after="0" w:before="0" w:line="240" w:lineRule="auto"/>
            </w:pPr>
            <w:r>
              <w:rPr>
                <w:rFonts w:ascii="Aptos" w:hAnsi="Aptos"/>
                <w:sz w:val="16"/>
              </w:rPr>
              <w:t>100 Pro members × $24 average monthly revenue = $2,400/month</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r>
          </w:p>
        </w:tc>
      </w:tr>
    </w:tbl>
    <w:p>
      <w:pPr>
        <w:pStyle w:val="Heading3"/>
      </w:pPr>
      <w:r>
        <w:t>Why it fits XRP Complete</w:t>
      </w:r>
    </w:p>
    <w:p>
      <w:r>
        <w:t>The existing site already behaves like a premium intelligence terminal. The best monetization move is to place selected high-value features behind a paid tier without destroying the free site's discovery value.</w:t>
      </w:r>
    </w:p>
    <w:p>
      <w:pPr>
        <w:pStyle w:val="Heading3"/>
      </w:pPr>
      <w:r>
        <w:t>Step-by-step build</w:t>
      </w:r>
    </w:p>
    <w:p>
      <w:pPr>
        <w:pStyle w:val="ListNumber"/>
        <w:spacing w:after="40"/>
      </w:pPr>
      <w:r>
        <w:t>Define a hard free/paid boundary. Keep live XRP price, headline news, a limited dashboard, and selected blog content free. Reserve full briefs, complete archives, the full Partnership Bridge, advanced regulatory/institutional trackers, exports and premium alerts for members.</w:t>
      </w:r>
    </w:p>
    <w:p>
      <w:pPr>
        <w:pStyle w:val="ListNumber"/>
        <w:spacing w:after="40"/>
      </w:pPr>
      <w:r>
        <w:t>Create a pricing page with one dominant offer: Pro at $29/month or $290/year, with a launch/founding-member offer near $19–$24/month for the first 100 members.</w:t>
      </w:r>
    </w:p>
    <w:p>
      <w:pPr>
        <w:pStyle w:val="ListNumber"/>
        <w:spacing w:after="40"/>
      </w:pPr>
      <w:r>
        <w:t>Add email capture above the fold on both sites: “Get the XRP Complete Daily Brief.” Require email registration before asking for payment.</w:t>
      </w:r>
    </w:p>
    <w:p>
      <w:pPr>
        <w:pStyle w:val="ListNumber"/>
        <w:spacing w:after="40"/>
      </w:pPr>
      <w:r>
        <w:t>Build a 5-email conversion sequence: welcome → best intelligence feature → Bridge proof/value → premium sample → paid invitation.</w:t>
      </w:r>
    </w:p>
    <w:p>
      <w:pPr>
        <w:pStyle w:val="ListNumber"/>
        <w:spacing w:after="40"/>
      </w:pPr>
      <w:r>
        <w:t>Place upgrade CTAs inside high-intent areas: Bridge, Regulatory, Institutional, Advanced Metrics and the end of every blog article.</w:t>
      </w:r>
    </w:p>
    <w:p>
      <w:pPr>
        <w:pStyle w:val="ListNumber"/>
        <w:spacing w:after="40"/>
      </w:pPr>
      <w:r>
        <w:t>Use a 7- or 14-day trial only if the technical stack can prevent abuse and automatically onboard/cancel cleanly. Otherwise use a 30-day money-back guarantee.</w:t>
      </w:r>
    </w:p>
    <w:p>
      <w:pPr>
        <w:pStyle w:val="ListNumber"/>
        <w:spacing w:after="40"/>
      </w:pPr>
      <w:r>
        <w:t>Publish a transparent comparison table and clearly repeat that the service is independent research and not financial advice.</w:t>
      </w:r>
    </w:p>
    <w:p>
      <w:pPr>
        <w:pStyle w:val="ListNumber"/>
        <w:spacing w:after="40"/>
      </w:pPr>
      <w:r>
        <w:t>Track visitor→email, email→trial and trial→paid conversion weekly; change the offer before changing the price.</w:t>
      </w:r>
    </w:p>
    <w:p>
      <w:pPr>
        <w:pStyle w:val="Heading3"/>
      </w:pPr>
      <w:r>
        <w:t>Forecast / KPI</w:t>
      </w:r>
    </w:p>
    <w:p>
      <w:r>
        <w:t>Month 1: 15 paid; Month 2: 35; Month 3: 65; Month 4: 100. Target visitor-to-email conversion 3–6%; email-to-paid conversion 2–5% initially.</w:t>
      </w:r>
    </w:p>
    <w:p>
      <w:pPr>
        <w:pStyle w:val="Heading3"/>
      </w:pPr>
      <w:r>
        <w:t>Main risk</w:t>
      </w:r>
    </w:p>
    <w:p>
      <w:r>
        <w:t>Paywalling too much can choke SEO and social sharing. The free tier must remain genuinely useful.</w:t>
      </w:r>
    </w:p>
    <w:p>
      <w:pPr>
        <w:pStyle w:val="Heading2"/>
      </w:pPr>
      <w:r>
        <w:t>2. Professional / Institutional Intelligence Tier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tcMar>
              <w:top w:w="60" w:type="dxa"/>
              <w:start w:w="70" w:type="dxa"/>
              <w:bottom w:w="60" w:type="dxa"/>
              <w:end w:w="70" w:type="dxa"/>
            </w:tcMar>
            <w:vAlign w:val="center"/>
          </w:tcPr>
          <w:p>
            <w:pPr>
              <w:spacing w:after="0" w:before="0" w:line="240" w:lineRule="auto"/>
            </w:pPr>
            <w:r>
              <w:rPr>
                <w:rFonts w:ascii="Aptos" w:hAnsi="Aptos"/>
                <w:sz w:val="16"/>
              </w:rPr>
              <w:t>Priority</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Very High</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Launch Time</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2–4 weeks</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Revenue Model</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High-ARPU recurring subscription</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Estimated Cost</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$0–$750 incremental if built on the same membership system</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Month-4 Target</w:t>
            </w:r>
          </w:p>
        </w:tc>
        <w:tc>
          <w:tcPr>
            <w:tcW w:type="dxa" w:w="1728"/>
            <w:gridSpan w:val="2"/>
            <w:tcMar>
              <w:top w:w="60" w:type="dxa"/>
              <w:start w:w="70" w:type="dxa"/>
              <w:bottom w:w="60" w:type="dxa"/>
              <w:end w:w="70" w:type="dxa"/>
            </w:tcMar>
            <w:vAlign w:val="center"/>
          </w:tcPr>
          <w:p>
            <w:pPr>
              <w:spacing w:after="0" w:before="0" w:line="240" w:lineRule="auto"/>
            </w:pPr>
            <w:r>
              <w:rPr>
                <w:rFonts w:ascii="Aptos" w:hAnsi="Aptos"/>
                <w:sz w:val="16"/>
              </w:rPr>
              <w:t>10 customers × $99 = $990/month</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r>
          </w:p>
        </w:tc>
      </w:tr>
    </w:tbl>
    <w:p>
      <w:pPr>
        <w:pStyle w:val="Heading3"/>
      </w:pPr>
      <w:r>
        <w:t>Why it fits XRP Complete</w:t>
      </w:r>
    </w:p>
    <w:p>
      <w:r>
        <w:t>The site's strongest differentiated assets—partnership tracking, regulatory watch, institutional adoption and source monitoring—are more valuable to analysts, small funds, lawyers, consultants, fintech firms and serious researchers than to casual readers.</w:t>
      </w:r>
    </w:p>
    <w:p>
      <w:pPr>
        <w:pStyle w:val="Heading3"/>
      </w:pPr>
      <w:r>
        <w:t>Step-by-step build</w:t>
      </w:r>
    </w:p>
    <w:p>
      <w:pPr>
        <w:pStyle w:val="ListNumber"/>
        <w:spacing w:after="40"/>
      </w:pPr>
      <w:r>
        <w:t>Create a Professional tier at $99/month, initially capped at 25–50 customers so it feels curated and support remains manageable.</w:t>
      </w:r>
    </w:p>
    <w:p>
      <w:pPr>
        <w:pStyle w:val="ListNumber"/>
        <w:spacing w:after="40"/>
      </w:pPr>
      <w:r>
        <w:t>Include downloadable monthly datasets, a monthly 10–15 page institutional brief, searchable Bridge access, regulatory change log and earlier/high-priority alerts.</w:t>
      </w:r>
    </w:p>
    <w:p>
      <w:pPr>
        <w:pStyle w:val="ListNumber"/>
        <w:spacing w:after="40"/>
      </w:pPr>
      <w:r>
        <w:t>Add a one-page 'For Professionals' landing page explaining methodology, source discipline, update frequency and permitted internal use.</w:t>
      </w:r>
    </w:p>
    <w:p>
      <w:pPr>
        <w:pStyle w:val="ListNumber"/>
        <w:spacing w:after="40"/>
      </w:pPr>
      <w:r>
        <w:t>Create one polished sample dossier as the sales artifact. Use a redacted/limited version publicly.</w:t>
      </w:r>
    </w:p>
    <w:p>
      <w:pPr>
        <w:pStyle w:val="ListNumber"/>
        <w:spacing w:after="40"/>
      </w:pPr>
      <w:r>
        <w:t>Build a prospect list of 100 relevant targets: crypto research shops, fintech consultants, family offices, RIAs interested in digital assets, law/regulatory consultants, XRPL ecosystem companies and financial-media professionals.</w:t>
      </w:r>
    </w:p>
    <w:p>
      <w:pPr>
        <w:pStyle w:val="ListNumber"/>
        <w:spacing w:after="40"/>
      </w:pPr>
      <w:r>
        <w:t>Send 10 personalized outreach emails per weekday for four weeks. Offer a 14-day evaluation account rather than a discount.</w:t>
      </w:r>
    </w:p>
    <w:p>
      <w:pPr>
        <w:pStyle w:val="ListNumber"/>
        <w:spacing w:after="40"/>
      </w:pPr>
      <w:r>
        <w:t>Ask every converted customer what information would make renewal automatic; feed those answers into product development.</w:t>
      </w:r>
    </w:p>
    <w:p>
      <w:pPr>
        <w:pStyle w:val="Heading3"/>
      </w:pPr>
      <w:r>
        <w:t>Forecast / KPI</w:t>
      </w:r>
    </w:p>
    <w:p>
      <w:r>
        <w:t>2 customers in Month 2, 6 in Month 3, 10 in Month 4. A 10% close rate from qualified demos/evaluations is sufficient if prospecting is disciplined.</w:t>
      </w:r>
    </w:p>
    <w:p>
      <w:pPr>
        <w:pStyle w:val="Heading3"/>
      </w:pPr>
      <w:r>
        <w:t>Main risk</w:t>
      </w:r>
    </w:p>
    <w:p>
      <w:r>
        <w:t>Do not imply institutional-grade compliance, audited data, investment recommendations or proprietary access unless those claims can be substantiated.</w:t>
      </w:r>
    </w:p>
    <w:p>
      <w:pPr>
        <w:pStyle w:val="Heading2"/>
      </w:pPr>
      <w:r>
        <w:t>3. Direct Website + Newsletter Sponsorships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tcMar>
              <w:top w:w="60" w:type="dxa"/>
              <w:start w:w="70" w:type="dxa"/>
              <w:bottom w:w="60" w:type="dxa"/>
              <w:end w:w="70" w:type="dxa"/>
            </w:tcMar>
            <w:vAlign w:val="center"/>
          </w:tcPr>
          <w:p>
            <w:pPr>
              <w:spacing w:after="0" w:before="0" w:line="240" w:lineRule="auto"/>
            </w:pPr>
            <w:r>
              <w:rPr>
                <w:rFonts w:ascii="Aptos" w:hAnsi="Aptos"/>
                <w:sz w:val="16"/>
              </w:rPr>
              <w:t>Priority</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Very High</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Launch Time</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7–10 days</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Revenue Model</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Advertising / sponsorship</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Estimated Cost</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$0–$250 for rate card/design; selling time is the main cost</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Month-4 Target</w:t>
            </w:r>
          </w:p>
        </w:tc>
        <w:tc>
          <w:tcPr>
            <w:tcW w:type="dxa" w:w="1728"/>
            <w:gridSpan w:val="2"/>
            <w:tcMar>
              <w:top w:w="60" w:type="dxa"/>
              <w:start w:w="70" w:type="dxa"/>
              <w:bottom w:w="60" w:type="dxa"/>
              <w:end w:w="70" w:type="dxa"/>
            </w:tcMar>
            <w:vAlign w:val="center"/>
          </w:tcPr>
          <w:p>
            <w:pPr>
              <w:spacing w:after="0" w:before="0" w:line="240" w:lineRule="auto"/>
            </w:pPr>
            <w:r>
              <w:rPr>
                <w:rFonts w:ascii="Aptos" w:hAnsi="Aptos"/>
                <w:sz w:val="16"/>
              </w:rPr>
              <w:t>Two recurring sponsors averaging $500/month = $1,000/month</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r>
          </w:p>
        </w:tc>
      </w:tr>
    </w:tbl>
    <w:p>
      <w:pPr>
        <w:pStyle w:val="Heading3"/>
      </w:pPr>
      <w:r>
        <w:t>Why it fits XRP Complete</w:t>
      </w:r>
    </w:p>
    <w:p>
      <w:r>
        <w:t>Specialized finance and crypto audiences command materially higher sponsorship rates than broad consumer traffic. Direct sponsorship can monetize relatively small audiences if the audience is specific and engaged.</w:t>
      </w:r>
    </w:p>
    <w:p>
      <w:pPr>
        <w:pStyle w:val="Heading3"/>
      </w:pPr>
      <w:r>
        <w:t>Step-by-step build</w:t>
      </w:r>
    </w:p>
    <w:p>
      <w:pPr>
        <w:pStyle w:val="ListNumber"/>
        <w:spacing w:after="40"/>
      </w:pPr>
      <w:r>
        <w:t>Create an 'Advertise / Sponsor XRP Complete' page with audience description, available placements, editorial standards and contact form.</w:t>
      </w:r>
    </w:p>
    <w:p>
      <w:pPr>
        <w:pStyle w:val="ListNumber"/>
        <w:spacing w:after="40"/>
      </w:pPr>
      <w:r>
        <w:t>Build three launch packages: Starter $250/month, Core $500/month, Category Exclusive $1,000/month. Do not promise impressions you cannot document.</w:t>
      </w:r>
    </w:p>
    <w:p>
      <w:pPr>
        <w:pStyle w:val="ListNumber"/>
        <w:spacing w:after="40"/>
      </w:pPr>
      <w:r>
        <w:t>Offer placements such as site banner, brief sponsorship, weekly newsletter inclusion, sponsored data module, and clearly labeled sponsored research.</w:t>
      </w:r>
    </w:p>
    <w:p>
      <w:pPr>
        <w:pStyle w:val="ListNumber"/>
        <w:spacing w:after="40"/>
      </w:pPr>
      <w:r>
        <w:t>Install first-party analytics before selling: monthly pageviews, unique users, newsletter subscribers, open rate, click rate and geography.</w:t>
      </w:r>
    </w:p>
    <w:p>
      <w:pPr>
        <w:pStyle w:val="ListNumber"/>
        <w:spacing w:after="40"/>
      </w:pPr>
      <w:r>
        <w:t>Create a one-page PDF/media kit with screenshots of the intelligence interface and examples of placements.</w:t>
      </w:r>
    </w:p>
    <w:p>
      <w:pPr>
        <w:pStyle w:val="ListNumber"/>
        <w:spacing w:after="40"/>
      </w:pPr>
      <w:r>
        <w:t>Prospect companies with direct XRP/crypto audience relevance: wallets, custody/infrastructure, tax/accounting software, analytics tools, conferences, cybersecurity, fintech SaaS and XRPL ecosystem projects.</w:t>
      </w:r>
    </w:p>
    <w:p>
      <w:pPr>
        <w:pStyle w:val="ListNumber"/>
        <w:spacing w:after="40"/>
      </w:pPr>
      <w:r>
        <w:t>Sell 90-day packages where possible. Give launch partners a modest discount in exchange for a testimonial and permission to publish performance data.</w:t>
      </w:r>
    </w:p>
    <w:p>
      <w:pPr>
        <w:pStyle w:val="ListNumber"/>
        <w:spacing w:after="40"/>
      </w:pPr>
      <w:r>
        <w:t>Never allow sponsors to influence market conclusions; label sponsored material prominently.</w:t>
      </w:r>
    </w:p>
    <w:p>
      <w:pPr>
        <w:pStyle w:val="Heading3"/>
      </w:pPr>
      <w:r>
        <w:t>Forecast / KPI</w:t>
      </w:r>
    </w:p>
    <w:p>
      <w:r>
        <w:t>Month 2: first $500 sponsor. Month 3: $750 total. Month 4: $1,000+. Track sponsor renewal and outbound response rate.</w:t>
      </w:r>
    </w:p>
    <w:p>
      <w:pPr>
        <w:pStyle w:val="Heading3"/>
      </w:pPr>
      <w:r>
        <w:t>Main risk</w:t>
      </w:r>
    </w:p>
    <w:p>
      <w:r>
        <w:t>Weak or questionable crypto advertisers can damage trust. Establish a prohibited-sponsor list and perform basic diligence.</w:t>
      </w:r>
    </w:p>
    <w:p>
      <w:pPr>
        <w:pStyle w:val="Heading2"/>
      </w:pPr>
      <w:r>
        <w:t>4. Premium Reports and XRP Data Packs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tcMar>
              <w:top w:w="60" w:type="dxa"/>
              <w:start w:w="70" w:type="dxa"/>
              <w:bottom w:w="60" w:type="dxa"/>
              <w:end w:w="70" w:type="dxa"/>
            </w:tcMar>
            <w:vAlign w:val="center"/>
          </w:tcPr>
          <w:p>
            <w:pPr>
              <w:spacing w:after="0" w:before="0" w:line="240" w:lineRule="auto"/>
            </w:pPr>
            <w:r>
              <w:rPr>
                <w:rFonts w:ascii="Aptos" w:hAnsi="Aptos"/>
                <w:sz w:val="16"/>
              </w:rPr>
              <w:t>Priority</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High</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Launch Time</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2–3 weeks</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Revenue Model</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One-time digital products</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Estimated Cost</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$0–$300 if produced internally</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Month-4 Target</w:t>
            </w:r>
          </w:p>
        </w:tc>
        <w:tc>
          <w:tcPr>
            <w:tcW w:type="dxa" w:w="1728"/>
            <w:gridSpan w:val="2"/>
            <w:tcMar>
              <w:top w:w="60" w:type="dxa"/>
              <w:start w:w="70" w:type="dxa"/>
              <w:bottom w:w="60" w:type="dxa"/>
              <w:end w:w="70" w:type="dxa"/>
            </w:tcMar>
            <w:vAlign w:val="center"/>
          </w:tcPr>
          <w:p>
            <w:pPr>
              <w:spacing w:after="0" w:before="0" w:line="240" w:lineRule="auto"/>
            </w:pPr>
            <w:r>
              <w:rPr>
                <w:rFonts w:ascii="Aptos" w:hAnsi="Aptos"/>
                <w:sz w:val="16"/>
              </w:rPr>
              <w:t>15–25 sales/month at $29–$49 average = approximately $750/month</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r>
          </w:p>
        </w:tc>
      </w:tr>
    </w:tbl>
    <w:p>
      <w:pPr>
        <w:pStyle w:val="Heading3"/>
      </w:pPr>
      <w:r>
        <w:t>Why it fits XRP Complete</w:t>
      </w:r>
    </w:p>
    <w:p>
      <w:r>
        <w:t>Your existing research can be repackaged into durable, searchable products rather than disappearing into the feed. This creates revenue without requiring every customer to subscribe.</w:t>
      </w:r>
    </w:p>
    <w:p>
      <w:pPr>
        <w:pStyle w:val="Heading3"/>
      </w:pPr>
      <w:r>
        <w:t>Step-by-step build</w:t>
      </w:r>
    </w:p>
    <w:p>
      <w:pPr>
        <w:pStyle w:val="ListNumber"/>
        <w:spacing w:after="40"/>
      </w:pPr>
      <w:r>
        <w:t>Choose four flagship products: Global XRP/Ripple Partnership Master Report; XRP Regulatory Atlas; Institutional Adoption Scorecard; Quarterly XRP Market Structure &amp; Liquidity Report.</w:t>
      </w:r>
    </w:p>
    <w:p>
      <w:pPr>
        <w:pStyle w:val="ListNumber"/>
        <w:spacing w:after="40"/>
      </w:pPr>
      <w:r>
        <w:t>Create a free 5–10 page preview and a paid full edition. Price standard reports at $29–$49; larger data books at $79–$149.</w:t>
      </w:r>
    </w:p>
    <w:p>
      <w:pPr>
        <w:pStyle w:val="ListNumber"/>
        <w:spacing w:after="40"/>
      </w:pPr>
      <w:r>
        <w:t>Update the paid products monthly or quarterly and include version/date stamps.</w:t>
      </w:r>
    </w:p>
    <w:p>
      <w:pPr>
        <w:pStyle w:val="ListNumber"/>
        <w:spacing w:after="40"/>
      </w:pPr>
      <w:r>
        <w:t>Sell through both sites with automatic delivery and an email receipt. Offer a bundle discount to Pro members.</w:t>
      </w:r>
    </w:p>
    <w:p>
      <w:pPr>
        <w:pStyle w:val="ListNumber"/>
        <w:spacing w:after="40"/>
      </w:pPr>
      <w:r>
        <w:t>Turn every major blog series into a funnel: article → downloadable preview → paid report or Pro upgrade.</w:t>
      </w:r>
    </w:p>
    <w:p>
      <w:pPr>
        <w:pStyle w:val="ListNumber"/>
        <w:spacing w:after="40"/>
      </w:pPr>
      <w:r>
        <w:t>Add citations, source dates and methodology pages. The more verifiable the report, the more defensible the price.</w:t>
      </w:r>
    </w:p>
    <w:p>
      <w:pPr>
        <w:pStyle w:val="ListNumber"/>
        <w:spacing w:after="40"/>
      </w:pPr>
      <w:r>
        <w:t>Use launches as events: announce each report across the site, email list and Instagram, then promote excerpts for two weeks.</w:t>
      </w:r>
    </w:p>
    <w:p>
      <w:pPr>
        <w:pStyle w:val="Heading3"/>
      </w:pPr>
      <w:r>
        <w:t>Forecast / KPI</w:t>
      </w:r>
    </w:p>
    <w:p>
      <w:r>
        <w:t>Month 1 $200; Month 2 $400; Month 3 $600; Month 4 $750. Target 1–3% purchase conversion from report landing-page visitors.</w:t>
      </w:r>
    </w:p>
    <w:p>
      <w:pPr>
        <w:pStyle w:val="Heading3"/>
      </w:pPr>
      <w:r>
        <w:t>Main risk</w:t>
      </w:r>
    </w:p>
    <w:p>
      <w:r>
        <w:t>Reports become stale quickly in crypto. Date/version everything and sell ongoing updates through membership.</w:t>
      </w:r>
    </w:p>
    <w:p>
      <w:pPr>
        <w:pStyle w:val="Heading2"/>
      </w:pPr>
      <w:r>
        <w:t>5. Paid Monthly Live Briefing / Webinar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tcMar>
              <w:top w:w="60" w:type="dxa"/>
              <w:start w:w="70" w:type="dxa"/>
              <w:bottom w:w="60" w:type="dxa"/>
              <w:end w:w="70" w:type="dxa"/>
            </w:tcMar>
            <w:vAlign w:val="center"/>
          </w:tcPr>
          <w:p>
            <w:pPr>
              <w:spacing w:after="0" w:before="0" w:line="240" w:lineRule="auto"/>
            </w:pPr>
            <w:r>
              <w:rPr>
                <w:rFonts w:ascii="Aptos" w:hAnsi="Aptos"/>
                <w:sz w:val="16"/>
              </w:rPr>
              <w:t>Priority</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Medium-High</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Launch Time</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3–4 weeks</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Revenue Model</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Ticketed event + membership conversion</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Estimated Cost</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$0–$100/month for webinar/video tooling</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Month-4 Target</w:t>
            </w:r>
          </w:p>
        </w:tc>
        <w:tc>
          <w:tcPr>
            <w:tcW w:type="dxa" w:w="1728"/>
            <w:gridSpan w:val="2"/>
            <w:tcMar>
              <w:top w:w="60" w:type="dxa"/>
              <w:start w:w="70" w:type="dxa"/>
              <w:bottom w:w="60" w:type="dxa"/>
              <w:end w:w="70" w:type="dxa"/>
            </w:tcMar>
            <w:vAlign w:val="center"/>
          </w:tcPr>
          <w:p>
            <w:pPr>
              <w:spacing w:after="0" w:before="0" w:line="240" w:lineRule="auto"/>
            </w:pPr>
            <w:r>
              <w:rPr>
                <w:rFonts w:ascii="Aptos" w:hAnsi="Aptos"/>
                <w:sz w:val="16"/>
              </w:rPr>
              <w:t>20 tickets × $25 average = $500/month, before membership upsells</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r>
          </w:p>
        </w:tc>
      </w:tr>
    </w:tbl>
    <w:p>
      <w:pPr>
        <w:pStyle w:val="Heading3"/>
      </w:pPr>
      <w:r>
        <w:t>Why it fits XRP Complete</w:t>
      </w:r>
    </w:p>
    <w:p>
      <w:r>
        <w:t>A live briefing turns the brand from a website into a trusted analyst relationship and gives members a reason to renew.</w:t>
      </w:r>
    </w:p>
    <w:p>
      <w:pPr>
        <w:pStyle w:val="Heading3"/>
      </w:pPr>
      <w:r>
        <w:t>Step-by-step build</w:t>
      </w:r>
    </w:p>
    <w:p>
      <w:pPr>
        <w:pStyle w:val="ListNumber"/>
        <w:spacing w:after="40"/>
      </w:pPr>
      <w:r>
        <w:t>Schedule one 45–60 minute briefing each month: 30 minutes intelligence review, 15 minutes regulatory/institutional outlook, 15 minutes moderated Q&amp;A.</w:t>
      </w:r>
    </w:p>
    <w:p>
      <w:pPr>
        <w:pStyle w:val="ListNumber"/>
        <w:spacing w:after="40"/>
      </w:pPr>
      <w:r>
        <w:t>Charge nonmembers $29–$39; include access for Pro/Professional members.</w:t>
      </w:r>
    </w:p>
    <w:p>
      <w:pPr>
        <w:pStyle w:val="ListNumber"/>
        <w:spacing w:after="40"/>
      </w:pPr>
      <w:r>
        <w:t>Record the event and place the replay in the paid archive.</w:t>
      </w:r>
    </w:p>
    <w:p>
      <w:pPr>
        <w:pStyle w:val="ListNumber"/>
        <w:spacing w:after="40"/>
      </w:pPr>
      <w:r>
        <w:t>Use a fixed slide structure every month so preparation time drops.</w:t>
      </w:r>
    </w:p>
    <w:p>
      <w:pPr>
        <w:pStyle w:val="ListNumber"/>
        <w:spacing w:after="40"/>
      </w:pPr>
      <w:r>
        <w:t>Collect questions in advance and refuse individualized buy/sell recommendations; keep the discussion educational and analytical.</w:t>
      </w:r>
    </w:p>
    <w:p>
      <w:pPr>
        <w:pStyle w:val="ListNumber"/>
        <w:spacing w:after="40"/>
      </w:pPr>
      <w:r>
        <w:t>At the end, offer attendees a time-limited annual Pro upgrade bonus, such as an included premium report rather than a deep discount.</w:t>
      </w:r>
    </w:p>
    <w:p>
      <w:pPr>
        <w:pStyle w:val="Heading3"/>
      </w:pPr>
      <w:r>
        <w:t>Forecast / KPI</w:t>
      </w:r>
    </w:p>
    <w:p>
      <w:r>
        <w:t>Month 2: 10 paid seats; Month 3: 15; Month 4: 20. Convert 10–20% of nonmember attendees into Pro over time.</w:t>
      </w:r>
    </w:p>
    <w:p>
      <w:pPr>
        <w:pStyle w:val="Heading3"/>
      </w:pPr>
      <w:r>
        <w:t>Main risk</w:t>
      </w:r>
    </w:p>
    <w:p>
      <w:r>
        <w:t>Live events are time-intensive. Standardize the format and do not increase frequency until attendance supports it.</w:t>
      </w:r>
    </w:p>
    <w:p>
      <w:pPr>
        <w:pStyle w:val="Heading2"/>
      </w:pPr>
      <w:r>
        <w:t>6. Curated Affiliate / Referral Revenue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tcMar>
              <w:top w:w="60" w:type="dxa"/>
              <w:start w:w="70" w:type="dxa"/>
              <w:bottom w:w="60" w:type="dxa"/>
              <w:end w:w="70" w:type="dxa"/>
            </w:tcMar>
            <w:vAlign w:val="center"/>
          </w:tcPr>
          <w:p>
            <w:pPr>
              <w:spacing w:after="0" w:before="0" w:line="240" w:lineRule="auto"/>
            </w:pPr>
            <w:r>
              <w:rPr>
                <w:rFonts w:ascii="Aptos" w:hAnsi="Aptos"/>
                <w:sz w:val="16"/>
              </w:rPr>
              <w:t>Priority</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Medium</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Launch Time</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1–2 weeks</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Revenue Model</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Performance marketing</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Estimated Cost</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Near-zero cash cost; compliance and editorial review time</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Month-4 Target</w:t>
            </w:r>
          </w:p>
        </w:tc>
        <w:tc>
          <w:tcPr>
            <w:tcW w:type="dxa" w:w="1728"/>
            <w:gridSpan w:val="2"/>
            <w:tcMar>
              <w:top w:w="60" w:type="dxa"/>
              <w:start w:w="70" w:type="dxa"/>
              <w:bottom w:w="60" w:type="dxa"/>
              <w:end w:w="70" w:type="dxa"/>
            </w:tcMar>
            <w:vAlign w:val="center"/>
          </w:tcPr>
          <w:p>
            <w:pPr>
              <w:spacing w:after="0" w:before="0" w:line="240" w:lineRule="auto"/>
            </w:pPr>
            <w:r>
              <w:rPr>
                <w:rFonts w:ascii="Aptos" w:hAnsi="Aptos"/>
                <w:sz w:val="16"/>
              </w:rPr>
              <w:t>$350/month target</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r>
          </w:p>
        </w:tc>
      </w:tr>
    </w:tbl>
    <w:p>
      <w:pPr>
        <w:pStyle w:val="Heading3"/>
      </w:pPr>
      <w:r>
        <w:t>Why it fits XRP Complete</w:t>
      </w:r>
    </w:p>
    <w:p>
      <w:r>
        <w:t>Affiliate revenue is useful as a secondary stream but should never become the editorial driver. The safest approach is to recommend tools that genuinely fit the audience rather than maximizing commissions.</w:t>
      </w:r>
    </w:p>
    <w:p>
      <w:pPr>
        <w:pStyle w:val="Heading3"/>
      </w:pPr>
      <w:r>
        <w:t>Step-by-step build</w:t>
      </w:r>
    </w:p>
    <w:p>
      <w:pPr>
        <w:pStyle w:val="ListNumber"/>
        <w:spacing w:after="40"/>
      </w:pPr>
      <w:r>
        <w:t>Create a written affiliate policy: disclose every compensated link; never alter ratings or conclusions for compensation.</w:t>
      </w:r>
    </w:p>
    <w:p>
      <w:pPr>
        <w:pStyle w:val="ListNumber"/>
        <w:spacing w:after="40"/>
      </w:pPr>
      <w:r>
        <w:t>Prioritize tools around crypto rather than speculative token promotion: hardware/security tools, tax/accounting software, research/charting tools, books/courses, business software and approved infrastructure products.</w:t>
      </w:r>
    </w:p>
    <w:p>
      <w:pPr>
        <w:pStyle w:val="ListNumber"/>
        <w:spacing w:after="40"/>
      </w:pPr>
      <w:r>
        <w:t>Create evergreen pages such as 'XRP Security Toolkit,' 'Crypto Tax &amp; Recordkeeping Tools,' and 'Research Tools We Use.'</w:t>
      </w:r>
    </w:p>
    <w:p>
      <w:pPr>
        <w:pStyle w:val="ListNumber"/>
        <w:spacing w:after="40"/>
      </w:pPr>
      <w:r>
        <w:t>Use comparison tables based on verifiable features and costs. Make affiliate status explicit next to the CTA.</w:t>
      </w:r>
    </w:p>
    <w:p>
      <w:pPr>
        <w:pStyle w:val="ListNumber"/>
        <w:spacing w:after="40"/>
      </w:pPr>
      <w:r>
        <w:t>Track revenue per 1,000 pageviews and remove low-converting clutter.</w:t>
      </w:r>
    </w:p>
    <w:p>
      <w:pPr>
        <w:pStyle w:val="ListNumber"/>
        <w:spacing w:after="40"/>
      </w:pPr>
      <w:r>
        <w:t>Do not recommend any product solely because it pays the highest commission.</w:t>
      </w:r>
    </w:p>
    <w:p>
      <w:pPr>
        <w:pStyle w:val="Heading3"/>
      </w:pPr>
      <w:r>
        <w:t>Forecast / KPI</w:t>
      </w:r>
    </w:p>
    <w:p>
      <w:r>
        <w:t>$75 Month 1 → $150 Month 2 → $250 Month 3 → $350 Month 4. Target affiliate revenue under 15% of total brand revenue so editorial independence remains credible.</w:t>
      </w:r>
    </w:p>
    <w:p>
      <w:pPr>
        <w:pStyle w:val="Heading3"/>
      </w:pPr>
      <w:r>
        <w:t>Main risk</w:t>
      </w:r>
    </w:p>
    <w:p>
      <w:r>
        <w:t>Financial-product affiliate programs can carry advertising and regulatory obligations. Obtain legal/compliance review for high-risk categories.</w:t>
      </w:r>
    </w:p>
    <w:p>
      <w:pPr>
        <w:pStyle w:val="Heading2"/>
      </w:pPr>
      <w:r>
        <w:t>7. B2B Licensing of the Partnership Bridge / Regulatory Dataset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tcMar>
              <w:top w:w="60" w:type="dxa"/>
              <w:start w:w="70" w:type="dxa"/>
              <w:bottom w:w="60" w:type="dxa"/>
              <w:end w:w="70" w:type="dxa"/>
            </w:tcMar>
            <w:vAlign w:val="center"/>
          </w:tcPr>
          <w:p>
            <w:pPr>
              <w:spacing w:after="0" w:before="0" w:line="240" w:lineRule="auto"/>
            </w:pPr>
            <w:r>
              <w:rPr>
                <w:rFonts w:ascii="Aptos" w:hAnsi="Aptos"/>
                <w:sz w:val="16"/>
              </w:rPr>
              <w:t>Priority</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High Strategic Value</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Launch Time</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4–8 weeks</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Revenue Model</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Data licensing</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Estimated Cost</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$250–$1,500 for export/API work and license templates depending on current architecture</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Month-4 Target</w:t>
            </w:r>
          </w:p>
        </w:tc>
        <w:tc>
          <w:tcPr>
            <w:tcW w:type="dxa" w:w="1728"/>
            <w:gridSpan w:val="2"/>
            <w:tcMar>
              <w:top w:w="60" w:type="dxa"/>
              <w:start w:w="70" w:type="dxa"/>
              <w:bottom w:w="60" w:type="dxa"/>
              <w:end w:w="70" w:type="dxa"/>
            </w:tcMar>
            <w:vAlign w:val="center"/>
          </w:tcPr>
          <w:p>
            <w:pPr>
              <w:spacing w:after="0" w:before="0" w:line="240" w:lineRule="auto"/>
            </w:pPr>
            <w:r>
              <w:rPr>
                <w:rFonts w:ascii="Aptos" w:hAnsi="Aptos"/>
                <w:sz w:val="16"/>
              </w:rPr>
              <w:t>One pilot license at $750/month</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r>
          </w:p>
        </w:tc>
      </w:tr>
    </w:tbl>
    <w:p>
      <w:pPr>
        <w:pStyle w:val="Heading3"/>
      </w:pPr>
      <w:r>
        <w:t>Why it fits XRP Complete</w:t>
      </w:r>
    </w:p>
    <w:p>
      <w:r>
        <w:t>A maintained database of 400+ XRP/Ripple/XRPL relationships is potentially more defensible than ordinary news content. Businesses pay for structured, clean, regularly updated data.</w:t>
      </w:r>
    </w:p>
    <w:p>
      <w:pPr>
        <w:pStyle w:val="Heading3"/>
      </w:pPr>
      <w:r>
        <w:t>Step-by-step build</w:t>
      </w:r>
    </w:p>
    <w:p>
      <w:pPr>
        <w:pStyle w:val="ListNumber"/>
        <w:spacing w:after="40"/>
      </w:pPr>
      <w:r>
        <w:t>Normalize the Bridge into a structured schema: entity, country, date, relationship type, XRP/Ripple/XRPL classification, status, source URL, source quality, last verified date and notes.</w:t>
      </w:r>
    </w:p>
    <w:p>
      <w:pPr>
        <w:pStyle w:val="ListNumber"/>
        <w:spacing w:after="40"/>
      </w:pPr>
      <w:r>
        <w:t>Create CSV/XLSX exports first; do not build a full API until a customer asks for it.</w:t>
      </w:r>
    </w:p>
    <w:p>
      <w:pPr>
        <w:pStyle w:val="ListNumber"/>
        <w:spacing w:after="40"/>
      </w:pPr>
      <w:r>
        <w:t>Publish a public sample of 25 rows and a data dictionary.</w:t>
      </w:r>
    </w:p>
    <w:p>
      <w:pPr>
        <w:pStyle w:val="ListNumber"/>
        <w:spacing w:after="40"/>
      </w:pPr>
      <w:r>
        <w:t>Offer three licenses: Research Export $199/quarter; Professional Data $500/month; Enterprise/custom $1,000–$1,500+.</w:t>
      </w:r>
    </w:p>
    <w:p>
      <w:pPr>
        <w:pStyle w:val="ListNumber"/>
        <w:spacing w:after="40"/>
      </w:pPr>
      <w:r>
        <w:t>Target crypto research firms, media data desks, consultants, academic researchers, fintech strategy teams and ecosystem vendors.</w:t>
      </w:r>
    </w:p>
    <w:p>
      <w:pPr>
        <w:pStyle w:val="ListNumber"/>
        <w:spacing w:after="40"/>
      </w:pPr>
      <w:r>
        <w:t>Use a simple data license defining internal use, redistribution restrictions, attribution, update cadence and warranty limitations.</w:t>
      </w:r>
    </w:p>
    <w:p>
      <w:pPr>
        <w:pStyle w:val="ListNumber"/>
        <w:spacing w:after="40"/>
      </w:pPr>
      <w:r>
        <w:t>Sell a 60-day pilot. Use the first customer's requests to determine whether an API is commercially justified.</w:t>
      </w:r>
    </w:p>
    <w:p>
      <w:pPr>
        <w:pStyle w:val="Heading3"/>
      </w:pPr>
      <w:r>
        <w:t>Forecast / KPI</w:t>
      </w:r>
    </w:p>
    <w:p>
      <w:r>
        <w:t>Month 3: first $500 pilot. Month 4: $750 run-rate. Longer-term objective: 5 licenses could independently exceed the entire $5,000/month goal.</w:t>
      </w:r>
    </w:p>
    <w:p>
      <w:pPr>
        <w:pStyle w:val="Heading3"/>
      </w:pPr>
      <w:r>
        <w:t>Main risk</w:t>
      </w:r>
    </w:p>
    <w:p>
      <w:r>
        <w:t>Database value depends on accuracy. Separate verified partnerships from rumors, duplicates, integrations and indirect relationships.</w:t>
      </w:r>
    </w:p>
    <w:p>
      <w:pPr>
        <w:pStyle w:val="Heading2"/>
      </w:pPr>
      <w:r>
        <w:t>8. Sponsored Research / Native Content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tcMar>
              <w:top w:w="60" w:type="dxa"/>
              <w:start w:w="70" w:type="dxa"/>
              <w:bottom w:w="60" w:type="dxa"/>
              <w:end w:w="70" w:type="dxa"/>
            </w:tcMar>
            <w:vAlign w:val="center"/>
          </w:tcPr>
          <w:p>
            <w:pPr>
              <w:spacing w:after="0" w:before="0" w:line="240" w:lineRule="auto"/>
            </w:pPr>
            <w:r>
              <w:rPr>
                <w:rFonts w:ascii="Aptos" w:hAnsi="Aptos"/>
                <w:sz w:val="16"/>
              </w:rPr>
              <w:t>Priority</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Medium</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Launch Time</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2–4 weeks</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Revenue Model</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Project-based B2B revenue</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Estimated Cost</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Primarily research/writing time</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Month-4 Target</w:t>
            </w:r>
          </w:p>
        </w:tc>
        <w:tc>
          <w:tcPr>
            <w:tcW w:type="dxa" w:w="1728"/>
            <w:gridSpan w:val="2"/>
            <w:tcMar>
              <w:top w:w="60" w:type="dxa"/>
              <w:start w:w="70" w:type="dxa"/>
              <w:bottom w:w="60" w:type="dxa"/>
              <w:end w:w="70" w:type="dxa"/>
            </w:tcMar>
            <w:vAlign w:val="center"/>
          </w:tcPr>
          <w:p>
            <w:pPr>
              <w:spacing w:after="0" w:before="0" w:line="240" w:lineRule="auto"/>
            </w:pPr>
            <w:r>
              <w:rPr>
                <w:rFonts w:ascii="Aptos" w:hAnsi="Aptos"/>
                <w:sz w:val="16"/>
              </w:rPr>
              <w:t>One project/month at $500, with capacity to move toward $1,000+ as audience proof grows</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r>
          </w:p>
        </w:tc>
      </w:tr>
    </w:tbl>
    <w:p>
      <w:pPr>
        <w:pStyle w:val="Heading3"/>
      </w:pPr>
      <w:r>
        <w:t>Why it fits XRP Complete</w:t>
      </w:r>
    </w:p>
    <w:p>
      <w:r>
        <w:t>Companies entering the XRP ecosystem often need credible explainers, technical primers, case studies or launch analysis. XRP Complete can sell production and distribution while preserving editorial separation.</w:t>
      </w:r>
    </w:p>
    <w:p>
      <w:pPr>
        <w:pStyle w:val="Heading3"/>
      </w:pPr>
      <w:r>
        <w:t>Step-by-step build</w:t>
      </w:r>
    </w:p>
    <w:p>
      <w:pPr>
        <w:pStyle w:val="ListNumber"/>
        <w:spacing w:after="40"/>
      </w:pPr>
      <w:r>
        <w:t>Create a strict sponsored-research policy: sponsor selects topic, not conclusions; factual claims must be sourced; sponsorship is labeled at the top.</w:t>
      </w:r>
    </w:p>
    <w:p>
      <w:pPr>
        <w:pStyle w:val="ListNumber"/>
        <w:spacing w:after="40"/>
      </w:pPr>
      <w:r>
        <w:t>Offer three formats: sponsored explainer, technical ecosystem profile, and sponsored webinar/report bundle.</w:t>
      </w:r>
    </w:p>
    <w:p>
      <w:pPr>
        <w:pStyle w:val="ListNumber"/>
        <w:spacing w:after="40"/>
      </w:pPr>
      <w:r>
        <w:t>Launch at $350–$500 for the first two projects, then raise pricing when traffic and conversion data are available.</w:t>
      </w:r>
    </w:p>
    <w:p>
      <w:pPr>
        <w:pStyle w:val="ListNumber"/>
        <w:spacing w:after="40"/>
      </w:pPr>
      <w:r>
        <w:t>Include a fixed deliverable: article, homepage placement for seven days, newsletter placement, one social graphic, analytics report.</w:t>
      </w:r>
    </w:p>
    <w:p>
      <w:pPr>
        <w:pStyle w:val="ListNumber"/>
        <w:spacing w:after="40"/>
      </w:pPr>
      <w:r>
        <w:t>Retain the right to reject projects that make unsupported token-price claims or conflict with the brand's editorial standards.</w:t>
      </w:r>
    </w:p>
    <w:p>
      <w:pPr>
        <w:pStyle w:val="ListNumber"/>
        <w:spacing w:after="40"/>
      </w:pPr>
      <w:r>
        <w:t>Build a portfolio page showing completed sponsored work and measurable reach.</w:t>
      </w:r>
    </w:p>
    <w:p>
      <w:pPr>
        <w:pStyle w:val="Heading3"/>
      </w:pPr>
      <w:r>
        <w:t>Forecast / KPI</w:t>
      </w:r>
    </w:p>
    <w:p>
      <w:r>
        <w:t>Month 2 $350; Month 3 $500; Month 4 $500+. Keep sponsored posts below roughly 15–20% of editorial output.</w:t>
      </w:r>
    </w:p>
    <w:p>
      <w:pPr>
        <w:pStyle w:val="Heading3"/>
      </w:pPr>
      <w:r>
        <w:t>Main risk</w:t>
      </w:r>
    </w:p>
    <w:p>
      <w:r>
        <w:t>Poor labeling can erode credibility. Treat editorial trust as the brand's primary asset.</w:t>
      </w:r>
    </w:p>
    <w:p>
      <w:pPr>
        <w:pStyle w:val="Heading2"/>
      </w:pPr>
      <w:r>
        <w:t>9. XRP Ecosystem Directory / Jobs / Vendor Listings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tcMar>
              <w:top w:w="60" w:type="dxa"/>
              <w:start w:w="70" w:type="dxa"/>
              <w:bottom w:w="60" w:type="dxa"/>
              <w:end w:w="70" w:type="dxa"/>
            </w:tcMar>
            <w:vAlign w:val="center"/>
          </w:tcPr>
          <w:p>
            <w:pPr>
              <w:spacing w:after="0" w:before="0" w:line="240" w:lineRule="auto"/>
            </w:pPr>
            <w:r>
              <w:rPr>
                <w:rFonts w:ascii="Aptos" w:hAnsi="Aptos"/>
                <w:sz w:val="16"/>
              </w:rPr>
              <w:t>Priority</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Medium</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Launch Time</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3–6 weeks</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Revenue Model</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Listings and lead generation</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Estimated Cost</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$100–$750 depending on automation</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Month-4 Target</w:t>
            </w:r>
          </w:p>
        </w:tc>
        <w:tc>
          <w:tcPr>
            <w:tcW w:type="dxa" w:w="1728"/>
            <w:gridSpan w:val="2"/>
            <w:tcMar>
              <w:top w:w="60" w:type="dxa"/>
              <w:start w:w="70" w:type="dxa"/>
              <w:bottom w:w="60" w:type="dxa"/>
              <w:end w:w="70" w:type="dxa"/>
            </w:tcMar>
            <w:vAlign w:val="center"/>
          </w:tcPr>
          <w:p>
            <w:pPr>
              <w:spacing w:after="0" w:before="0" w:line="240" w:lineRule="auto"/>
            </w:pPr>
            <w:r>
              <w:rPr>
                <w:rFonts w:ascii="Aptos" w:hAnsi="Aptos"/>
                <w:sz w:val="16"/>
              </w:rPr>
              <w:t>5 listings × $50 = $250/month initially</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r>
          </w:p>
        </w:tc>
      </w:tr>
    </w:tbl>
    <w:p>
      <w:pPr>
        <w:pStyle w:val="Heading3"/>
      </w:pPr>
      <w:r>
        <w:t>Why it fits XRP Complete</w:t>
      </w:r>
    </w:p>
    <w:p>
      <w:r>
        <w:t>The site already catalogs the ecosystem. A structured directory converts that research advantage into a searchable commercial marketplace.</w:t>
      </w:r>
    </w:p>
    <w:p>
      <w:pPr>
        <w:pStyle w:val="Heading3"/>
      </w:pPr>
      <w:r>
        <w:t>Step-by-step build</w:t>
      </w:r>
    </w:p>
    <w:p>
      <w:pPr>
        <w:pStyle w:val="ListNumber"/>
        <w:spacing w:after="40"/>
      </w:pPr>
      <w:r>
        <w:t>Create a free basic directory of XRP/XRPL ecosystem companies, service firms, conferences and developer tools.</w:t>
      </w:r>
    </w:p>
    <w:p>
      <w:pPr>
        <w:pStyle w:val="ListNumber"/>
        <w:spacing w:after="40"/>
      </w:pPr>
      <w:r>
        <w:t>Charge for clearly labeled enhanced listings, not for inclusion in factual coverage.</w:t>
      </w:r>
    </w:p>
    <w:p>
      <w:pPr>
        <w:pStyle w:val="ListNumber"/>
        <w:spacing w:after="40"/>
      </w:pPr>
      <w:r>
        <w:t>Launch pricing: $49/month featured vendor, $99 job post for 30 days, $149 event promotion package.</w:t>
      </w:r>
    </w:p>
    <w:p>
      <w:pPr>
        <w:pStyle w:val="ListNumber"/>
        <w:spacing w:after="40"/>
      </w:pPr>
      <w:r>
        <w:t>Create category pages that can rank in search and feed users back into the intelligence products.</w:t>
      </w:r>
    </w:p>
    <w:p>
      <w:pPr>
        <w:pStyle w:val="ListNumber"/>
        <w:spacing w:after="40"/>
      </w:pPr>
      <w:r>
        <w:t>Manually approve every listing during the first four months to prevent scams.</w:t>
      </w:r>
    </w:p>
    <w:p>
      <w:pPr>
        <w:pStyle w:val="ListNumber"/>
        <w:spacing w:after="40"/>
      </w:pPr>
      <w:r>
        <w:t>Bundle a featured directory listing into higher sponsor packages.</w:t>
      </w:r>
    </w:p>
    <w:p>
      <w:pPr>
        <w:pStyle w:val="Heading3"/>
      </w:pPr>
      <w:r>
        <w:t>Forecast / KPI</w:t>
      </w:r>
    </w:p>
    <w:p>
      <w:r>
        <w:t>Month 2 $100; Month 3 $200; Month 4 $250. More important initially: directory pages should generate qualified SEO and sponsor leads.</w:t>
      </w:r>
    </w:p>
    <w:p>
      <w:pPr>
        <w:pStyle w:val="Heading3"/>
      </w:pPr>
      <w:r>
        <w:t>Main risk</w:t>
      </w:r>
    </w:p>
    <w:p>
      <w:r>
        <w:t>Crypto listings attract low-quality operators. Verification and clear 'paid listing' labels are mandatory.</w:t>
      </w:r>
    </w:p>
    <w:p>
      <w:pPr>
        <w:pStyle w:val="Heading2"/>
      </w:pPr>
      <w:r>
        <w:t>10. Branded Books, Wall Charts and Intelligence Products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tcMar>
              <w:top w:w="60" w:type="dxa"/>
              <w:start w:w="70" w:type="dxa"/>
              <w:bottom w:w="60" w:type="dxa"/>
              <w:end w:w="70" w:type="dxa"/>
            </w:tcMar>
            <w:vAlign w:val="center"/>
          </w:tcPr>
          <w:p>
            <w:pPr>
              <w:spacing w:after="0" w:before="0" w:line="240" w:lineRule="auto"/>
            </w:pPr>
            <w:r>
              <w:rPr>
                <w:rFonts w:ascii="Aptos" w:hAnsi="Aptos"/>
                <w:sz w:val="16"/>
              </w:rPr>
              <w:t>Priority</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Lower near-term / useful brand extension</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Launch Time</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3–6 weeks</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Revenue Model</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Print-on-demand + digital merchandise</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Estimated Cost</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t>$50–$500 for design/proofs; print-on-demand can avoid inventory</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Month-4 Target</w:t>
            </w:r>
          </w:p>
        </w:tc>
        <w:tc>
          <w:tcPr>
            <w:tcW w:type="dxa" w:w="1728"/>
            <w:gridSpan w:val="2"/>
            <w:tcMar>
              <w:top w:w="60" w:type="dxa"/>
              <w:start w:w="70" w:type="dxa"/>
              <w:bottom w:w="60" w:type="dxa"/>
              <w:end w:w="70" w:type="dxa"/>
            </w:tcMar>
            <w:vAlign w:val="center"/>
          </w:tcPr>
          <w:p>
            <w:pPr>
              <w:spacing w:after="0" w:before="0" w:line="240" w:lineRule="auto"/>
            </w:pPr>
            <w:r>
              <w:rPr>
                <w:rFonts w:ascii="Aptos" w:hAnsi="Aptos"/>
                <w:sz w:val="16"/>
              </w:rPr>
              <w:t>$200/month contribution target</w:t>
            </w:r>
          </w:p>
        </w:tc>
        <w:tc>
          <w:tcPr>
            <w:tcW w:type="dxa" w:w="3312"/>
            <w:tcMar>
              <w:top w:w="60" w:type="dxa"/>
              <w:start w:w="70" w:type="dxa"/>
              <w:bottom w:w="60" w:type="dxa"/>
              <w:end w:w="70" w:type="dxa"/>
            </w:tcMar>
            <w:vAlign w:val="center"/>
          </w:tcPr>
          <w:p>
            <w:pPr>
              <w:spacing w:after="0" w:before="0" w:line="240" w:lineRule="auto"/>
            </w:pPr>
            <w:r>
              <w:rPr>
                <w:rFonts w:ascii="Aptos" w:hAnsi="Aptos"/>
                <w:sz w:val="16"/>
              </w:rPr>
            </w:r>
          </w:p>
        </w:tc>
      </w:tr>
    </w:tbl>
    <w:p>
      <w:pPr>
        <w:pStyle w:val="Heading3"/>
      </w:pPr>
      <w:r>
        <w:t>Why it fits XRP Complete</w:t>
      </w:r>
    </w:p>
    <w:p>
      <w:r>
        <w:t>Physical products are unlikely to produce the first $5,000, but XRP Complete's visual infographics, ecosystem maps, partnership maps and research can become durable brand objects that increase recognition and email acquisition.</w:t>
      </w:r>
    </w:p>
    <w:p>
      <w:pPr>
        <w:pStyle w:val="Heading3"/>
      </w:pPr>
      <w:r>
        <w:t>Step-by-step build</w:t>
      </w:r>
    </w:p>
    <w:p>
      <w:pPr>
        <w:pStyle w:val="ListNumber"/>
        <w:spacing w:after="40"/>
      </w:pPr>
      <w:r>
        <w:t>Start with digital/print-on-demand products rather than stocked apparel: XRP ecosystem wall chart, XRPL technical reference poster, annual partnership atlas and a concise XRP intelligence handbook.</w:t>
      </w:r>
    </w:p>
    <w:p>
      <w:pPr>
        <w:pStyle w:val="ListNumber"/>
        <w:spacing w:after="40"/>
      </w:pPr>
      <w:r>
        <w:t>Use existing infographic aesthetics but create only original graphics and properly licensed marks/assets.</w:t>
      </w:r>
    </w:p>
    <w:p>
      <w:pPr>
        <w:pStyle w:val="ListNumber"/>
        <w:spacing w:after="40"/>
      </w:pPr>
      <w:r>
        <w:t>Sell bundles: poster + PDF report; annual member package; Professional onboarding kit.</w:t>
      </w:r>
    </w:p>
    <w:p>
      <w:pPr>
        <w:pStyle w:val="ListNumber"/>
        <w:spacing w:after="40"/>
      </w:pPr>
      <w:r>
        <w:t>Use products as acquisition tools at events and on social media, not merely as margin items.</w:t>
      </w:r>
    </w:p>
    <w:p>
      <w:pPr>
        <w:pStyle w:val="ListNumber"/>
        <w:spacing w:after="40"/>
      </w:pPr>
      <w:r>
        <w:t>Do not carry inventory until a pre-order threshold proves demand.</w:t>
      </w:r>
    </w:p>
    <w:p>
      <w:pPr>
        <w:pStyle w:val="Heading3"/>
      </w:pPr>
      <w:r>
        <w:t>Forecast / KPI</w:t>
      </w:r>
    </w:p>
    <w:p>
      <w:r>
        <w:t>Month 1 $50; Month 2 $100; Month 3 $150; Month 4 $200. Measure email signups and membership upgrades generated by product buyers.</w:t>
      </w:r>
    </w:p>
    <w:p>
      <w:pPr>
        <w:pStyle w:val="Heading3"/>
      </w:pPr>
      <w:r>
        <w:t>Main risk</w:t>
      </w:r>
    </w:p>
    <w:p>
      <w:r>
        <w:t>Low-margin merchandise can distract from digital subscriptions. Keep this stream deliberately small until recurring revenue is established.</w:t>
      </w:r>
    </w:p>
    <w:p>
      <w:pPr>
        <w:pStyle w:val="Heading1"/>
      </w:pPr>
      <w:r>
        <w:t>Four-Month Execution Calendar</w:t>
      </w:r>
    </w:p>
    <w:p>
      <w:pPr>
        <w:pStyle w:val="Heading2"/>
      </w:pPr>
      <w:r>
        <w:t>Month 1 — Build the Revenue Infrastructure</w:t>
      </w:r>
    </w:p>
    <w:p>
      <w:pPr>
        <w:pStyle w:val="ListBullet"/>
        <w:spacing w:after="40"/>
      </w:pPr>
      <w:r>
        <w:t>Install first-party analytics and define the baseline: daily users, pageviews, top landing pages, returning visitors, geography and referral sources.</w:t>
      </w:r>
    </w:p>
    <w:p>
      <w:pPr>
        <w:pStyle w:val="ListBullet"/>
        <w:spacing w:after="40"/>
      </w:pPr>
      <w:r>
        <w:t>Add email capture to both sites. Make 'Get the Daily XRP Complete Brief' the primary CTA.</w:t>
      </w:r>
    </w:p>
    <w:p>
      <w:pPr>
        <w:pStyle w:val="ListBullet"/>
        <w:spacing w:after="40"/>
      </w:pPr>
      <w:r>
        <w:t>Choose the membership/payment stack; create Free and Pro accounts; build pricing and account pages.</w:t>
      </w:r>
    </w:p>
    <w:p>
      <w:pPr>
        <w:pStyle w:val="ListBullet"/>
        <w:spacing w:after="40"/>
      </w:pPr>
      <w:r>
        <w:t>Define the free/paid boundary. Do not fully paywall the homepage or high-ranking blog content.</w:t>
      </w:r>
    </w:p>
    <w:p>
      <w:pPr>
        <w:pStyle w:val="ListBullet"/>
        <w:spacing w:after="40"/>
      </w:pPr>
      <w:r>
        <w:t>Create the sponsor media kit and outbound prospect list.</w:t>
      </w:r>
    </w:p>
    <w:p>
      <w:pPr>
        <w:pStyle w:val="ListBullet"/>
        <w:spacing w:after="40"/>
      </w:pPr>
      <w:r>
        <w:t>Publish the first paid report/data pack.</w:t>
      </w:r>
    </w:p>
    <w:p>
      <w:pPr>
        <w:pStyle w:val="ListBullet"/>
        <w:spacing w:after="40"/>
      </w:pPr>
      <w:r>
        <w:t>Build a 5-email welcome/conversion sequence.</w:t>
      </w:r>
    </w:p>
    <w:p>
      <w:pPr>
        <w:pStyle w:val="ListBullet"/>
        <w:spacing w:after="40"/>
      </w:pPr>
      <w:r>
        <w:t>Create revenue dashboard with subscriptions, churn, MRR, report sales, sponsor pipeline and email growth.</w:t>
      </w:r>
    </w:p>
    <w:p>
      <w:pPr>
        <w:pStyle w:val="Heading2"/>
      </w:pPr>
      <w:r>
        <w:t>Month 2 — Launch and Sell</w:t>
      </w:r>
    </w:p>
    <w:p>
      <w:pPr>
        <w:pStyle w:val="ListBullet"/>
        <w:spacing w:after="40"/>
      </w:pPr>
      <w:r>
        <w:t>Launch Pro publicly with a founding-member campaign.</w:t>
      </w:r>
    </w:p>
    <w:p>
      <w:pPr>
        <w:pStyle w:val="ListBullet"/>
        <w:spacing w:after="40"/>
      </w:pPr>
      <w:r>
        <w:t>Begin 10 personalized sponsor/professional prospect contacts per weekday.</w:t>
      </w:r>
    </w:p>
    <w:p>
      <w:pPr>
        <w:pStyle w:val="ListBullet"/>
        <w:spacing w:after="40"/>
      </w:pPr>
      <w:r>
        <w:t>Close the first sponsor and first two Professional customers.</w:t>
      </w:r>
    </w:p>
    <w:p>
      <w:pPr>
        <w:pStyle w:val="ListBullet"/>
        <w:spacing w:after="40"/>
      </w:pPr>
      <w:r>
        <w:t>Run the first paid monthly briefing.</w:t>
      </w:r>
    </w:p>
    <w:p>
      <w:pPr>
        <w:pStyle w:val="ListBullet"/>
        <w:spacing w:after="40"/>
      </w:pPr>
      <w:r>
        <w:t>Publish the second premium report and cross-sell it to free subscribers.</w:t>
      </w:r>
    </w:p>
    <w:p>
      <w:pPr>
        <w:pStyle w:val="ListBullet"/>
        <w:spacing w:after="40"/>
      </w:pPr>
      <w:r>
        <w:t>Launch curated affiliate resource pages.</w:t>
      </w:r>
    </w:p>
    <w:p>
      <w:pPr>
        <w:pStyle w:val="ListBullet"/>
        <w:spacing w:after="40"/>
      </w:pPr>
      <w:r>
        <w:t>Begin directory pilot with manually approved featured listings.</w:t>
      </w:r>
    </w:p>
    <w:p>
      <w:pPr>
        <w:pStyle w:val="Heading2"/>
      </w:pPr>
      <w:r>
        <w:t>Month 3 — Productize the Data Advantage</w:t>
      </w:r>
    </w:p>
    <w:p>
      <w:pPr>
        <w:pStyle w:val="ListBullet"/>
        <w:spacing w:after="40"/>
      </w:pPr>
      <w:r>
        <w:t>Convert the Partnership Bridge into a clean downloadable dataset with a data dictionary.</w:t>
      </w:r>
    </w:p>
    <w:p>
      <w:pPr>
        <w:pStyle w:val="ListBullet"/>
        <w:spacing w:after="40"/>
      </w:pPr>
      <w:r>
        <w:t>Sell the first B2B data pilot before building a full API.</w:t>
      </w:r>
    </w:p>
    <w:p>
      <w:pPr>
        <w:pStyle w:val="ListBullet"/>
        <w:spacing w:after="40"/>
      </w:pPr>
      <w:r>
        <w:t>Increase Pro price for new customers if conversion remains healthy; grandfather founding members.</w:t>
      </w:r>
    </w:p>
    <w:p>
      <w:pPr>
        <w:pStyle w:val="ListBullet"/>
        <w:spacing w:after="40"/>
      </w:pPr>
      <w:r>
        <w:t>Launch one sponsored research project with strict disclosure.</w:t>
      </w:r>
    </w:p>
    <w:p>
      <w:pPr>
        <w:pStyle w:val="ListBullet"/>
        <w:spacing w:after="40"/>
      </w:pPr>
      <w:r>
        <w:t>Create referral mechanics: annual members receive a report/bonus for qualified referrals.</w:t>
      </w:r>
    </w:p>
    <w:p>
      <w:pPr>
        <w:pStyle w:val="ListBullet"/>
        <w:spacing w:after="40"/>
      </w:pPr>
      <w:r>
        <w:t>Audit the funnel and remove pages/CTAs that do not contribute to email growth, paid conversion or sponsor leads.</w:t>
      </w:r>
    </w:p>
    <w:p>
      <w:pPr>
        <w:pStyle w:val="ListBullet"/>
        <w:spacing w:after="40"/>
      </w:pPr>
      <w:r>
        <w:t>Target run-rate: cross $5,000/month in the modeled case.</w:t>
      </w:r>
    </w:p>
    <w:p>
      <w:pPr>
        <w:pStyle w:val="Heading2"/>
      </w:pPr>
      <w:r>
        <w:t>Month 4 — Optimize for Retention and Repeatability</w:t>
      </w:r>
    </w:p>
    <w:p>
      <w:pPr>
        <w:pStyle w:val="ListBullet"/>
        <w:spacing w:after="40"/>
      </w:pPr>
      <w:r>
        <w:t>Push annual subscriptions to improve cash flow and reduce churn.</w:t>
      </w:r>
    </w:p>
    <w:p>
      <w:pPr>
        <w:pStyle w:val="ListBullet"/>
        <w:spacing w:after="40"/>
      </w:pPr>
      <w:r>
        <w:t>Renew Month-2 sponsors into 90-day packages and raise rates if performance supports it.</w:t>
      </w:r>
    </w:p>
    <w:p>
      <w:pPr>
        <w:pStyle w:val="ListBullet"/>
        <w:spacing w:after="40"/>
      </w:pPr>
      <w:r>
        <w:t>Close one $750+ monthly data license or equivalent Professional accounts.</w:t>
      </w:r>
    </w:p>
    <w:p>
      <w:pPr>
        <w:pStyle w:val="ListBullet"/>
        <w:spacing w:after="40"/>
      </w:pPr>
      <w:r>
        <w:t>Document editorial, sponsor and data-verification processes so growth does not reduce trust.</w:t>
      </w:r>
    </w:p>
    <w:p>
      <w:pPr>
        <w:pStyle w:val="ListBullet"/>
        <w:spacing w:after="40"/>
      </w:pPr>
      <w:r>
        <w:t>Publish a quarterly 'State of XRP Complete' transparency note with source count, dataset size, methodology changes and product roadmap.</w:t>
      </w:r>
    </w:p>
    <w:p>
      <w:pPr>
        <w:pStyle w:val="ListBullet"/>
        <w:spacing w:after="40"/>
      </w:pPr>
      <w:r>
        <w:t>Set the next goal at $10,000 MRR using the same core products rather than adding more unrelated offerings.</w:t>
      </w:r>
    </w:p>
    <w:p>
      <w:pPr>
        <w:pStyle w:val="Heading1"/>
      </w:pPr>
      <w:r>
        <w:t>Recommended Weekly Operating Cadence</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1584"/>
            <w:tcMar>
              <w:top w:w="60" w:type="dxa"/>
              <w:start w:w="70" w:type="dxa"/>
              <w:bottom w:w="60" w:type="dxa"/>
              <w:end w:w="70" w:type="dxa"/>
            </w:tcMar>
            <w:vAlign w:val="center"/>
            <w:shd w:fill="E7E6E6"/>
          </w:tcPr>
          <w:p>
            <w:pPr>
              <w:spacing w:after="0" w:before="0" w:line="240" w:lineRule="auto"/>
            </w:pPr>
            <w:r>
              <w:rPr>
                <w:rFonts w:ascii="Aptos" w:hAnsi="Aptos"/>
                <w:b/>
                <w:sz w:val="16"/>
              </w:rPr>
              <w:t>Day</w:t>
            </w:r>
          </w:p>
        </w:tc>
        <w:tc>
          <w:tcPr>
            <w:tcW w:type="dxa" w:w="4608"/>
            <w:tcMar>
              <w:top w:w="60" w:type="dxa"/>
              <w:start w:w="70" w:type="dxa"/>
              <w:bottom w:w="60" w:type="dxa"/>
              <w:end w:w="70" w:type="dxa"/>
            </w:tcMar>
            <w:vAlign w:val="center"/>
            <w:shd w:fill="E7E6E6"/>
          </w:tcPr>
          <w:p>
            <w:pPr>
              <w:spacing w:after="0" w:before="0" w:line="240" w:lineRule="auto"/>
            </w:pPr>
            <w:r>
              <w:rPr>
                <w:rFonts w:ascii="Aptos" w:hAnsi="Aptos"/>
                <w:b/>
                <w:sz w:val="16"/>
              </w:rPr>
              <w:t>Commercial Work</w:t>
            </w:r>
          </w:p>
        </w:tc>
        <w:tc>
          <w:tcPr>
            <w:tcW w:type="dxa" w:w="4608"/>
            <w:tcMar>
              <w:top w:w="60" w:type="dxa"/>
              <w:start w:w="70" w:type="dxa"/>
              <w:bottom w:w="60" w:type="dxa"/>
              <w:end w:w="70" w:type="dxa"/>
            </w:tcMar>
            <w:vAlign w:val="center"/>
            <w:shd w:fill="E7E6E6"/>
          </w:tcPr>
          <w:p>
            <w:pPr>
              <w:spacing w:after="0" w:before="0" w:line="240" w:lineRule="auto"/>
            </w:pPr>
            <w:r>
              <w:rPr>
                <w:rFonts w:ascii="Aptos" w:hAnsi="Aptos"/>
                <w:b/>
                <w:sz w:val="16"/>
              </w:rPr>
              <w:t>Editorial/Product Work</w:t>
            </w:r>
          </w:p>
        </w:tc>
      </w:tr>
      <w:tr>
        <w:tc>
          <w:tcPr>
            <w:tcW w:type="dxa" w:w="1584"/>
            <w:tcMar>
              <w:top w:w="60" w:type="dxa"/>
              <w:start w:w="70" w:type="dxa"/>
              <w:bottom w:w="60" w:type="dxa"/>
              <w:end w:w="70" w:type="dxa"/>
            </w:tcMar>
            <w:vAlign w:val="center"/>
          </w:tcPr>
          <w:p>
            <w:pPr>
              <w:spacing w:after="0" w:before="0" w:line="240" w:lineRule="auto"/>
            </w:pPr>
            <w:r>
              <w:rPr>
                <w:rFonts w:ascii="Aptos" w:hAnsi="Aptos"/>
                <w:sz w:val="16"/>
              </w:rPr>
              <w:t>Monday</w:t>
            </w:r>
          </w:p>
        </w:tc>
        <w:tc>
          <w:tcPr>
            <w:tcW w:type="dxa" w:w="4608"/>
            <w:tcMar>
              <w:top w:w="60" w:type="dxa"/>
              <w:start w:w="70" w:type="dxa"/>
              <w:bottom w:w="60" w:type="dxa"/>
              <w:end w:w="70" w:type="dxa"/>
            </w:tcMar>
            <w:vAlign w:val="center"/>
          </w:tcPr>
          <w:p>
            <w:pPr>
              <w:spacing w:after="0" w:before="0" w:line="240" w:lineRule="auto"/>
            </w:pPr>
            <w:r>
              <w:rPr>
                <w:rFonts w:ascii="Aptos" w:hAnsi="Aptos"/>
                <w:sz w:val="16"/>
              </w:rPr>
              <w:t>Review funnel metrics; 10 sponsor/professional outreaches</w:t>
            </w:r>
          </w:p>
        </w:tc>
        <w:tc>
          <w:tcPr>
            <w:tcW w:type="dxa" w:w="4608"/>
            <w:tcMar>
              <w:top w:w="60" w:type="dxa"/>
              <w:start w:w="70" w:type="dxa"/>
              <w:bottom w:w="60" w:type="dxa"/>
              <w:end w:w="70" w:type="dxa"/>
            </w:tcMar>
            <w:vAlign w:val="center"/>
          </w:tcPr>
          <w:p>
            <w:pPr>
              <w:spacing w:after="0" w:before="0" w:line="240" w:lineRule="auto"/>
            </w:pPr>
            <w:r>
              <w:rPr>
                <w:rFonts w:ascii="Aptos" w:hAnsi="Aptos"/>
                <w:sz w:val="16"/>
              </w:rPr>
              <w:t>Weekly intelligence agenda; update paid trackers</w:t>
            </w:r>
          </w:p>
        </w:tc>
      </w:tr>
      <w:tr>
        <w:tc>
          <w:tcPr>
            <w:tcW w:type="dxa" w:w="1584"/>
            <w:tcMar>
              <w:top w:w="60" w:type="dxa"/>
              <w:start w:w="70" w:type="dxa"/>
              <w:bottom w:w="60" w:type="dxa"/>
              <w:end w:w="70" w:type="dxa"/>
            </w:tcMar>
            <w:vAlign w:val="center"/>
          </w:tcPr>
          <w:p>
            <w:pPr>
              <w:spacing w:after="0" w:before="0" w:line="240" w:lineRule="auto"/>
            </w:pPr>
            <w:r>
              <w:rPr>
                <w:rFonts w:ascii="Aptos" w:hAnsi="Aptos"/>
                <w:sz w:val="16"/>
              </w:rPr>
              <w:t>Tuesday</w:t>
            </w:r>
          </w:p>
        </w:tc>
        <w:tc>
          <w:tcPr>
            <w:tcW w:type="dxa" w:w="4608"/>
            <w:tcMar>
              <w:top w:w="60" w:type="dxa"/>
              <w:start w:w="70" w:type="dxa"/>
              <w:bottom w:w="60" w:type="dxa"/>
              <w:end w:w="70" w:type="dxa"/>
            </w:tcMar>
            <w:vAlign w:val="center"/>
          </w:tcPr>
          <w:p>
            <w:pPr>
              <w:spacing w:after="0" w:before="0" w:line="240" w:lineRule="auto"/>
            </w:pPr>
            <w:r>
              <w:rPr>
                <w:rFonts w:ascii="Aptos" w:hAnsi="Aptos"/>
                <w:sz w:val="16"/>
              </w:rPr>
              <w:t>Follow-ups; sponsor calls</w:t>
            </w:r>
          </w:p>
        </w:tc>
        <w:tc>
          <w:tcPr>
            <w:tcW w:type="dxa" w:w="4608"/>
            <w:tcMar>
              <w:top w:w="60" w:type="dxa"/>
              <w:start w:w="70" w:type="dxa"/>
              <w:bottom w:w="60" w:type="dxa"/>
              <w:end w:w="70" w:type="dxa"/>
            </w:tcMar>
            <w:vAlign w:val="center"/>
          </w:tcPr>
          <w:p>
            <w:pPr>
              <w:spacing w:after="0" w:before="0" w:line="240" w:lineRule="auto"/>
            </w:pPr>
            <w:r>
              <w:rPr>
                <w:rFonts w:ascii="Aptos" w:hAnsi="Aptos"/>
                <w:sz w:val="16"/>
              </w:rPr>
              <w:t>Long-form blog/research production</w:t>
            </w:r>
          </w:p>
        </w:tc>
      </w:tr>
      <w:tr>
        <w:tc>
          <w:tcPr>
            <w:tcW w:type="dxa" w:w="1584"/>
            <w:tcMar>
              <w:top w:w="60" w:type="dxa"/>
              <w:start w:w="70" w:type="dxa"/>
              <w:bottom w:w="60" w:type="dxa"/>
              <w:end w:w="70" w:type="dxa"/>
            </w:tcMar>
            <w:vAlign w:val="center"/>
          </w:tcPr>
          <w:p>
            <w:pPr>
              <w:spacing w:after="0" w:before="0" w:line="240" w:lineRule="auto"/>
            </w:pPr>
            <w:r>
              <w:rPr>
                <w:rFonts w:ascii="Aptos" w:hAnsi="Aptos"/>
                <w:sz w:val="16"/>
              </w:rPr>
              <w:t>Wednesday</w:t>
            </w:r>
          </w:p>
        </w:tc>
        <w:tc>
          <w:tcPr>
            <w:tcW w:type="dxa" w:w="4608"/>
            <w:tcMar>
              <w:top w:w="60" w:type="dxa"/>
              <w:start w:w="70" w:type="dxa"/>
              <w:bottom w:w="60" w:type="dxa"/>
              <w:end w:w="70" w:type="dxa"/>
            </w:tcMar>
            <w:vAlign w:val="center"/>
          </w:tcPr>
          <w:p>
            <w:pPr>
              <w:spacing w:after="0" w:before="0" w:line="240" w:lineRule="auto"/>
            </w:pPr>
            <w:r>
              <w:rPr>
                <w:rFonts w:ascii="Aptos" w:hAnsi="Aptos"/>
                <w:sz w:val="16"/>
              </w:rPr>
              <w:t>10 new outreaches; partner discussions</w:t>
            </w:r>
          </w:p>
        </w:tc>
        <w:tc>
          <w:tcPr>
            <w:tcW w:type="dxa" w:w="4608"/>
            <w:tcMar>
              <w:top w:w="60" w:type="dxa"/>
              <w:start w:w="70" w:type="dxa"/>
              <w:bottom w:w="60" w:type="dxa"/>
              <w:end w:w="70" w:type="dxa"/>
            </w:tcMar>
            <w:vAlign w:val="center"/>
          </w:tcPr>
          <w:p>
            <w:pPr>
              <w:spacing w:after="0" w:before="0" w:line="240" w:lineRule="auto"/>
            </w:pPr>
            <w:r>
              <w:rPr>
                <w:rFonts w:ascii="Aptos" w:hAnsi="Aptos"/>
                <w:sz w:val="16"/>
              </w:rPr>
              <w:t>Premium brief/data maintenance</w:t>
            </w:r>
          </w:p>
        </w:tc>
      </w:tr>
      <w:tr>
        <w:tc>
          <w:tcPr>
            <w:tcW w:type="dxa" w:w="1584"/>
            <w:tcMar>
              <w:top w:w="60" w:type="dxa"/>
              <w:start w:w="70" w:type="dxa"/>
              <w:bottom w:w="60" w:type="dxa"/>
              <w:end w:w="70" w:type="dxa"/>
            </w:tcMar>
            <w:vAlign w:val="center"/>
          </w:tcPr>
          <w:p>
            <w:pPr>
              <w:spacing w:after="0" w:before="0" w:line="240" w:lineRule="auto"/>
            </w:pPr>
            <w:r>
              <w:rPr>
                <w:rFonts w:ascii="Aptos" w:hAnsi="Aptos"/>
                <w:sz w:val="16"/>
              </w:rPr>
              <w:t>Thursday</w:t>
            </w:r>
          </w:p>
        </w:tc>
        <w:tc>
          <w:tcPr>
            <w:tcW w:type="dxa" w:w="4608"/>
            <w:tcMar>
              <w:top w:w="60" w:type="dxa"/>
              <w:start w:w="70" w:type="dxa"/>
              <w:bottom w:w="60" w:type="dxa"/>
              <w:end w:w="70" w:type="dxa"/>
            </w:tcMar>
            <w:vAlign w:val="center"/>
          </w:tcPr>
          <w:p>
            <w:pPr>
              <w:spacing w:after="0" w:before="0" w:line="240" w:lineRule="auto"/>
            </w:pPr>
            <w:r>
              <w:rPr>
                <w:rFonts w:ascii="Aptos" w:hAnsi="Aptos"/>
                <w:sz w:val="16"/>
              </w:rPr>
              <w:t>Sales follow-ups; affiliate/directory optimization</w:t>
            </w:r>
          </w:p>
        </w:tc>
        <w:tc>
          <w:tcPr>
            <w:tcW w:type="dxa" w:w="4608"/>
            <w:tcMar>
              <w:top w:w="60" w:type="dxa"/>
              <w:start w:w="70" w:type="dxa"/>
              <w:bottom w:w="60" w:type="dxa"/>
              <w:end w:w="70" w:type="dxa"/>
            </w:tcMar>
            <w:vAlign w:val="center"/>
          </w:tcPr>
          <w:p>
            <w:pPr>
              <w:spacing w:after="0" w:before="0" w:line="240" w:lineRule="auto"/>
            </w:pPr>
            <w:r>
              <w:rPr>
                <w:rFonts w:ascii="Aptos" w:hAnsi="Aptos"/>
                <w:sz w:val="16"/>
              </w:rPr>
              <w:t>Publish key analysis; social distribution</w:t>
            </w:r>
          </w:p>
        </w:tc>
      </w:tr>
      <w:tr>
        <w:tc>
          <w:tcPr>
            <w:tcW w:type="dxa" w:w="1584"/>
            <w:tcMar>
              <w:top w:w="60" w:type="dxa"/>
              <w:start w:w="70" w:type="dxa"/>
              <w:bottom w:w="60" w:type="dxa"/>
              <w:end w:w="70" w:type="dxa"/>
            </w:tcMar>
            <w:vAlign w:val="center"/>
          </w:tcPr>
          <w:p>
            <w:pPr>
              <w:spacing w:after="0" w:before="0" w:line="240" w:lineRule="auto"/>
            </w:pPr>
            <w:r>
              <w:rPr>
                <w:rFonts w:ascii="Aptos" w:hAnsi="Aptos"/>
                <w:sz w:val="16"/>
              </w:rPr>
              <w:t>Friday</w:t>
            </w:r>
          </w:p>
        </w:tc>
        <w:tc>
          <w:tcPr>
            <w:tcW w:type="dxa" w:w="4608"/>
            <w:tcMar>
              <w:top w:w="60" w:type="dxa"/>
              <w:start w:w="70" w:type="dxa"/>
              <w:bottom w:w="60" w:type="dxa"/>
              <w:end w:w="70" w:type="dxa"/>
            </w:tcMar>
            <w:vAlign w:val="center"/>
          </w:tcPr>
          <w:p>
            <w:pPr>
              <w:spacing w:after="0" w:before="0" w:line="240" w:lineRule="auto"/>
            </w:pPr>
            <w:r>
              <w:rPr>
                <w:rFonts w:ascii="Aptos" w:hAnsi="Aptos"/>
                <w:sz w:val="16"/>
              </w:rPr>
              <w:t>Billing/churn review; pipeline forecast</w:t>
            </w:r>
          </w:p>
        </w:tc>
        <w:tc>
          <w:tcPr>
            <w:tcW w:type="dxa" w:w="4608"/>
            <w:tcMar>
              <w:top w:w="60" w:type="dxa"/>
              <w:start w:w="70" w:type="dxa"/>
              <w:bottom w:w="60" w:type="dxa"/>
              <w:end w:w="70" w:type="dxa"/>
            </w:tcMar>
            <w:vAlign w:val="center"/>
          </w:tcPr>
          <w:p>
            <w:pPr>
              <w:spacing w:after="0" w:before="0" w:line="240" w:lineRule="auto"/>
            </w:pPr>
            <w:r>
              <w:rPr>
                <w:rFonts w:ascii="Aptos" w:hAnsi="Aptos"/>
                <w:sz w:val="16"/>
              </w:rPr>
              <w:t>Member-only weekly synthesis; archive updates</w:t>
            </w:r>
          </w:p>
        </w:tc>
      </w:tr>
      <w:tr>
        <w:tc>
          <w:tcPr>
            <w:tcW w:type="dxa" w:w="1584"/>
            <w:tcMar>
              <w:top w:w="60" w:type="dxa"/>
              <w:start w:w="70" w:type="dxa"/>
              <w:bottom w:w="60" w:type="dxa"/>
              <w:end w:w="70" w:type="dxa"/>
            </w:tcMar>
            <w:vAlign w:val="center"/>
          </w:tcPr>
          <w:p>
            <w:pPr>
              <w:spacing w:after="0" w:before="0" w:line="240" w:lineRule="auto"/>
            </w:pPr>
            <w:r>
              <w:rPr>
                <w:rFonts w:ascii="Aptos" w:hAnsi="Aptos"/>
                <w:sz w:val="16"/>
              </w:rPr>
              <w:t>Weekend</w:t>
            </w:r>
          </w:p>
        </w:tc>
        <w:tc>
          <w:tcPr>
            <w:tcW w:type="dxa" w:w="4608"/>
            <w:tcMar>
              <w:top w:w="60" w:type="dxa"/>
              <w:start w:w="70" w:type="dxa"/>
              <w:bottom w:w="60" w:type="dxa"/>
              <w:end w:w="70" w:type="dxa"/>
            </w:tcMar>
            <w:vAlign w:val="center"/>
          </w:tcPr>
          <w:p>
            <w:pPr>
              <w:spacing w:after="0" w:before="0" w:line="240" w:lineRule="auto"/>
            </w:pPr>
            <w:r>
              <w:rPr>
                <w:rFonts w:ascii="Aptos" w:hAnsi="Aptos"/>
                <w:sz w:val="16"/>
              </w:rPr>
              <w:t>Optional scheduled social promotion</w:t>
            </w:r>
          </w:p>
        </w:tc>
        <w:tc>
          <w:tcPr>
            <w:tcW w:type="dxa" w:w="4608"/>
            <w:tcMar>
              <w:top w:w="60" w:type="dxa"/>
              <w:start w:w="70" w:type="dxa"/>
              <w:bottom w:w="60" w:type="dxa"/>
              <w:end w:w="70" w:type="dxa"/>
            </w:tcMar>
            <w:vAlign w:val="center"/>
          </w:tcPr>
          <w:p>
            <w:pPr>
              <w:spacing w:after="0" w:before="0" w:line="240" w:lineRule="auto"/>
            </w:pPr>
            <w:r>
              <w:rPr>
                <w:rFonts w:ascii="Aptos" w:hAnsi="Aptos"/>
                <w:sz w:val="16"/>
              </w:rPr>
              <w:t>Monthly webinar/report preparation as needed</w:t>
            </w:r>
          </w:p>
        </w:tc>
      </w:tr>
    </w:tbl>
    <w:p>
      <w:pPr>
        <w:pStyle w:val="Heading1"/>
      </w:pPr>
      <w:r>
        <w:t>Financial Model and Break-Even Logic</w:t>
      </w:r>
    </w:p>
    <w:p>
      <w:r>
        <w:t>The objective should be treated as monthly recurring/repeatable revenue, not a one-time launch spike. The model below intentionally uses several independent channels so a weak month in sponsorships or report sales does not collapse the plan.</w:t>
      </w:r>
    </w:p>
    <w:tbl>
      <w:tblPr>
        <w:tblStyle w:val="TableGrid"/>
        <w:tblW w:type="auto" w:w="0"/>
        <w:jc w:val="center"/>
        <w:tblLook w:firstColumn="1" w:firstRow="1" w:lastColumn="0" w:lastRow="0" w:noHBand="0" w:noVBand="1" w:val="04A0"/>
      </w:tblPr>
      <w:tblGrid>
        <w:gridCol w:w="5112"/>
        <w:gridCol w:w="5112"/>
      </w:tblGrid>
      <w:tr>
        <w:trPr>
          <w:tblHeader/>
        </w:trPr>
        <w:tc>
          <w:tcPr>
            <w:tcW w:type="dxa" w:w="4752"/>
            <w:tcMar>
              <w:top w:w="60" w:type="dxa"/>
              <w:start w:w="70" w:type="dxa"/>
              <w:bottom w:w="60" w:type="dxa"/>
              <w:end w:w="70" w:type="dxa"/>
            </w:tcMar>
            <w:vAlign w:val="center"/>
            <w:shd w:fill="E7E6E6"/>
          </w:tcPr>
          <w:p>
            <w:pPr>
              <w:spacing w:after="0" w:before="0" w:line="240" w:lineRule="auto"/>
            </w:pPr>
            <w:r>
              <w:rPr>
                <w:rFonts w:ascii="Aptos" w:hAnsi="Aptos"/>
                <w:b/>
                <w:sz w:val="16"/>
              </w:rPr>
              <w:t>Metric</w:t>
            </w:r>
          </w:p>
        </w:tc>
        <w:tc>
          <w:tcPr>
            <w:tcW w:type="dxa" w:w="6048"/>
            <w:tcMar>
              <w:top w:w="60" w:type="dxa"/>
              <w:start w:w="70" w:type="dxa"/>
              <w:bottom w:w="60" w:type="dxa"/>
              <w:end w:w="70" w:type="dxa"/>
            </w:tcMar>
            <w:vAlign w:val="center"/>
            <w:shd w:fill="E7E6E6"/>
          </w:tcPr>
          <w:p>
            <w:pPr>
              <w:spacing w:after="0" w:before="0" w:line="240" w:lineRule="auto"/>
            </w:pPr>
            <w:r>
              <w:rPr>
                <w:rFonts w:ascii="Aptos" w:hAnsi="Aptos"/>
                <w:b/>
                <w:sz w:val="16"/>
              </w:rPr>
              <w:t>Target / Assumption</w:t>
            </w:r>
          </w:p>
        </w:tc>
      </w:tr>
      <w:tr>
        <w:tc>
          <w:tcPr>
            <w:tcW w:type="dxa" w:w="4752"/>
            <w:tcMar>
              <w:top w:w="60" w:type="dxa"/>
              <w:start w:w="70" w:type="dxa"/>
              <w:bottom w:w="60" w:type="dxa"/>
              <w:end w:w="70" w:type="dxa"/>
            </w:tcMar>
            <w:vAlign w:val="center"/>
          </w:tcPr>
          <w:p>
            <w:pPr>
              <w:spacing w:after="0" w:before="0" w:line="240" w:lineRule="auto"/>
            </w:pPr>
            <w:r>
              <w:rPr>
                <w:rFonts w:ascii="Aptos" w:hAnsi="Aptos"/>
                <w:sz w:val="16"/>
              </w:rPr>
              <w:t>Pro average realized monthly revenue</w:t>
            </w:r>
          </w:p>
        </w:tc>
        <w:tc>
          <w:tcPr>
            <w:tcW w:type="dxa" w:w="6048"/>
            <w:tcMar>
              <w:top w:w="60" w:type="dxa"/>
              <w:start w:w="70" w:type="dxa"/>
              <w:bottom w:w="60" w:type="dxa"/>
              <w:end w:w="70" w:type="dxa"/>
            </w:tcMar>
            <w:vAlign w:val="center"/>
          </w:tcPr>
          <w:p>
            <w:pPr>
              <w:spacing w:after="0" w:before="0" w:line="240" w:lineRule="auto"/>
            </w:pPr>
            <w:r>
              <w:rPr>
                <w:rFonts w:ascii="Aptos" w:hAnsi="Aptos"/>
                <w:sz w:val="16"/>
              </w:rPr>
              <w:t>$24 (mix of founding, monthly and annual equivalents)</w:t>
            </w:r>
          </w:p>
        </w:tc>
      </w:tr>
      <w:tr>
        <w:tc>
          <w:tcPr>
            <w:tcW w:type="dxa" w:w="4752"/>
            <w:tcMar>
              <w:top w:w="60" w:type="dxa"/>
              <w:start w:w="70" w:type="dxa"/>
              <w:bottom w:w="60" w:type="dxa"/>
              <w:end w:w="70" w:type="dxa"/>
            </w:tcMar>
            <w:vAlign w:val="center"/>
          </w:tcPr>
          <w:p>
            <w:pPr>
              <w:spacing w:after="0" w:before="0" w:line="240" w:lineRule="auto"/>
            </w:pPr>
            <w:r>
              <w:rPr>
                <w:rFonts w:ascii="Aptos" w:hAnsi="Aptos"/>
                <w:sz w:val="16"/>
              </w:rPr>
              <w:t>Professional price</w:t>
            </w:r>
          </w:p>
        </w:tc>
        <w:tc>
          <w:tcPr>
            <w:tcW w:type="dxa" w:w="6048"/>
            <w:tcMar>
              <w:top w:w="60" w:type="dxa"/>
              <w:start w:w="70" w:type="dxa"/>
              <w:bottom w:w="60" w:type="dxa"/>
              <w:end w:w="70" w:type="dxa"/>
            </w:tcMar>
            <w:vAlign w:val="center"/>
          </w:tcPr>
          <w:p>
            <w:pPr>
              <w:spacing w:after="0" w:before="0" w:line="240" w:lineRule="auto"/>
            </w:pPr>
            <w:r>
              <w:rPr>
                <w:rFonts w:ascii="Aptos" w:hAnsi="Aptos"/>
                <w:sz w:val="16"/>
              </w:rPr>
              <w:t>$99/month</w:t>
            </w:r>
          </w:p>
        </w:tc>
      </w:tr>
      <w:tr>
        <w:tc>
          <w:tcPr>
            <w:tcW w:type="dxa" w:w="4752"/>
            <w:tcMar>
              <w:top w:w="60" w:type="dxa"/>
              <w:start w:w="70" w:type="dxa"/>
              <w:bottom w:w="60" w:type="dxa"/>
              <w:end w:w="70" w:type="dxa"/>
            </w:tcMar>
            <w:vAlign w:val="center"/>
          </w:tcPr>
          <w:p>
            <w:pPr>
              <w:spacing w:after="0" w:before="0" w:line="240" w:lineRule="auto"/>
            </w:pPr>
            <w:r>
              <w:rPr>
                <w:rFonts w:ascii="Aptos" w:hAnsi="Aptos"/>
                <w:sz w:val="16"/>
              </w:rPr>
              <w:t>Direct sponsor average by Month 4</w:t>
            </w:r>
          </w:p>
        </w:tc>
        <w:tc>
          <w:tcPr>
            <w:tcW w:type="dxa" w:w="6048"/>
            <w:tcMar>
              <w:top w:w="60" w:type="dxa"/>
              <w:start w:w="70" w:type="dxa"/>
              <w:bottom w:w="60" w:type="dxa"/>
              <w:end w:w="70" w:type="dxa"/>
            </w:tcMar>
            <w:vAlign w:val="center"/>
          </w:tcPr>
          <w:p>
            <w:pPr>
              <w:spacing w:after="0" w:before="0" w:line="240" w:lineRule="auto"/>
            </w:pPr>
            <w:r>
              <w:rPr>
                <w:rFonts w:ascii="Aptos" w:hAnsi="Aptos"/>
                <w:sz w:val="16"/>
              </w:rPr>
              <w:t>$500/month</w:t>
            </w:r>
          </w:p>
        </w:tc>
      </w:tr>
      <w:tr>
        <w:tc>
          <w:tcPr>
            <w:tcW w:type="dxa" w:w="4752"/>
            <w:tcMar>
              <w:top w:w="60" w:type="dxa"/>
              <w:start w:w="70" w:type="dxa"/>
              <w:bottom w:w="60" w:type="dxa"/>
              <w:end w:w="70" w:type="dxa"/>
            </w:tcMar>
            <w:vAlign w:val="center"/>
          </w:tcPr>
          <w:p>
            <w:pPr>
              <w:spacing w:after="0" w:before="0" w:line="240" w:lineRule="auto"/>
            </w:pPr>
            <w:r>
              <w:rPr>
                <w:rFonts w:ascii="Aptos" w:hAnsi="Aptos"/>
                <w:sz w:val="16"/>
              </w:rPr>
              <w:t>Premium report average order value</w:t>
            </w:r>
          </w:p>
        </w:tc>
        <w:tc>
          <w:tcPr>
            <w:tcW w:type="dxa" w:w="6048"/>
            <w:tcMar>
              <w:top w:w="60" w:type="dxa"/>
              <w:start w:w="70" w:type="dxa"/>
              <w:bottom w:w="60" w:type="dxa"/>
              <w:end w:w="70" w:type="dxa"/>
            </w:tcMar>
            <w:vAlign w:val="center"/>
          </w:tcPr>
          <w:p>
            <w:pPr>
              <w:spacing w:after="0" w:before="0" w:line="240" w:lineRule="auto"/>
            </w:pPr>
            <w:r>
              <w:rPr>
                <w:rFonts w:ascii="Aptos" w:hAnsi="Aptos"/>
                <w:sz w:val="16"/>
              </w:rPr>
              <w:t>$35–$50</w:t>
            </w:r>
          </w:p>
        </w:tc>
      </w:tr>
      <w:tr>
        <w:tc>
          <w:tcPr>
            <w:tcW w:type="dxa" w:w="4752"/>
            <w:tcMar>
              <w:top w:w="60" w:type="dxa"/>
              <w:start w:w="70" w:type="dxa"/>
              <w:bottom w:w="60" w:type="dxa"/>
              <w:end w:w="70" w:type="dxa"/>
            </w:tcMar>
            <w:vAlign w:val="center"/>
          </w:tcPr>
          <w:p>
            <w:pPr>
              <w:spacing w:after="0" w:before="0" w:line="240" w:lineRule="auto"/>
            </w:pPr>
            <w:r>
              <w:rPr>
                <w:rFonts w:ascii="Aptos" w:hAnsi="Aptos"/>
                <w:sz w:val="16"/>
              </w:rPr>
              <w:t>Webinar average paid ticket</w:t>
            </w:r>
          </w:p>
        </w:tc>
        <w:tc>
          <w:tcPr>
            <w:tcW w:type="dxa" w:w="6048"/>
            <w:tcMar>
              <w:top w:w="60" w:type="dxa"/>
              <w:start w:w="70" w:type="dxa"/>
              <w:bottom w:w="60" w:type="dxa"/>
              <w:end w:w="70" w:type="dxa"/>
            </w:tcMar>
            <w:vAlign w:val="center"/>
          </w:tcPr>
          <w:p>
            <w:pPr>
              <w:spacing w:after="0" w:before="0" w:line="240" w:lineRule="auto"/>
            </w:pPr>
            <w:r>
              <w:rPr>
                <w:rFonts w:ascii="Aptos" w:hAnsi="Aptos"/>
                <w:sz w:val="16"/>
              </w:rPr>
              <w:t>$25–$35</w:t>
            </w:r>
          </w:p>
        </w:tc>
      </w:tr>
      <w:tr>
        <w:tc>
          <w:tcPr>
            <w:tcW w:type="dxa" w:w="4752"/>
            <w:tcMar>
              <w:top w:w="60" w:type="dxa"/>
              <w:start w:w="70" w:type="dxa"/>
              <w:bottom w:w="60" w:type="dxa"/>
              <w:end w:w="70" w:type="dxa"/>
            </w:tcMar>
            <w:vAlign w:val="center"/>
          </w:tcPr>
          <w:p>
            <w:pPr>
              <w:spacing w:after="0" w:before="0" w:line="240" w:lineRule="auto"/>
            </w:pPr>
            <w:r>
              <w:rPr>
                <w:rFonts w:ascii="Aptos" w:hAnsi="Aptos"/>
                <w:sz w:val="16"/>
              </w:rPr>
              <w:t>B2B data pilot</w:t>
            </w:r>
          </w:p>
        </w:tc>
        <w:tc>
          <w:tcPr>
            <w:tcW w:type="dxa" w:w="6048"/>
            <w:tcMar>
              <w:top w:w="60" w:type="dxa"/>
              <w:start w:w="70" w:type="dxa"/>
              <w:bottom w:w="60" w:type="dxa"/>
              <w:end w:w="70" w:type="dxa"/>
            </w:tcMar>
            <w:vAlign w:val="center"/>
          </w:tcPr>
          <w:p>
            <w:pPr>
              <w:spacing w:after="0" w:before="0" w:line="240" w:lineRule="auto"/>
            </w:pPr>
            <w:r>
              <w:rPr>
                <w:rFonts w:ascii="Aptos" w:hAnsi="Aptos"/>
                <w:sz w:val="16"/>
              </w:rPr>
              <w:t>$500–$750/month</w:t>
            </w:r>
          </w:p>
        </w:tc>
      </w:tr>
      <w:tr>
        <w:tc>
          <w:tcPr>
            <w:tcW w:type="dxa" w:w="4752"/>
            <w:tcMar>
              <w:top w:w="60" w:type="dxa"/>
              <w:start w:w="70" w:type="dxa"/>
              <w:bottom w:w="60" w:type="dxa"/>
              <w:end w:w="70" w:type="dxa"/>
            </w:tcMar>
            <w:vAlign w:val="center"/>
          </w:tcPr>
          <w:p>
            <w:pPr>
              <w:spacing w:after="0" w:before="0" w:line="240" w:lineRule="auto"/>
            </w:pPr>
            <w:r>
              <w:rPr>
                <w:rFonts w:ascii="Aptos" w:hAnsi="Aptos"/>
                <w:sz w:val="16"/>
              </w:rPr>
              <w:t>Estimated Month-4 gross revenue</w:t>
            </w:r>
          </w:p>
        </w:tc>
        <w:tc>
          <w:tcPr>
            <w:tcW w:type="dxa" w:w="6048"/>
            <w:tcMar>
              <w:top w:w="60" w:type="dxa"/>
              <w:start w:w="70" w:type="dxa"/>
              <w:bottom w:w="60" w:type="dxa"/>
              <w:end w:w="70" w:type="dxa"/>
            </w:tcMar>
            <w:vAlign w:val="center"/>
          </w:tcPr>
          <w:p>
            <w:pPr>
              <w:spacing w:after="0" w:before="0" w:line="240" w:lineRule="auto"/>
            </w:pPr>
            <w:r>
              <w:rPr>
                <w:rFonts w:ascii="Aptos" w:hAnsi="Aptos"/>
                <w:sz w:val="16"/>
              </w:rPr>
              <w:t>$7,690</w:t>
            </w:r>
          </w:p>
        </w:tc>
      </w:tr>
      <w:tr>
        <w:tc>
          <w:tcPr>
            <w:tcW w:type="dxa" w:w="4752"/>
            <w:tcMar>
              <w:top w:w="60" w:type="dxa"/>
              <w:start w:w="70" w:type="dxa"/>
              <w:bottom w:w="60" w:type="dxa"/>
              <w:end w:w="70" w:type="dxa"/>
            </w:tcMar>
            <w:vAlign w:val="center"/>
          </w:tcPr>
          <w:p>
            <w:pPr>
              <w:spacing w:after="0" w:before="0" w:line="240" w:lineRule="auto"/>
            </w:pPr>
            <w:r>
              <w:rPr>
                <w:rFonts w:ascii="Aptos" w:hAnsi="Aptos"/>
                <w:sz w:val="16"/>
              </w:rPr>
              <w:t>Illustrative direct software/payment/fulfillment costs</w:t>
            </w:r>
          </w:p>
        </w:tc>
        <w:tc>
          <w:tcPr>
            <w:tcW w:type="dxa" w:w="6048"/>
            <w:tcMar>
              <w:top w:w="60" w:type="dxa"/>
              <w:start w:w="70" w:type="dxa"/>
              <w:bottom w:w="60" w:type="dxa"/>
              <w:end w:w="70" w:type="dxa"/>
            </w:tcMar>
            <w:vAlign w:val="center"/>
          </w:tcPr>
          <w:p>
            <w:pPr>
              <w:spacing w:after="0" w:before="0" w:line="240" w:lineRule="auto"/>
            </w:pPr>
            <w:r>
              <w:rPr>
                <w:rFonts w:ascii="Aptos" w:hAnsi="Aptos"/>
                <w:sz w:val="16"/>
              </w:rPr>
              <w:t>$700–$1,400/month</w:t>
            </w:r>
          </w:p>
        </w:tc>
      </w:tr>
      <w:tr>
        <w:tc>
          <w:tcPr>
            <w:tcW w:type="dxa" w:w="4752"/>
            <w:tcMar>
              <w:top w:w="60" w:type="dxa"/>
              <w:start w:w="70" w:type="dxa"/>
              <w:bottom w:w="60" w:type="dxa"/>
              <w:end w:w="70" w:type="dxa"/>
            </w:tcMar>
            <w:vAlign w:val="center"/>
          </w:tcPr>
          <w:p>
            <w:pPr>
              <w:spacing w:after="0" w:before="0" w:line="240" w:lineRule="auto"/>
            </w:pPr>
            <w:r>
              <w:rPr>
                <w:rFonts w:ascii="Aptos" w:hAnsi="Aptos"/>
                <w:sz w:val="16"/>
              </w:rPr>
              <w:t>Illustrative Month-4 contribution before owner labor/tax</w:t>
            </w:r>
          </w:p>
        </w:tc>
        <w:tc>
          <w:tcPr>
            <w:tcW w:type="dxa" w:w="6048"/>
            <w:tcMar>
              <w:top w:w="60" w:type="dxa"/>
              <w:start w:w="70" w:type="dxa"/>
              <w:bottom w:w="60" w:type="dxa"/>
              <w:end w:w="70" w:type="dxa"/>
            </w:tcMar>
            <w:vAlign w:val="center"/>
          </w:tcPr>
          <w:p>
            <w:pPr>
              <w:spacing w:after="0" w:before="0" w:line="240" w:lineRule="auto"/>
            </w:pPr>
            <w:r>
              <w:rPr>
                <w:rFonts w:ascii="Aptos" w:hAnsi="Aptos"/>
                <w:sz w:val="16"/>
              </w:rPr>
              <w:t>Approximately $6,300–$7,000</w:t>
            </w:r>
          </w:p>
        </w:tc>
      </w:tr>
    </w:tbl>
    <w:p>
      <w:pPr>
        <w:pStyle w:val="Heading2"/>
      </w:pPr>
      <w:r>
        <w:t>Conservative / Target / Upside Month-4 Scenarios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trPr>
        <w:tc>
          <w:tcPr>
            <w:tcW w:type="dxa" w:w="1584"/>
            <w:tcMar>
              <w:top w:w="60" w:type="dxa"/>
              <w:start w:w="70" w:type="dxa"/>
              <w:bottom w:w="60" w:type="dxa"/>
              <w:end w:w="70" w:type="dxa"/>
            </w:tcMar>
            <w:vAlign w:val="center"/>
            <w:shd w:fill="E7E6E6"/>
          </w:tcPr>
          <w:p>
            <w:pPr>
              <w:spacing w:after="0" w:before="0" w:line="240" w:lineRule="auto"/>
            </w:pPr>
            <w:r>
              <w:rPr>
                <w:rFonts w:ascii="Aptos" w:hAnsi="Aptos"/>
                <w:b/>
                <w:sz w:val="16"/>
              </w:rPr>
              <w:t>Scenario</w:t>
            </w:r>
          </w:p>
        </w:tc>
        <w:tc>
          <w:tcPr>
            <w:tcW w:type="dxa" w:w="1944"/>
            <w:tcMar>
              <w:top w:w="60" w:type="dxa"/>
              <w:start w:w="70" w:type="dxa"/>
              <w:bottom w:w="60" w:type="dxa"/>
              <w:end w:w="70" w:type="dxa"/>
            </w:tcMar>
            <w:vAlign w:val="center"/>
            <w:shd w:fill="E7E6E6"/>
          </w:tcPr>
          <w:p>
            <w:pPr>
              <w:spacing w:after="0" w:before="0" w:line="240" w:lineRule="auto"/>
            </w:pPr>
            <w:r>
              <w:rPr>
                <w:rFonts w:ascii="Aptos" w:hAnsi="Aptos"/>
                <w:b/>
                <w:sz w:val="16"/>
              </w:rPr>
              <w:t>Paid Members</w:t>
            </w:r>
          </w:p>
        </w:tc>
        <w:tc>
          <w:tcPr>
            <w:tcW w:type="dxa" w:w="1728"/>
            <w:tcMar>
              <w:top w:w="60" w:type="dxa"/>
              <w:start w:w="70" w:type="dxa"/>
              <w:bottom w:w="60" w:type="dxa"/>
              <w:end w:w="70" w:type="dxa"/>
            </w:tcMar>
            <w:vAlign w:val="center"/>
            <w:shd w:fill="E7E6E6"/>
          </w:tcPr>
          <w:p>
            <w:pPr>
              <w:spacing w:after="0" w:before="0" w:line="240" w:lineRule="auto"/>
            </w:pPr>
            <w:r>
              <w:rPr>
                <w:rFonts w:ascii="Aptos" w:hAnsi="Aptos"/>
                <w:b/>
                <w:sz w:val="16"/>
              </w:rPr>
              <w:t>Professional</w:t>
            </w:r>
          </w:p>
        </w:tc>
        <w:tc>
          <w:tcPr>
            <w:tcW w:type="dxa" w:w="1800"/>
            <w:tcMar>
              <w:top w:w="60" w:type="dxa"/>
              <w:start w:w="70" w:type="dxa"/>
              <w:bottom w:w="60" w:type="dxa"/>
              <w:end w:w="70" w:type="dxa"/>
            </w:tcMar>
            <w:vAlign w:val="center"/>
            <w:shd w:fill="E7E6E6"/>
          </w:tcPr>
          <w:p>
            <w:pPr>
              <w:spacing w:after="0" w:before="0" w:line="240" w:lineRule="auto"/>
            </w:pPr>
            <w:r>
              <w:rPr>
                <w:rFonts w:ascii="Aptos" w:hAnsi="Aptos"/>
                <w:b/>
                <w:sz w:val="16"/>
              </w:rPr>
              <w:t>Sponsors/Data</w:t>
            </w:r>
          </w:p>
        </w:tc>
        <w:tc>
          <w:tcPr>
            <w:tcW w:type="dxa" w:w="1800"/>
            <w:tcMar>
              <w:top w:w="60" w:type="dxa"/>
              <w:start w:w="70" w:type="dxa"/>
              <w:bottom w:w="60" w:type="dxa"/>
              <w:end w:w="70" w:type="dxa"/>
            </w:tcMar>
            <w:vAlign w:val="center"/>
            <w:shd w:fill="E7E6E6"/>
          </w:tcPr>
          <w:p>
            <w:pPr>
              <w:spacing w:after="0" w:before="0" w:line="240" w:lineRule="auto"/>
            </w:pPr>
            <w:r>
              <w:rPr>
                <w:rFonts w:ascii="Aptos" w:hAnsi="Aptos"/>
                <w:b/>
                <w:sz w:val="16"/>
              </w:rPr>
              <w:t>Other Revenue</w:t>
            </w:r>
          </w:p>
        </w:tc>
        <w:tc>
          <w:tcPr>
            <w:tcW w:type="dxa" w:w="1944"/>
            <w:tcMar>
              <w:top w:w="60" w:type="dxa"/>
              <w:start w:w="70" w:type="dxa"/>
              <w:bottom w:w="60" w:type="dxa"/>
              <w:end w:w="70" w:type="dxa"/>
            </w:tcMar>
            <w:vAlign w:val="center"/>
            <w:shd w:fill="E7E6E6"/>
          </w:tcPr>
          <w:p>
            <w:pPr>
              <w:spacing w:after="0" w:before="0" w:line="240" w:lineRule="auto"/>
            </w:pPr>
            <w:r>
              <w:rPr>
                <w:rFonts w:ascii="Aptos" w:hAnsi="Aptos"/>
                <w:b/>
                <w:sz w:val="16"/>
              </w:rPr>
              <w:t>Month-4 Total</w:t>
            </w:r>
          </w:p>
        </w:tc>
      </w:tr>
      <w:tr>
        <w:tc>
          <w:tcPr>
            <w:tcW w:type="dxa" w:w="1584"/>
            <w:tcMar>
              <w:top w:w="60" w:type="dxa"/>
              <w:start w:w="70" w:type="dxa"/>
              <w:bottom w:w="60" w:type="dxa"/>
              <w:end w:w="70" w:type="dxa"/>
            </w:tcMar>
            <w:vAlign w:val="center"/>
          </w:tcPr>
          <w:p>
            <w:pPr>
              <w:spacing w:after="0" w:before="0" w:line="240" w:lineRule="auto"/>
            </w:pPr>
            <w:r>
              <w:rPr>
                <w:rFonts w:ascii="Aptos" w:hAnsi="Aptos"/>
                <w:sz w:val="16"/>
              </w:rPr>
              <w:t>Conservative</w:t>
            </w:r>
          </w:p>
        </w:tc>
        <w:tc>
          <w:tcPr>
            <w:tcW w:type="dxa" w:w="1944"/>
            <w:tcMar>
              <w:top w:w="60" w:type="dxa"/>
              <w:start w:w="70" w:type="dxa"/>
              <w:bottom w:w="60" w:type="dxa"/>
              <w:end w:w="70" w:type="dxa"/>
            </w:tcMar>
            <w:vAlign w:val="center"/>
          </w:tcPr>
          <w:p>
            <w:pPr>
              <w:spacing w:after="0" w:before="0" w:line="240" w:lineRule="auto"/>
            </w:pPr>
            <w:r>
              <w:rPr>
                <w:rFonts w:ascii="Aptos" w:hAnsi="Aptos"/>
                <w:sz w:val="16"/>
              </w:rPr>
              <w:t>60 Pro = $1,440</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5 = $495</w:t>
            </w:r>
          </w:p>
        </w:tc>
        <w:tc>
          <w:tcPr>
            <w:tcW w:type="dxa" w:w="1800"/>
            <w:tcMar>
              <w:top w:w="60" w:type="dxa"/>
              <w:start w:w="70" w:type="dxa"/>
              <w:bottom w:w="60" w:type="dxa"/>
              <w:end w:w="70" w:type="dxa"/>
            </w:tcMar>
            <w:vAlign w:val="center"/>
          </w:tcPr>
          <w:p>
            <w:pPr>
              <w:spacing w:after="0" w:before="0" w:line="240" w:lineRule="auto"/>
            </w:pPr>
            <w:r>
              <w:rPr>
                <w:rFonts w:ascii="Aptos" w:hAnsi="Aptos"/>
                <w:sz w:val="16"/>
              </w:rPr>
              <w:t>$1,000</w:t>
            </w:r>
          </w:p>
        </w:tc>
        <w:tc>
          <w:tcPr>
            <w:tcW w:type="dxa" w:w="1800"/>
            <w:tcMar>
              <w:top w:w="60" w:type="dxa"/>
              <w:start w:w="70" w:type="dxa"/>
              <w:bottom w:w="60" w:type="dxa"/>
              <w:end w:w="70" w:type="dxa"/>
            </w:tcMar>
            <w:vAlign w:val="center"/>
          </w:tcPr>
          <w:p>
            <w:pPr>
              <w:spacing w:after="0" w:before="0" w:line="240" w:lineRule="auto"/>
            </w:pPr>
            <w:r>
              <w:rPr>
                <w:rFonts w:ascii="Aptos" w:hAnsi="Aptos"/>
                <w:sz w:val="16"/>
              </w:rPr>
              <w:t>$1,000</w:t>
            </w:r>
          </w:p>
        </w:tc>
        <w:tc>
          <w:tcPr>
            <w:tcW w:type="dxa" w:w="1944"/>
            <w:tcMar>
              <w:top w:w="60" w:type="dxa"/>
              <w:start w:w="70" w:type="dxa"/>
              <w:bottom w:w="60" w:type="dxa"/>
              <w:end w:w="70" w:type="dxa"/>
            </w:tcMar>
            <w:vAlign w:val="center"/>
          </w:tcPr>
          <w:p>
            <w:pPr>
              <w:spacing w:after="0" w:before="0" w:line="240" w:lineRule="auto"/>
            </w:pPr>
            <w:r>
              <w:rPr>
                <w:rFonts w:ascii="Aptos" w:hAnsi="Aptos"/>
                <w:sz w:val="16"/>
              </w:rPr>
              <w:t>$3,935</w:t>
            </w:r>
          </w:p>
        </w:tc>
      </w:tr>
      <w:tr>
        <w:tc>
          <w:tcPr>
            <w:tcW w:type="dxa" w:w="1584"/>
            <w:tcMar>
              <w:top w:w="60" w:type="dxa"/>
              <w:start w:w="70" w:type="dxa"/>
              <w:bottom w:w="60" w:type="dxa"/>
              <w:end w:w="70" w:type="dxa"/>
            </w:tcMar>
            <w:vAlign w:val="center"/>
          </w:tcPr>
          <w:p>
            <w:pPr>
              <w:spacing w:after="0" w:before="0" w:line="240" w:lineRule="auto"/>
            </w:pPr>
            <w:r>
              <w:rPr>
                <w:rFonts w:ascii="Aptos" w:hAnsi="Aptos"/>
                <w:sz w:val="16"/>
              </w:rPr>
              <w:t>Target</w:t>
            </w:r>
          </w:p>
        </w:tc>
        <w:tc>
          <w:tcPr>
            <w:tcW w:type="dxa" w:w="1944"/>
            <w:tcMar>
              <w:top w:w="60" w:type="dxa"/>
              <w:start w:w="70" w:type="dxa"/>
              <w:bottom w:w="60" w:type="dxa"/>
              <w:end w:w="70" w:type="dxa"/>
            </w:tcMar>
            <w:vAlign w:val="center"/>
          </w:tcPr>
          <w:p>
            <w:pPr>
              <w:spacing w:after="0" w:before="0" w:line="240" w:lineRule="auto"/>
            </w:pPr>
            <w:r>
              <w:rPr>
                <w:rFonts w:ascii="Aptos" w:hAnsi="Aptos"/>
                <w:sz w:val="16"/>
              </w:rPr>
              <w:t>100 Pro = $2,400</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10 = $990</w:t>
            </w:r>
          </w:p>
        </w:tc>
        <w:tc>
          <w:tcPr>
            <w:tcW w:type="dxa" w:w="1800"/>
            <w:tcMar>
              <w:top w:w="60" w:type="dxa"/>
              <w:start w:w="70" w:type="dxa"/>
              <w:bottom w:w="60" w:type="dxa"/>
              <w:end w:w="70" w:type="dxa"/>
            </w:tcMar>
            <w:vAlign w:val="center"/>
          </w:tcPr>
          <w:p>
            <w:pPr>
              <w:spacing w:after="0" w:before="0" w:line="240" w:lineRule="auto"/>
            </w:pPr>
            <w:r>
              <w:rPr>
                <w:rFonts w:ascii="Aptos" w:hAnsi="Aptos"/>
                <w:sz w:val="16"/>
              </w:rPr>
              <w:t>$1,750</w:t>
            </w:r>
          </w:p>
        </w:tc>
        <w:tc>
          <w:tcPr>
            <w:tcW w:type="dxa" w:w="1800"/>
            <w:tcMar>
              <w:top w:w="60" w:type="dxa"/>
              <w:start w:w="70" w:type="dxa"/>
              <w:bottom w:w="60" w:type="dxa"/>
              <w:end w:w="70" w:type="dxa"/>
            </w:tcMar>
            <w:vAlign w:val="center"/>
          </w:tcPr>
          <w:p>
            <w:pPr>
              <w:spacing w:after="0" w:before="0" w:line="240" w:lineRule="auto"/>
            </w:pPr>
            <w:r>
              <w:rPr>
                <w:rFonts w:ascii="Aptos" w:hAnsi="Aptos"/>
                <w:sz w:val="16"/>
              </w:rPr>
              <w:t>$2,550</w:t>
            </w:r>
          </w:p>
        </w:tc>
        <w:tc>
          <w:tcPr>
            <w:tcW w:type="dxa" w:w="1944"/>
            <w:tcMar>
              <w:top w:w="60" w:type="dxa"/>
              <w:start w:w="70" w:type="dxa"/>
              <w:bottom w:w="60" w:type="dxa"/>
              <w:end w:w="70" w:type="dxa"/>
            </w:tcMar>
            <w:vAlign w:val="center"/>
          </w:tcPr>
          <w:p>
            <w:pPr>
              <w:spacing w:after="0" w:before="0" w:line="240" w:lineRule="auto"/>
            </w:pPr>
            <w:r>
              <w:rPr>
                <w:rFonts w:ascii="Aptos" w:hAnsi="Aptos"/>
                <w:sz w:val="16"/>
              </w:rPr>
              <w:t>$7,690</w:t>
            </w:r>
          </w:p>
        </w:tc>
      </w:tr>
      <w:tr>
        <w:tc>
          <w:tcPr>
            <w:tcW w:type="dxa" w:w="1584"/>
            <w:tcMar>
              <w:top w:w="60" w:type="dxa"/>
              <w:start w:w="70" w:type="dxa"/>
              <w:bottom w:w="60" w:type="dxa"/>
              <w:end w:w="70" w:type="dxa"/>
            </w:tcMar>
            <w:vAlign w:val="center"/>
          </w:tcPr>
          <w:p>
            <w:pPr>
              <w:spacing w:after="0" w:before="0" w:line="240" w:lineRule="auto"/>
            </w:pPr>
            <w:r>
              <w:rPr>
                <w:rFonts w:ascii="Aptos" w:hAnsi="Aptos"/>
                <w:sz w:val="16"/>
              </w:rPr>
              <w:t>Upside</w:t>
            </w:r>
          </w:p>
        </w:tc>
        <w:tc>
          <w:tcPr>
            <w:tcW w:type="dxa" w:w="1944"/>
            <w:tcMar>
              <w:top w:w="60" w:type="dxa"/>
              <w:start w:w="70" w:type="dxa"/>
              <w:bottom w:w="60" w:type="dxa"/>
              <w:end w:w="70" w:type="dxa"/>
            </w:tcMar>
            <w:vAlign w:val="center"/>
          </w:tcPr>
          <w:p>
            <w:pPr>
              <w:spacing w:after="0" w:before="0" w:line="240" w:lineRule="auto"/>
            </w:pPr>
            <w:r>
              <w:rPr>
                <w:rFonts w:ascii="Aptos" w:hAnsi="Aptos"/>
                <w:sz w:val="16"/>
              </w:rPr>
              <w:t>150 Pro = $3,600</w:t>
            </w:r>
          </w:p>
        </w:tc>
        <w:tc>
          <w:tcPr>
            <w:tcW w:type="dxa" w:w="1728"/>
            <w:tcMar>
              <w:top w:w="60" w:type="dxa"/>
              <w:start w:w="70" w:type="dxa"/>
              <w:bottom w:w="60" w:type="dxa"/>
              <w:end w:w="70" w:type="dxa"/>
            </w:tcMar>
            <w:vAlign w:val="center"/>
          </w:tcPr>
          <w:p>
            <w:pPr>
              <w:spacing w:after="0" w:before="0" w:line="240" w:lineRule="auto"/>
            </w:pPr>
            <w:r>
              <w:rPr>
                <w:rFonts w:ascii="Aptos" w:hAnsi="Aptos"/>
                <w:sz w:val="16"/>
              </w:rPr>
              <w:t>15 = $1,485</w:t>
            </w:r>
          </w:p>
        </w:tc>
        <w:tc>
          <w:tcPr>
            <w:tcW w:type="dxa" w:w="1800"/>
            <w:tcMar>
              <w:top w:w="60" w:type="dxa"/>
              <w:start w:w="70" w:type="dxa"/>
              <w:bottom w:w="60" w:type="dxa"/>
              <w:end w:w="70" w:type="dxa"/>
            </w:tcMar>
            <w:vAlign w:val="center"/>
          </w:tcPr>
          <w:p>
            <w:pPr>
              <w:spacing w:after="0" w:before="0" w:line="240" w:lineRule="auto"/>
            </w:pPr>
            <w:r>
              <w:rPr>
                <w:rFonts w:ascii="Aptos" w:hAnsi="Aptos"/>
                <w:sz w:val="16"/>
              </w:rPr>
              <w:t>$3,000</w:t>
            </w:r>
          </w:p>
        </w:tc>
        <w:tc>
          <w:tcPr>
            <w:tcW w:type="dxa" w:w="1800"/>
            <w:tcMar>
              <w:top w:w="60" w:type="dxa"/>
              <w:start w:w="70" w:type="dxa"/>
              <w:bottom w:w="60" w:type="dxa"/>
              <w:end w:w="70" w:type="dxa"/>
            </w:tcMar>
            <w:vAlign w:val="center"/>
          </w:tcPr>
          <w:p>
            <w:pPr>
              <w:spacing w:after="0" w:before="0" w:line="240" w:lineRule="auto"/>
            </w:pPr>
            <w:r>
              <w:rPr>
                <w:rFonts w:ascii="Aptos" w:hAnsi="Aptos"/>
                <w:sz w:val="16"/>
              </w:rPr>
              <w:t>$3,500</w:t>
            </w:r>
          </w:p>
        </w:tc>
        <w:tc>
          <w:tcPr>
            <w:tcW w:type="dxa" w:w="1944"/>
            <w:tcMar>
              <w:top w:w="60" w:type="dxa"/>
              <w:start w:w="70" w:type="dxa"/>
              <w:bottom w:w="60" w:type="dxa"/>
              <w:end w:w="70" w:type="dxa"/>
            </w:tcMar>
            <w:vAlign w:val="center"/>
          </w:tcPr>
          <w:p>
            <w:pPr>
              <w:spacing w:after="0" w:before="0" w:line="240" w:lineRule="auto"/>
            </w:pPr>
            <w:r>
              <w:rPr>
                <w:rFonts w:ascii="Aptos" w:hAnsi="Aptos"/>
                <w:sz w:val="16"/>
              </w:rPr>
              <w:t>$11,585</w:t>
            </w:r>
          </w:p>
        </w:tc>
      </w:tr>
    </w:tbl>
    <w:p>
      <w:r>
        <w:t>Prediction: the most likely path to the first $5,000/month is not 10 equally sized revenue streams. It is approximately 45–55% subscriptions, 20–30% sponsors/data licensing, and the remainder from reports, webinars, affiliates, sponsored research and listings. If traffic is still modest, B2B sales and Professional memberships become more important because each customer is worth far more than a display-ad impression.</w:t>
      </w:r>
    </w:p>
    <w:p>
      <w:pPr>
        <w:pStyle w:val="Heading1"/>
      </w:pPr>
      <w:r>
        <w:t>Estimated Four-Month Cash Budget</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3312"/>
            <w:tcMar>
              <w:top w:w="60" w:type="dxa"/>
              <w:start w:w="70" w:type="dxa"/>
              <w:bottom w:w="60" w:type="dxa"/>
              <w:end w:w="70" w:type="dxa"/>
            </w:tcMar>
            <w:vAlign w:val="center"/>
            <w:shd w:fill="E7E6E6"/>
          </w:tcPr>
          <w:p>
            <w:pPr>
              <w:spacing w:after="0" w:before="0" w:line="240" w:lineRule="auto"/>
            </w:pPr>
            <w:r>
              <w:rPr>
                <w:rFonts w:ascii="Aptos" w:hAnsi="Aptos"/>
                <w:b/>
                <w:sz w:val="16"/>
              </w:rPr>
              <w:t>Item</w:t>
            </w:r>
          </w:p>
        </w:tc>
        <w:tc>
          <w:tcPr>
            <w:tcW w:type="dxa" w:w="1584"/>
            <w:tcMar>
              <w:top w:w="60" w:type="dxa"/>
              <w:start w:w="70" w:type="dxa"/>
              <w:bottom w:w="60" w:type="dxa"/>
              <w:end w:w="70" w:type="dxa"/>
            </w:tcMar>
            <w:vAlign w:val="center"/>
            <w:shd w:fill="E7E6E6"/>
          </w:tcPr>
          <w:p>
            <w:pPr>
              <w:spacing w:after="0" w:before="0" w:line="240" w:lineRule="auto"/>
            </w:pPr>
            <w:r>
              <w:rPr>
                <w:rFonts w:ascii="Aptos" w:hAnsi="Aptos"/>
                <w:b/>
                <w:sz w:val="16"/>
              </w:rPr>
              <w:t>Lean</w:t>
            </w:r>
          </w:p>
        </w:tc>
        <w:tc>
          <w:tcPr>
            <w:tcW w:type="dxa" w:w="1584"/>
            <w:tcMar>
              <w:top w:w="60" w:type="dxa"/>
              <w:start w:w="70" w:type="dxa"/>
              <w:bottom w:w="60" w:type="dxa"/>
              <w:end w:w="70" w:type="dxa"/>
            </w:tcMar>
            <w:vAlign w:val="center"/>
            <w:shd w:fill="E7E6E6"/>
          </w:tcPr>
          <w:p>
            <w:pPr>
              <w:spacing w:after="0" w:before="0" w:line="240" w:lineRule="auto"/>
            </w:pPr>
            <w:r>
              <w:rPr>
                <w:rFonts w:ascii="Aptos" w:hAnsi="Aptos"/>
                <w:b/>
                <w:sz w:val="16"/>
              </w:rPr>
              <w:t>Enhanced</w:t>
            </w:r>
          </w:p>
        </w:tc>
        <w:tc>
          <w:tcPr>
            <w:tcW w:type="dxa" w:w="4320"/>
            <w:tcMar>
              <w:top w:w="60" w:type="dxa"/>
              <w:start w:w="70" w:type="dxa"/>
              <w:bottom w:w="60" w:type="dxa"/>
              <w:end w:w="70" w:type="dxa"/>
            </w:tcMar>
            <w:vAlign w:val="center"/>
            <w:shd w:fill="E7E6E6"/>
          </w:tcPr>
          <w:p>
            <w:pPr>
              <w:spacing w:after="0" w:before="0" w:line="240" w:lineRule="auto"/>
            </w:pPr>
            <w:r>
              <w:rPr>
                <w:rFonts w:ascii="Aptos" w:hAnsi="Aptos"/>
                <w:b/>
                <w:sz w:val="16"/>
              </w:rPr>
              <w:t>Notes</w:t>
            </w:r>
          </w:p>
        </w:tc>
      </w:tr>
      <w:tr>
        <w:tc>
          <w:tcPr>
            <w:tcW w:type="dxa" w:w="3312"/>
            <w:tcMar>
              <w:top w:w="60" w:type="dxa"/>
              <w:start w:w="70" w:type="dxa"/>
              <w:bottom w:w="60" w:type="dxa"/>
              <w:end w:w="70" w:type="dxa"/>
            </w:tcMar>
            <w:vAlign w:val="center"/>
          </w:tcPr>
          <w:p>
            <w:pPr>
              <w:spacing w:after="0" w:before="0" w:line="240" w:lineRule="auto"/>
            </w:pPr>
            <w:r>
              <w:rPr>
                <w:rFonts w:ascii="Aptos" w:hAnsi="Aptos"/>
                <w:sz w:val="16"/>
              </w:rPr>
              <w:t>Membership/payment implementation</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$100</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$1,000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Depends on current codebase and whether authentication already exists</w:t>
            </w:r>
          </w:p>
        </w:tc>
      </w:tr>
      <w:tr>
        <w:tc>
          <w:tcPr>
            <w:tcW w:type="dxa" w:w="3312"/>
            <w:tcMar>
              <w:top w:w="60" w:type="dxa"/>
              <w:start w:w="70" w:type="dxa"/>
              <w:bottom w:w="60" w:type="dxa"/>
              <w:end w:w="70" w:type="dxa"/>
            </w:tcMar>
            <w:vAlign w:val="center"/>
          </w:tcPr>
          <w:p>
            <w:pPr>
              <w:spacing w:after="0" w:before="0" w:line="240" w:lineRule="auto"/>
            </w:pPr>
            <w:r>
              <w:rPr>
                <w:rFonts w:ascii="Aptos" w:hAnsi="Aptos"/>
                <w:sz w:val="16"/>
              </w:rPr>
              <w:t>Email/newsletter platform</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$0–$150</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$300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Depends on list size/features</w:t>
            </w:r>
          </w:p>
        </w:tc>
      </w:tr>
      <w:tr>
        <w:tc>
          <w:tcPr>
            <w:tcW w:type="dxa" w:w="3312"/>
            <w:tcMar>
              <w:top w:w="60" w:type="dxa"/>
              <w:start w:w="70" w:type="dxa"/>
              <w:bottom w:w="60" w:type="dxa"/>
              <w:end w:w="70" w:type="dxa"/>
            </w:tcMar>
            <w:vAlign w:val="center"/>
          </w:tcPr>
          <w:p>
            <w:pPr>
              <w:spacing w:after="0" w:before="0" w:line="240" w:lineRule="auto"/>
            </w:pPr>
            <w:r>
              <w:rPr>
                <w:rFonts w:ascii="Aptos" w:hAnsi="Aptos"/>
                <w:sz w:val="16"/>
              </w:rPr>
              <w:t>Analytics/conversion tools</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$0</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$200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Free analytics can be sufficient initially</w:t>
            </w:r>
          </w:p>
        </w:tc>
      </w:tr>
      <w:tr>
        <w:tc>
          <w:tcPr>
            <w:tcW w:type="dxa" w:w="3312"/>
            <w:tcMar>
              <w:top w:w="60" w:type="dxa"/>
              <w:start w:w="70" w:type="dxa"/>
              <w:bottom w:w="60" w:type="dxa"/>
              <w:end w:w="70" w:type="dxa"/>
            </w:tcMar>
            <w:vAlign w:val="center"/>
          </w:tcPr>
          <w:p>
            <w:pPr>
              <w:spacing w:after="0" w:before="0" w:line="240" w:lineRule="auto"/>
            </w:pPr>
            <w:r>
              <w:rPr>
                <w:rFonts w:ascii="Aptos" w:hAnsi="Aptos"/>
                <w:sz w:val="16"/>
              </w:rPr>
              <w:t>Media kit / report design</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$0</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$500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Can be produced internally</w:t>
            </w:r>
          </w:p>
        </w:tc>
      </w:tr>
      <w:tr>
        <w:tc>
          <w:tcPr>
            <w:tcW w:type="dxa" w:w="3312"/>
            <w:tcMar>
              <w:top w:w="60" w:type="dxa"/>
              <w:start w:w="70" w:type="dxa"/>
              <w:bottom w:w="60" w:type="dxa"/>
              <w:end w:w="70" w:type="dxa"/>
            </w:tcMar>
            <w:vAlign w:val="center"/>
          </w:tcPr>
          <w:p>
            <w:pPr>
              <w:spacing w:after="0" w:before="0" w:line="240" w:lineRule="auto"/>
            </w:pPr>
            <w:r>
              <w:rPr>
                <w:rFonts w:ascii="Aptos" w:hAnsi="Aptos"/>
                <w:sz w:val="16"/>
              </w:rPr>
              <w:t>Webinar tooling</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$0</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$200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Monthly software if needed</w:t>
            </w:r>
          </w:p>
        </w:tc>
      </w:tr>
      <w:tr>
        <w:tc>
          <w:tcPr>
            <w:tcW w:type="dxa" w:w="3312"/>
            <w:tcMar>
              <w:top w:w="60" w:type="dxa"/>
              <w:start w:w="70" w:type="dxa"/>
              <w:bottom w:w="60" w:type="dxa"/>
              <w:end w:w="70" w:type="dxa"/>
            </w:tcMar>
            <w:vAlign w:val="center"/>
          </w:tcPr>
          <w:p>
            <w:pPr>
              <w:spacing w:after="0" w:before="0" w:line="240" w:lineRule="auto"/>
            </w:pPr>
            <w:r>
              <w:rPr>
                <w:rFonts w:ascii="Aptos" w:hAnsi="Aptos"/>
                <w:sz w:val="16"/>
              </w:rPr>
              <w:t>Legal/compliance review</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$500</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$2,000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Recommended for terms, sponsor/affiliate disclosures and data license</w:t>
            </w:r>
          </w:p>
        </w:tc>
      </w:tr>
      <w:tr>
        <w:tc>
          <w:tcPr>
            <w:tcW w:type="dxa" w:w="3312"/>
            <w:tcMar>
              <w:top w:w="60" w:type="dxa"/>
              <w:start w:w="70" w:type="dxa"/>
              <w:bottom w:w="60" w:type="dxa"/>
              <w:end w:w="70" w:type="dxa"/>
            </w:tcMar>
            <w:vAlign w:val="center"/>
          </w:tcPr>
          <w:p>
            <w:pPr>
              <w:spacing w:after="0" w:before="0" w:line="240" w:lineRule="auto"/>
            </w:pPr>
            <w:r>
              <w:rPr>
                <w:rFonts w:ascii="Aptos" w:hAnsi="Aptos"/>
                <w:sz w:val="16"/>
              </w:rPr>
              <w:t>Data export/API work</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$250</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$1,500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Build exports before API</w:t>
            </w:r>
          </w:p>
        </w:tc>
      </w:tr>
      <w:tr>
        <w:tc>
          <w:tcPr>
            <w:tcW w:type="dxa" w:w="3312"/>
            <w:tcMar>
              <w:top w:w="60" w:type="dxa"/>
              <w:start w:w="70" w:type="dxa"/>
              <w:bottom w:w="60" w:type="dxa"/>
              <w:end w:w="70" w:type="dxa"/>
            </w:tcMar>
            <w:vAlign w:val="center"/>
          </w:tcPr>
          <w:p>
            <w:pPr>
              <w:spacing w:after="0" w:before="0" w:line="240" w:lineRule="auto"/>
            </w:pPr>
            <w:r>
              <w:rPr>
                <w:rFonts w:ascii="Aptos" w:hAnsi="Aptos"/>
                <w:sz w:val="16"/>
              </w:rPr>
              <w:t>Promotion/paid acquisition</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$0</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$1,000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Not required in first 60 days; test only after conversion is proven</w:t>
            </w:r>
          </w:p>
        </w:tc>
      </w:tr>
      <w:tr>
        <w:tc>
          <w:tcPr>
            <w:tcW w:type="dxa" w:w="3312"/>
            <w:tcMar>
              <w:top w:w="60" w:type="dxa"/>
              <w:start w:w="70" w:type="dxa"/>
              <w:bottom w:w="60" w:type="dxa"/>
              <w:end w:w="70" w:type="dxa"/>
            </w:tcMar>
            <w:vAlign w:val="center"/>
          </w:tcPr>
          <w:p>
            <w:pPr>
              <w:spacing w:after="0" w:before="0" w:line="240" w:lineRule="auto"/>
            </w:pPr>
            <w:r>
              <w:rPr>
                <w:rFonts w:ascii="Aptos" w:hAnsi="Aptos"/>
                <w:sz w:val="16"/>
              </w:rPr>
              <w:t>TOTAL</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~$850</w:t>
            </w:r>
          </w:p>
        </w:tc>
        <w:tc>
          <w:tcPr>
            <w:tcW w:type="dxa" w:w="1584"/>
            <w:tcMar>
              <w:top w:w="60" w:type="dxa"/>
              <w:start w:w="70" w:type="dxa"/>
              <w:bottom w:w="60" w:type="dxa"/>
              <w:end w:w="70" w:type="dxa"/>
            </w:tcMar>
            <w:vAlign w:val="center"/>
          </w:tcPr>
          <w:p>
            <w:pPr>
              <w:spacing w:after="0" w:before="0" w:line="240" w:lineRule="auto"/>
            </w:pPr>
            <w:r>
              <w:rPr>
                <w:rFonts w:ascii="Aptos" w:hAnsi="Aptos"/>
                <w:sz w:val="16"/>
              </w:rPr>
              <w:t>~$6,700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Owner labor excluded</w:t>
            </w:r>
          </w:p>
        </w:tc>
      </w:tr>
    </w:tbl>
    <w:p>
      <w:pPr>
        <w:pStyle w:val="Heading2"/>
      </w:pPr>
      <w:r>
        <w:t>Do Not Spend Heavily on Paid Traffic Yet</w:t>
      </w:r>
    </w:p>
    <w:p>
      <w:r>
        <w:t>Until the site can convert visitors into email subscribers and paid members, buying traffic only accelerates leakage. The first dollars should go toward conversion infrastructure, professional legal/compliance language, and making the datasets easier to sell.</w:t>
      </w:r>
    </w:p>
    <w:p>
      <w:pPr>
        <w:pStyle w:val="Heading1"/>
      </w:pPr>
      <w:r>
        <w:t>The Required Conversion Funnel</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1728"/>
            <w:tcMar>
              <w:top w:w="60" w:type="dxa"/>
              <w:start w:w="70" w:type="dxa"/>
              <w:bottom w:w="60" w:type="dxa"/>
              <w:end w:w="70" w:type="dxa"/>
            </w:tcMar>
            <w:vAlign w:val="center"/>
            <w:shd w:fill="E7E6E6"/>
          </w:tcPr>
          <w:p>
            <w:pPr>
              <w:spacing w:after="0" w:before="0" w:line="240" w:lineRule="auto"/>
            </w:pPr>
            <w:r>
              <w:rPr>
                <w:rFonts w:ascii="Aptos" w:hAnsi="Aptos"/>
                <w:b/>
                <w:sz w:val="16"/>
              </w:rPr>
              <w:t>Stage</w:t>
            </w:r>
          </w:p>
        </w:tc>
        <w:tc>
          <w:tcPr>
            <w:tcW w:type="dxa" w:w="5904"/>
            <w:tcMar>
              <w:top w:w="60" w:type="dxa"/>
              <w:start w:w="70" w:type="dxa"/>
              <w:bottom w:w="60" w:type="dxa"/>
              <w:end w:w="70" w:type="dxa"/>
            </w:tcMar>
            <w:vAlign w:val="center"/>
            <w:shd w:fill="E7E6E6"/>
          </w:tcPr>
          <w:p>
            <w:pPr>
              <w:spacing w:after="0" w:before="0" w:line="240" w:lineRule="auto"/>
            </w:pPr>
            <w:r>
              <w:rPr>
                <w:rFonts w:ascii="Aptos" w:hAnsi="Aptos"/>
                <w:b/>
                <w:sz w:val="16"/>
              </w:rPr>
              <w:t>User Experience</w:t>
            </w:r>
          </w:p>
        </w:tc>
        <w:tc>
          <w:tcPr>
            <w:tcW w:type="dxa" w:w="3456"/>
            <w:tcMar>
              <w:top w:w="60" w:type="dxa"/>
              <w:start w:w="70" w:type="dxa"/>
              <w:bottom w:w="60" w:type="dxa"/>
              <w:end w:w="70" w:type="dxa"/>
            </w:tcMar>
            <w:vAlign w:val="center"/>
            <w:shd w:fill="E7E6E6"/>
          </w:tcPr>
          <w:p>
            <w:pPr>
              <w:spacing w:after="0" w:before="0" w:line="240" w:lineRule="auto"/>
            </w:pPr>
            <w:r>
              <w:rPr>
                <w:rFonts w:ascii="Aptos" w:hAnsi="Aptos"/>
                <w:b/>
                <w:sz w:val="16"/>
              </w:rPr>
              <w:t>Target Action</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Discovery</w:t>
            </w:r>
          </w:p>
        </w:tc>
        <w:tc>
          <w:tcPr>
            <w:tcW w:type="dxa" w:w="5904"/>
            <w:tcMar>
              <w:top w:w="60" w:type="dxa"/>
              <w:start w:w="70" w:type="dxa"/>
              <w:bottom w:w="60" w:type="dxa"/>
              <w:end w:w="70" w:type="dxa"/>
            </w:tcMar>
            <w:vAlign w:val="center"/>
          </w:tcPr>
          <w:p>
            <w:pPr>
              <w:spacing w:after="0" w:before="0" w:line="240" w:lineRule="auto"/>
            </w:pPr>
            <w:r>
              <w:rPr>
                <w:rFonts w:ascii="Aptos" w:hAnsi="Aptos"/>
                <w:sz w:val="16"/>
              </w:rPr>
              <w:t>Google, Instagram/social, referrals, XRP news links</w:t>
            </w:r>
          </w:p>
        </w:tc>
        <w:tc>
          <w:tcPr>
            <w:tcW w:type="dxa" w:w="3456"/>
            <w:tcMar>
              <w:top w:w="60" w:type="dxa"/>
              <w:start w:w="70" w:type="dxa"/>
              <w:bottom w:w="60" w:type="dxa"/>
              <w:end w:w="70" w:type="dxa"/>
            </w:tcMar>
            <w:vAlign w:val="center"/>
          </w:tcPr>
          <w:p>
            <w:pPr>
              <w:spacing w:after="0" w:before="0" w:line="240" w:lineRule="auto"/>
            </w:pPr>
            <w:r>
              <w:rPr>
                <w:rFonts w:ascii="Aptos" w:hAnsi="Aptos"/>
                <w:sz w:val="16"/>
              </w:rPr>
              <w:t>Visit free article/dashboard</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Capture</w:t>
            </w:r>
          </w:p>
        </w:tc>
        <w:tc>
          <w:tcPr>
            <w:tcW w:type="dxa" w:w="5904"/>
            <w:tcMar>
              <w:top w:w="60" w:type="dxa"/>
              <w:start w:w="70" w:type="dxa"/>
              <w:bottom w:w="60" w:type="dxa"/>
              <w:end w:w="70" w:type="dxa"/>
            </w:tcMar>
            <w:vAlign w:val="center"/>
          </w:tcPr>
          <w:p>
            <w:pPr>
              <w:spacing w:after="0" w:before="0" w:line="240" w:lineRule="auto"/>
            </w:pPr>
            <w:r>
              <w:rPr>
                <w:rFonts w:ascii="Aptos" w:hAnsi="Aptos"/>
                <w:sz w:val="16"/>
              </w:rPr>
              <w:t>Free daily brief / alert / sample report</w:t>
            </w:r>
          </w:p>
        </w:tc>
        <w:tc>
          <w:tcPr>
            <w:tcW w:type="dxa" w:w="3456"/>
            <w:tcMar>
              <w:top w:w="60" w:type="dxa"/>
              <w:start w:w="70" w:type="dxa"/>
              <w:bottom w:w="60" w:type="dxa"/>
              <w:end w:w="70" w:type="dxa"/>
            </w:tcMar>
            <w:vAlign w:val="center"/>
          </w:tcPr>
          <w:p>
            <w:pPr>
              <w:spacing w:after="0" w:before="0" w:line="240" w:lineRule="auto"/>
            </w:pPr>
            <w:r>
              <w:rPr>
                <w:rFonts w:ascii="Aptos" w:hAnsi="Aptos"/>
                <w:sz w:val="16"/>
              </w:rPr>
              <w:t>Provide email</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Trust</w:t>
            </w:r>
          </w:p>
        </w:tc>
        <w:tc>
          <w:tcPr>
            <w:tcW w:type="dxa" w:w="5904"/>
            <w:tcMar>
              <w:top w:w="60" w:type="dxa"/>
              <w:start w:w="70" w:type="dxa"/>
              <w:bottom w:w="60" w:type="dxa"/>
              <w:end w:w="70" w:type="dxa"/>
            </w:tcMar>
            <w:vAlign w:val="center"/>
          </w:tcPr>
          <w:p>
            <w:pPr>
              <w:spacing w:after="0" w:before="0" w:line="240" w:lineRule="auto"/>
            </w:pPr>
            <w:r>
              <w:rPr>
                <w:rFonts w:ascii="Aptos" w:hAnsi="Aptos"/>
                <w:sz w:val="16"/>
              </w:rPr>
              <w:t>Daily brief, methodology, sourced research, Bridge previews</w:t>
            </w:r>
          </w:p>
        </w:tc>
        <w:tc>
          <w:tcPr>
            <w:tcW w:type="dxa" w:w="3456"/>
            <w:tcMar>
              <w:top w:w="60" w:type="dxa"/>
              <w:start w:w="70" w:type="dxa"/>
              <w:bottom w:w="60" w:type="dxa"/>
              <w:end w:w="70" w:type="dxa"/>
            </w:tcMar>
            <w:vAlign w:val="center"/>
          </w:tcPr>
          <w:p>
            <w:pPr>
              <w:spacing w:after="0" w:before="0" w:line="240" w:lineRule="auto"/>
            </w:pPr>
            <w:r>
              <w:rPr>
                <w:rFonts w:ascii="Aptos" w:hAnsi="Aptos"/>
                <w:sz w:val="16"/>
              </w:rPr>
              <w:t>Return repeatedly</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Conversion</w:t>
            </w:r>
          </w:p>
        </w:tc>
        <w:tc>
          <w:tcPr>
            <w:tcW w:type="dxa" w:w="5904"/>
            <w:tcMar>
              <w:top w:w="60" w:type="dxa"/>
              <w:start w:w="70" w:type="dxa"/>
              <w:bottom w:w="60" w:type="dxa"/>
              <w:end w:w="70" w:type="dxa"/>
            </w:tcMar>
            <w:vAlign w:val="center"/>
          </w:tcPr>
          <w:p>
            <w:pPr>
              <w:spacing w:after="0" w:before="0" w:line="240" w:lineRule="auto"/>
            </w:pPr>
            <w:r>
              <w:rPr>
                <w:rFonts w:ascii="Aptos" w:hAnsi="Aptos"/>
                <w:sz w:val="16"/>
              </w:rPr>
              <w:t>Pro trial/offer, premium report, webinar</w:t>
            </w:r>
          </w:p>
        </w:tc>
        <w:tc>
          <w:tcPr>
            <w:tcW w:type="dxa" w:w="3456"/>
            <w:tcMar>
              <w:top w:w="60" w:type="dxa"/>
              <w:start w:w="70" w:type="dxa"/>
              <w:bottom w:w="60" w:type="dxa"/>
              <w:end w:w="70" w:type="dxa"/>
            </w:tcMar>
            <w:vAlign w:val="center"/>
          </w:tcPr>
          <w:p>
            <w:pPr>
              <w:spacing w:after="0" w:before="0" w:line="240" w:lineRule="auto"/>
            </w:pPr>
            <w:r>
              <w:rPr>
                <w:rFonts w:ascii="Aptos" w:hAnsi="Aptos"/>
                <w:sz w:val="16"/>
              </w:rPr>
              <w:t>First purchase</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Expansion</w:t>
            </w:r>
          </w:p>
        </w:tc>
        <w:tc>
          <w:tcPr>
            <w:tcW w:type="dxa" w:w="5904"/>
            <w:tcMar>
              <w:top w:w="60" w:type="dxa"/>
              <w:start w:w="70" w:type="dxa"/>
              <w:bottom w:w="60" w:type="dxa"/>
              <w:end w:w="70" w:type="dxa"/>
            </w:tcMar>
            <w:vAlign w:val="center"/>
          </w:tcPr>
          <w:p>
            <w:pPr>
              <w:spacing w:after="0" w:before="0" w:line="240" w:lineRule="auto"/>
            </w:pPr>
            <w:r>
              <w:rPr>
                <w:rFonts w:ascii="Aptos" w:hAnsi="Aptos"/>
                <w:sz w:val="16"/>
              </w:rPr>
              <w:t>Professional tier, annual plan, data pack</w:t>
            </w:r>
          </w:p>
        </w:tc>
        <w:tc>
          <w:tcPr>
            <w:tcW w:type="dxa" w:w="3456"/>
            <w:tcMar>
              <w:top w:w="60" w:type="dxa"/>
              <w:start w:w="70" w:type="dxa"/>
              <w:bottom w:w="60" w:type="dxa"/>
              <w:end w:w="70" w:type="dxa"/>
            </w:tcMar>
            <w:vAlign w:val="center"/>
          </w:tcPr>
          <w:p>
            <w:pPr>
              <w:spacing w:after="0" w:before="0" w:line="240" w:lineRule="auto"/>
            </w:pPr>
            <w:r>
              <w:rPr>
                <w:rFonts w:ascii="Aptos" w:hAnsi="Aptos"/>
                <w:sz w:val="16"/>
              </w:rPr>
              <w:t>Increase ARPU</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Retention</w:t>
            </w:r>
          </w:p>
        </w:tc>
        <w:tc>
          <w:tcPr>
            <w:tcW w:type="dxa" w:w="5904"/>
            <w:tcMar>
              <w:top w:w="60" w:type="dxa"/>
              <w:start w:w="70" w:type="dxa"/>
              <w:bottom w:w="60" w:type="dxa"/>
              <w:end w:w="70" w:type="dxa"/>
            </w:tcMar>
            <w:vAlign w:val="center"/>
          </w:tcPr>
          <w:p>
            <w:pPr>
              <w:spacing w:after="0" w:before="0" w:line="240" w:lineRule="auto"/>
            </w:pPr>
            <w:r>
              <w:rPr>
                <w:rFonts w:ascii="Aptos" w:hAnsi="Aptos"/>
                <w:sz w:val="16"/>
              </w:rPr>
              <w:t>Alerts, archive, monthly event, updated datasets</w:t>
            </w:r>
          </w:p>
        </w:tc>
        <w:tc>
          <w:tcPr>
            <w:tcW w:type="dxa" w:w="3456"/>
            <w:tcMar>
              <w:top w:w="60" w:type="dxa"/>
              <w:start w:w="70" w:type="dxa"/>
              <w:bottom w:w="60" w:type="dxa"/>
              <w:end w:w="70" w:type="dxa"/>
            </w:tcMar>
            <w:vAlign w:val="center"/>
          </w:tcPr>
          <w:p>
            <w:pPr>
              <w:spacing w:after="0" w:before="0" w:line="240" w:lineRule="auto"/>
            </w:pPr>
            <w:r>
              <w:rPr>
                <w:rFonts w:ascii="Aptos" w:hAnsi="Aptos"/>
                <w:sz w:val="16"/>
              </w:rPr>
              <w:t>Renew</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Advocacy</w:t>
            </w:r>
          </w:p>
        </w:tc>
        <w:tc>
          <w:tcPr>
            <w:tcW w:type="dxa" w:w="5904"/>
            <w:tcMar>
              <w:top w:w="60" w:type="dxa"/>
              <w:start w:w="70" w:type="dxa"/>
              <w:bottom w:w="60" w:type="dxa"/>
              <w:end w:w="70" w:type="dxa"/>
            </w:tcMar>
            <w:vAlign w:val="center"/>
          </w:tcPr>
          <w:p>
            <w:pPr>
              <w:spacing w:after="0" w:before="0" w:line="240" w:lineRule="auto"/>
            </w:pPr>
            <w:r>
              <w:rPr>
                <w:rFonts w:ascii="Aptos" w:hAnsi="Aptos"/>
                <w:sz w:val="16"/>
              </w:rPr>
              <w:t>Referral bonus, shareable charts/reports</w:t>
            </w:r>
          </w:p>
        </w:tc>
        <w:tc>
          <w:tcPr>
            <w:tcW w:type="dxa" w:w="3456"/>
            <w:tcMar>
              <w:top w:w="60" w:type="dxa"/>
              <w:start w:w="70" w:type="dxa"/>
              <w:bottom w:w="60" w:type="dxa"/>
              <w:end w:w="70" w:type="dxa"/>
            </w:tcMar>
            <w:vAlign w:val="center"/>
          </w:tcPr>
          <w:p>
            <w:pPr>
              <w:spacing w:after="0" w:before="0" w:line="240" w:lineRule="auto"/>
            </w:pPr>
            <w:r>
              <w:rPr>
                <w:rFonts w:ascii="Aptos" w:hAnsi="Aptos"/>
                <w:sz w:val="16"/>
              </w:rPr>
              <w:t>Bring another reader</w:t>
            </w:r>
          </w:p>
        </w:tc>
      </w:tr>
    </w:tbl>
    <w:p>
      <w:pPr>
        <w:pStyle w:val="Heading2"/>
      </w:pPr>
      <w:r>
        <w:t>Homepage Changes I Would Make First</w:t>
      </w:r>
    </w:p>
    <w:p>
      <w:pPr>
        <w:pStyle w:val="ListNumber"/>
        <w:spacing w:after="40"/>
      </w:pPr>
      <w:r>
        <w:t>Add one clear primary CTA above the fold: “Get the Daily XRP Complete Brief.”</w:t>
      </w:r>
    </w:p>
    <w:p>
      <w:pPr>
        <w:pStyle w:val="ListNumber"/>
        <w:spacing w:after="40"/>
      </w:pPr>
      <w:r>
        <w:t>Add a secondary CTA: “Explore Pro.”</w:t>
      </w:r>
    </w:p>
    <w:p>
      <w:pPr>
        <w:pStyle w:val="ListNumber"/>
        <w:spacing w:after="40"/>
      </w:pPr>
      <w:r>
        <w:t>Insert a small proof bar: number of monitored sources, number of Bridge records, update frequency, and most recent update timestamp.</w:t>
      </w:r>
    </w:p>
    <w:p>
      <w:pPr>
        <w:pStyle w:val="ListNumber"/>
        <w:spacing w:after="40"/>
      </w:pPr>
      <w:r>
        <w:t>Add a Free vs Pro comparison block directly after the strongest intelligence module.</w:t>
      </w:r>
    </w:p>
    <w:p>
      <w:pPr>
        <w:pStyle w:val="ListNumber"/>
        <w:spacing w:after="40"/>
      </w:pPr>
      <w:r>
        <w:t>Add email capture again after Regulatory/Institutional sections and at the footer.</w:t>
      </w:r>
    </w:p>
    <w:p>
      <w:pPr>
        <w:pStyle w:val="ListNumber"/>
        <w:spacing w:after="40"/>
      </w:pPr>
      <w:r>
        <w:t>Add a sponsor/advertise link in the footer and About area.</w:t>
      </w:r>
    </w:p>
    <w:p>
      <w:pPr>
        <w:pStyle w:val="ListNumber"/>
        <w:spacing w:after="40"/>
      </w:pPr>
      <w:r>
        <w:t>On the blog, end every article with one action only: join the brief, buy the related report, or upgrade to Pro.</w:t>
      </w:r>
    </w:p>
    <w:p>
      <w:pPr>
        <w:pStyle w:val="ListNumber"/>
        <w:spacing w:after="40"/>
      </w:pPr>
      <w:r>
        <w:t>Create a public methodology page describing verification standards, source selection, corrections and sponsorship rules.</w:t>
      </w:r>
    </w:p>
    <w:p>
      <w:pPr>
        <w:pStyle w:val="Heading1"/>
      </w:pPr>
      <w:r>
        <w:t>Weekly Dashboard: The 12 Numbers to Manage</w:t>
      </w:r>
    </w:p>
    <w:tbl>
      <w:tblPr>
        <w:tblStyle w:val="TableGrid"/>
        <w:tblW w:type="auto" w:w="0"/>
        <w:jc w:val="center"/>
        <w:tblLook w:firstColumn="1" w:firstRow="1" w:lastColumn="0" w:lastRow="0" w:noHBand="0" w:noVBand="1" w:val="04A0"/>
      </w:tblPr>
      <w:tblGrid>
        <w:gridCol w:w="5112"/>
        <w:gridCol w:w="5112"/>
      </w:tblGrid>
      <w:tr>
        <w:trPr>
          <w:tblHeader/>
        </w:trPr>
        <w:tc>
          <w:tcPr>
            <w:tcW w:type="dxa" w:w="4032"/>
            <w:tcMar>
              <w:top w:w="60" w:type="dxa"/>
              <w:start w:w="70" w:type="dxa"/>
              <w:bottom w:w="60" w:type="dxa"/>
              <w:end w:w="70" w:type="dxa"/>
            </w:tcMar>
            <w:vAlign w:val="center"/>
            <w:shd w:fill="E7E6E6"/>
          </w:tcPr>
          <w:p>
            <w:pPr>
              <w:spacing w:after="0" w:before="0" w:line="240" w:lineRule="auto"/>
            </w:pPr>
            <w:r>
              <w:rPr>
                <w:rFonts w:ascii="Aptos" w:hAnsi="Aptos"/>
                <w:b/>
                <w:sz w:val="16"/>
              </w:rPr>
              <w:t>Metric</w:t>
            </w:r>
          </w:p>
        </w:tc>
        <w:tc>
          <w:tcPr>
            <w:tcW w:type="dxa" w:w="6768"/>
            <w:tcMar>
              <w:top w:w="60" w:type="dxa"/>
              <w:start w:w="70" w:type="dxa"/>
              <w:bottom w:w="60" w:type="dxa"/>
              <w:end w:w="70" w:type="dxa"/>
            </w:tcMar>
            <w:vAlign w:val="center"/>
            <w:shd w:fill="E7E6E6"/>
          </w:tcPr>
          <w:p>
            <w:pPr>
              <w:spacing w:after="0" w:before="0" w:line="240" w:lineRule="auto"/>
            </w:pPr>
            <w:r>
              <w:rPr>
                <w:rFonts w:ascii="Aptos" w:hAnsi="Aptos"/>
                <w:b/>
                <w:sz w:val="16"/>
              </w:rPr>
              <w:t>Month-4 Goal / Interpretation</w:t>
            </w:r>
          </w:p>
        </w:tc>
      </w:tr>
      <w:tr>
        <w:tc>
          <w:tcPr>
            <w:tcW w:type="dxa" w:w="4032"/>
            <w:tcMar>
              <w:top w:w="60" w:type="dxa"/>
              <w:start w:w="70" w:type="dxa"/>
              <w:bottom w:w="60" w:type="dxa"/>
              <w:end w:w="70" w:type="dxa"/>
            </w:tcMar>
            <w:vAlign w:val="center"/>
          </w:tcPr>
          <w:p>
            <w:pPr>
              <w:spacing w:after="0" w:before="0" w:line="240" w:lineRule="auto"/>
            </w:pPr>
            <w:r>
              <w:rPr>
                <w:rFonts w:ascii="Aptos" w:hAnsi="Aptos"/>
                <w:sz w:val="16"/>
              </w:rPr>
              <w:t>Unique site visitors</w:t>
            </w:r>
          </w:p>
        </w:tc>
        <w:tc>
          <w:tcPr>
            <w:tcW w:type="dxa" w:w="6768"/>
            <w:tcMar>
              <w:top w:w="60" w:type="dxa"/>
              <w:start w:w="70" w:type="dxa"/>
              <w:bottom w:w="60" w:type="dxa"/>
              <w:end w:w="70" w:type="dxa"/>
            </w:tcMar>
            <w:vAlign w:val="center"/>
          </w:tcPr>
          <w:p>
            <w:pPr>
              <w:spacing w:after="0" w:before="0" w:line="240" w:lineRule="auto"/>
            </w:pPr>
            <w:r>
              <w:rPr>
                <w:rFonts w:ascii="Aptos" w:hAnsi="Aptos"/>
                <w:sz w:val="16"/>
              </w:rPr>
              <w:t>Trend matters more than a fixed target until baseline is known</w:t>
            </w:r>
          </w:p>
        </w:tc>
      </w:tr>
      <w:tr>
        <w:tc>
          <w:tcPr>
            <w:tcW w:type="dxa" w:w="4032"/>
            <w:tcMar>
              <w:top w:w="60" w:type="dxa"/>
              <w:start w:w="70" w:type="dxa"/>
              <w:bottom w:w="60" w:type="dxa"/>
              <w:end w:w="70" w:type="dxa"/>
            </w:tcMar>
            <w:vAlign w:val="center"/>
          </w:tcPr>
          <w:p>
            <w:pPr>
              <w:spacing w:after="0" w:before="0" w:line="240" w:lineRule="auto"/>
            </w:pPr>
            <w:r>
              <w:rPr>
                <w:rFonts w:ascii="Aptos" w:hAnsi="Aptos"/>
                <w:sz w:val="16"/>
              </w:rPr>
              <w:t>Email subscribers</w:t>
            </w:r>
          </w:p>
        </w:tc>
        <w:tc>
          <w:tcPr>
            <w:tcW w:type="dxa" w:w="6768"/>
            <w:tcMar>
              <w:top w:w="60" w:type="dxa"/>
              <w:start w:w="70" w:type="dxa"/>
              <w:bottom w:w="60" w:type="dxa"/>
              <w:end w:w="70" w:type="dxa"/>
            </w:tcMar>
            <w:vAlign w:val="center"/>
          </w:tcPr>
          <w:p>
            <w:pPr>
              <w:spacing w:after="0" w:before="0" w:line="240" w:lineRule="auto"/>
            </w:pPr>
            <w:r>
              <w:rPr>
                <w:rFonts w:ascii="Aptos" w:hAnsi="Aptos"/>
                <w:sz w:val="16"/>
              </w:rPr>
              <w:t>1,500–3,000 is a useful four-month ambition if current traffic supports it</w:t>
            </w:r>
          </w:p>
        </w:tc>
      </w:tr>
      <w:tr>
        <w:tc>
          <w:tcPr>
            <w:tcW w:type="dxa" w:w="4032"/>
            <w:tcMar>
              <w:top w:w="60" w:type="dxa"/>
              <w:start w:w="70" w:type="dxa"/>
              <w:bottom w:w="60" w:type="dxa"/>
              <w:end w:w="70" w:type="dxa"/>
            </w:tcMar>
            <w:vAlign w:val="center"/>
          </w:tcPr>
          <w:p>
            <w:pPr>
              <w:spacing w:after="0" w:before="0" w:line="240" w:lineRule="auto"/>
            </w:pPr>
            <w:r>
              <w:rPr>
                <w:rFonts w:ascii="Aptos" w:hAnsi="Aptos"/>
                <w:sz w:val="16"/>
              </w:rPr>
              <w:t>Visitor → email conversion</w:t>
            </w:r>
          </w:p>
        </w:tc>
        <w:tc>
          <w:tcPr>
            <w:tcW w:type="dxa" w:w="6768"/>
            <w:tcMar>
              <w:top w:w="60" w:type="dxa"/>
              <w:start w:w="70" w:type="dxa"/>
              <w:bottom w:w="60" w:type="dxa"/>
              <w:end w:w="70" w:type="dxa"/>
            </w:tcMar>
            <w:vAlign w:val="center"/>
          </w:tcPr>
          <w:p>
            <w:pPr>
              <w:spacing w:after="0" w:before="0" w:line="240" w:lineRule="auto"/>
            </w:pPr>
            <w:r>
              <w:rPr>
                <w:rFonts w:ascii="Aptos" w:hAnsi="Aptos"/>
                <w:sz w:val="16"/>
              </w:rPr>
              <w:t>3–6%</w:t>
            </w:r>
          </w:p>
        </w:tc>
      </w:tr>
      <w:tr>
        <w:tc>
          <w:tcPr>
            <w:tcW w:type="dxa" w:w="4032"/>
            <w:tcMar>
              <w:top w:w="60" w:type="dxa"/>
              <w:start w:w="70" w:type="dxa"/>
              <w:bottom w:w="60" w:type="dxa"/>
              <w:end w:w="70" w:type="dxa"/>
            </w:tcMar>
            <w:vAlign w:val="center"/>
          </w:tcPr>
          <w:p>
            <w:pPr>
              <w:spacing w:after="0" w:before="0" w:line="240" w:lineRule="auto"/>
            </w:pPr>
            <w:r>
              <w:rPr>
                <w:rFonts w:ascii="Aptos" w:hAnsi="Aptos"/>
                <w:sz w:val="16"/>
              </w:rPr>
              <w:t>Email open rate</w:t>
            </w:r>
          </w:p>
        </w:tc>
        <w:tc>
          <w:tcPr>
            <w:tcW w:type="dxa" w:w="6768"/>
            <w:tcMar>
              <w:top w:w="60" w:type="dxa"/>
              <w:start w:w="70" w:type="dxa"/>
              <w:bottom w:w="60" w:type="dxa"/>
              <w:end w:w="70" w:type="dxa"/>
            </w:tcMar>
            <w:vAlign w:val="center"/>
          </w:tcPr>
          <w:p>
            <w:pPr>
              <w:spacing w:after="0" w:before="0" w:line="240" w:lineRule="auto"/>
            </w:pPr>
            <w:r>
              <w:rPr>
                <w:rFonts w:ascii="Aptos" w:hAnsi="Aptos"/>
                <w:sz w:val="16"/>
              </w:rPr>
              <w:t>Aim for 35%+; specialized finance lists can perform higher</w:t>
            </w:r>
          </w:p>
        </w:tc>
      </w:tr>
      <w:tr>
        <w:tc>
          <w:tcPr>
            <w:tcW w:type="dxa" w:w="4032"/>
            <w:tcMar>
              <w:top w:w="60" w:type="dxa"/>
              <w:start w:w="70" w:type="dxa"/>
              <w:bottom w:w="60" w:type="dxa"/>
              <w:end w:w="70" w:type="dxa"/>
            </w:tcMar>
            <w:vAlign w:val="center"/>
          </w:tcPr>
          <w:p>
            <w:pPr>
              <w:spacing w:after="0" w:before="0" w:line="240" w:lineRule="auto"/>
            </w:pPr>
            <w:r>
              <w:rPr>
                <w:rFonts w:ascii="Aptos" w:hAnsi="Aptos"/>
                <w:sz w:val="16"/>
              </w:rPr>
              <w:t>Email click rate</w:t>
            </w:r>
          </w:p>
        </w:tc>
        <w:tc>
          <w:tcPr>
            <w:tcW w:type="dxa" w:w="6768"/>
            <w:tcMar>
              <w:top w:w="60" w:type="dxa"/>
              <w:start w:w="70" w:type="dxa"/>
              <w:bottom w:w="60" w:type="dxa"/>
              <w:end w:w="70" w:type="dxa"/>
            </w:tcMar>
            <w:vAlign w:val="center"/>
          </w:tcPr>
          <w:p>
            <w:pPr>
              <w:spacing w:after="0" w:before="0" w:line="240" w:lineRule="auto"/>
            </w:pPr>
            <w:r>
              <w:rPr>
                <w:rFonts w:ascii="Aptos" w:hAnsi="Aptos"/>
                <w:sz w:val="16"/>
              </w:rPr>
              <w:t>2–5%+ depending on format</w:t>
            </w:r>
          </w:p>
        </w:tc>
      </w:tr>
      <w:tr>
        <w:tc>
          <w:tcPr>
            <w:tcW w:type="dxa" w:w="4032"/>
            <w:tcMar>
              <w:top w:w="60" w:type="dxa"/>
              <w:start w:w="70" w:type="dxa"/>
              <w:bottom w:w="60" w:type="dxa"/>
              <w:end w:w="70" w:type="dxa"/>
            </w:tcMar>
            <w:vAlign w:val="center"/>
          </w:tcPr>
          <w:p>
            <w:pPr>
              <w:spacing w:after="0" w:before="0" w:line="240" w:lineRule="auto"/>
            </w:pPr>
            <w:r>
              <w:rPr>
                <w:rFonts w:ascii="Aptos" w:hAnsi="Aptos"/>
                <w:sz w:val="16"/>
              </w:rPr>
              <w:t>Free → Pro conversion</w:t>
            </w:r>
          </w:p>
        </w:tc>
        <w:tc>
          <w:tcPr>
            <w:tcW w:type="dxa" w:w="6768"/>
            <w:tcMar>
              <w:top w:w="60" w:type="dxa"/>
              <w:start w:w="70" w:type="dxa"/>
              <w:bottom w:w="60" w:type="dxa"/>
              <w:end w:w="70" w:type="dxa"/>
            </w:tcMar>
            <w:vAlign w:val="center"/>
          </w:tcPr>
          <w:p>
            <w:pPr>
              <w:spacing w:after="0" w:before="0" w:line="240" w:lineRule="auto"/>
            </w:pPr>
            <w:r>
              <w:rPr>
                <w:rFonts w:ascii="Aptos" w:hAnsi="Aptos"/>
                <w:sz w:val="16"/>
              </w:rPr>
              <w:t>2–5% initially</w:t>
            </w:r>
          </w:p>
        </w:tc>
      </w:tr>
      <w:tr>
        <w:tc>
          <w:tcPr>
            <w:tcW w:type="dxa" w:w="4032"/>
            <w:tcMar>
              <w:top w:w="60" w:type="dxa"/>
              <w:start w:w="70" w:type="dxa"/>
              <w:bottom w:w="60" w:type="dxa"/>
              <w:end w:w="70" w:type="dxa"/>
            </w:tcMar>
            <w:vAlign w:val="center"/>
          </w:tcPr>
          <w:p>
            <w:pPr>
              <w:spacing w:after="0" w:before="0" w:line="240" w:lineRule="auto"/>
            </w:pPr>
            <w:r>
              <w:rPr>
                <w:rFonts w:ascii="Aptos" w:hAnsi="Aptos"/>
                <w:sz w:val="16"/>
              </w:rPr>
              <w:t>Pro churn</w:t>
            </w:r>
          </w:p>
        </w:tc>
        <w:tc>
          <w:tcPr>
            <w:tcW w:type="dxa" w:w="6768"/>
            <w:tcMar>
              <w:top w:w="60" w:type="dxa"/>
              <w:start w:w="70" w:type="dxa"/>
              <w:bottom w:w="60" w:type="dxa"/>
              <w:end w:w="70" w:type="dxa"/>
            </w:tcMar>
            <w:vAlign w:val="center"/>
          </w:tcPr>
          <w:p>
            <w:pPr>
              <w:spacing w:after="0" w:before="0" w:line="240" w:lineRule="auto"/>
            </w:pPr>
            <w:r>
              <w:rPr>
                <w:rFonts w:ascii="Aptos" w:hAnsi="Aptos"/>
                <w:sz w:val="16"/>
              </w:rPr>
              <w:t>&lt;5% monthly; lower is better</w:t>
            </w:r>
          </w:p>
        </w:tc>
      </w:tr>
      <w:tr>
        <w:tc>
          <w:tcPr>
            <w:tcW w:type="dxa" w:w="4032"/>
            <w:tcMar>
              <w:top w:w="60" w:type="dxa"/>
              <w:start w:w="70" w:type="dxa"/>
              <w:bottom w:w="60" w:type="dxa"/>
              <w:end w:w="70" w:type="dxa"/>
            </w:tcMar>
            <w:vAlign w:val="center"/>
          </w:tcPr>
          <w:p>
            <w:pPr>
              <w:spacing w:after="0" w:before="0" w:line="240" w:lineRule="auto"/>
            </w:pPr>
            <w:r>
              <w:rPr>
                <w:rFonts w:ascii="Aptos" w:hAnsi="Aptos"/>
                <w:sz w:val="16"/>
              </w:rPr>
              <w:t>Professional accounts</w:t>
            </w:r>
          </w:p>
        </w:tc>
        <w:tc>
          <w:tcPr>
            <w:tcW w:type="dxa" w:w="6768"/>
            <w:tcMar>
              <w:top w:w="60" w:type="dxa"/>
              <w:start w:w="70" w:type="dxa"/>
              <w:bottom w:w="60" w:type="dxa"/>
              <w:end w:w="70" w:type="dxa"/>
            </w:tcMar>
            <w:vAlign w:val="center"/>
          </w:tcPr>
          <w:p>
            <w:pPr>
              <w:spacing w:after="0" w:before="0" w:line="240" w:lineRule="auto"/>
            </w:pPr>
            <w:r>
              <w:rPr>
                <w:rFonts w:ascii="Aptos" w:hAnsi="Aptos"/>
                <w:sz w:val="16"/>
              </w:rPr>
              <w:t>10</w:t>
            </w:r>
          </w:p>
        </w:tc>
      </w:tr>
      <w:tr>
        <w:tc>
          <w:tcPr>
            <w:tcW w:type="dxa" w:w="4032"/>
            <w:tcMar>
              <w:top w:w="60" w:type="dxa"/>
              <w:start w:w="70" w:type="dxa"/>
              <w:bottom w:w="60" w:type="dxa"/>
              <w:end w:w="70" w:type="dxa"/>
            </w:tcMar>
            <w:vAlign w:val="center"/>
          </w:tcPr>
          <w:p>
            <w:pPr>
              <w:spacing w:after="0" w:before="0" w:line="240" w:lineRule="auto"/>
            </w:pPr>
            <w:r>
              <w:rPr>
                <w:rFonts w:ascii="Aptos" w:hAnsi="Aptos"/>
                <w:sz w:val="16"/>
              </w:rPr>
              <w:t>Monthly recurring revenue (MRR)</w:t>
            </w:r>
          </w:p>
        </w:tc>
        <w:tc>
          <w:tcPr>
            <w:tcW w:type="dxa" w:w="6768"/>
            <w:tcMar>
              <w:top w:w="60" w:type="dxa"/>
              <w:start w:w="70" w:type="dxa"/>
              <w:bottom w:w="60" w:type="dxa"/>
              <w:end w:w="70" w:type="dxa"/>
            </w:tcMar>
            <w:vAlign w:val="center"/>
          </w:tcPr>
          <w:p>
            <w:pPr>
              <w:spacing w:after="0" w:before="0" w:line="240" w:lineRule="auto"/>
            </w:pPr>
            <w:r>
              <w:rPr>
                <w:rFonts w:ascii="Aptos" w:hAnsi="Aptos"/>
                <w:sz w:val="16"/>
              </w:rPr>
              <w:t>$5,000 minimum; target-case $7,690 total monthly revenue</w:t>
            </w:r>
          </w:p>
        </w:tc>
      </w:tr>
      <w:tr>
        <w:tc>
          <w:tcPr>
            <w:tcW w:type="dxa" w:w="4032"/>
            <w:tcMar>
              <w:top w:w="60" w:type="dxa"/>
              <w:start w:w="70" w:type="dxa"/>
              <w:bottom w:w="60" w:type="dxa"/>
              <w:end w:w="70" w:type="dxa"/>
            </w:tcMar>
            <w:vAlign w:val="center"/>
          </w:tcPr>
          <w:p>
            <w:pPr>
              <w:spacing w:after="0" w:before="0" w:line="240" w:lineRule="auto"/>
            </w:pPr>
            <w:r>
              <w:rPr>
                <w:rFonts w:ascii="Aptos" w:hAnsi="Aptos"/>
                <w:sz w:val="16"/>
              </w:rPr>
              <w:t>Sponsor pipeline</w:t>
            </w:r>
          </w:p>
        </w:tc>
        <w:tc>
          <w:tcPr>
            <w:tcW w:type="dxa" w:w="6768"/>
            <w:tcMar>
              <w:top w:w="60" w:type="dxa"/>
              <w:start w:w="70" w:type="dxa"/>
              <w:bottom w:w="60" w:type="dxa"/>
              <w:end w:w="70" w:type="dxa"/>
            </w:tcMar>
            <w:vAlign w:val="center"/>
          </w:tcPr>
          <w:p>
            <w:pPr>
              <w:spacing w:after="0" w:before="0" w:line="240" w:lineRule="auto"/>
            </w:pPr>
            <w:r>
              <w:rPr>
                <w:rFonts w:ascii="Aptos" w:hAnsi="Aptos"/>
                <w:sz w:val="16"/>
              </w:rPr>
              <w:t>At least 20 active qualified prospects</w:t>
            </w:r>
          </w:p>
        </w:tc>
      </w:tr>
      <w:tr>
        <w:tc>
          <w:tcPr>
            <w:tcW w:type="dxa" w:w="4032"/>
            <w:tcMar>
              <w:top w:w="60" w:type="dxa"/>
              <w:start w:w="70" w:type="dxa"/>
              <w:bottom w:w="60" w:type="dxa"/>
              <w:end w:w="70" w:type="dxa"/>
            </w:tcMar>
            <w:vAlign w:val="center"/>
          </w:tcPr>
          <w:p>
            <w:pPr>
              <w:spacing w:after="0" w:before="0" w:line="240" w:lineRule="auto"/>
            </w:pPr>
            <w:r>
              <w:rPr>
                <w:rFonts w:ascii="Aptos" w:hAnsi="Aptos"/>
                <w:sz w:val="16"/>
              </w:rPr>
              <w:t>Report conversion rate</w:t>
            </w:r>
          </w:p>
        </w:tc>
        <w:tc>
          <w:tcPr>
            <w:tcW w:type="dxa" w:w="6768"/>
            <w:tcMar>
              <w:top w:w="60" w:type="dxa"/>
              <w:start w:w="70" w:type="dxa"/>
              <w:bottom w:w="60" w:type="dxa"/>
              <w:end w:w="70" w:type="dxa"/>
            </w:tcMar>
            <w:vAlign w:val="center"/>
          </w:tcPr>
          <w:p>
            <w:pPr>
              <w:spacing w:after="0" w:before="0" w:line="240" w:lineRule="auto"/>
            </w:pPr>
            <w:r>
              <w:rPr>
                <w:rFonts w:ascii="Aptos" w:hAnsi="Aptos"/>
                <w:sz w:val="16"/>
              </w:rPr>
              <w:t>1–3% of targeted landing-page visitors</w:t>
            </w:r>
          </w:p>
        </w:tc>
      </w:tr>
      <w:tr>
        <w:tc>
          <w:tcPr>
            <w:tcW w:type="dxa" w:w="4032"/>
            <w:tcMar>
              <w:top w:w="60" w:type="dxa"/>
              <w:start w:w="70" w:type="dxa"/>
              <w:bottom w:w="60" w:type="dxa"/>
              <w:end w:w="70" w:type="dxa"/>
            </w:tcMar>
            <w:vAlign w:val="center"/>
          </w:tcPr>
          <w:p>
            <w:pPr>
              <w:spacing w:after="0" w:before="0" w:line="240" w:lineRule="auto"/>
            </w:pPr>
            <w:r>
              <w:rPr>
                <w:rFonts w:ascii="Aptos" w:hAnsi="Aptos"/>
                <w:sz w:val="16"/>
              </w:rPr>
              <w:t>Revenue concentration</w:t>
            </w:r>
          </w:p>
        </w:tc>
        <w:tc>
          <w:tcPr>
            <w:tcW w:type="dxa" w:w="6768"/>
            <w:tcMar>
              <w:top w:w="60" w:type="dxa"/>
              <w:start w:w="70" w:type="dxa"/>
              <w:bottom w:w="60" w:type="dxa"/>
              <w:end w:w="70" w:type="dxa"/>
            </w:tcMar>
            <w:vAlign w:val="center"/>
          </w:tcPr>
          <w:p>
            <w:pPr>
              <w:spacing w:after="0" w:before="0" w:line="240" w:lineRule="auto"/>
            </w:pPr>
            <w:r>
              <w:rPr>
                <w:rFonts w:ascii="Aptos" w:hAnsi="Aptos"/>
                <w:sz w:val="16"/>
              </w:rPr>
              <w:t>No single sponsor/customer &gt;20% of revenue once scale allows</w:t>
            </w:r>
          </w:p>
        </w:tc>
      </w:tr>
    </w:tbl>
    <w:p>
      <w:pPr>
        <w:pStyle w:val="Heading1"/>
      </w:pPr>
      <w:r>
        <w:t>Risk, Trust and Compliance Controls</w:t>
      </w:r>
    </w:p>
    <w:p>
      <w:pPr>
        <w:pStyle w:val="ListBullet"/>
        <w:spacing w:after="40"/>
      </w:pPr>
      <w:r>
        <w:t>Maintain and prominently display 'not financial advice' language, but do not assume a disclaimer alone resolves regulatory obligations.</w:t>
      </w:r>
    </w:p>
    <w:p>
      <w:pPr>
        <w:pStyle w:val="ListBullet"/>
        <w:spacing w:after="40"/>
      </w:pPr>
      <w:r>
        <w:t>Separate editorial content, paid sponsorships, affiliate links and sponsored research visually and contractually.</w:t>
      </w:r>
    </w:p>
    <w:p>
      <w:pPr>
        <w:pStyle w:val="ListBullet"/>
        <w:spacing w:after="40"/>
      </w:pPr>
      <w:r>
        <w:t>Do not promise investment returns, price outcomes or guaranteed alpha.</w:t>
      </w:r>
    </w:p>
    <w:p>
      <w:pPr>
        <w:pStyle w:val="ListBullet"/>
        <w:spacing w:after="40"/>
      </w:pPr>
      <w:r>
        <w:t>Use primary sources wherever possible for partnership, regulatory and institutional claims; record the verification date.</w:t>
      </w:r>
    </w:p>
    <w:p>
      <w:pPr>
        <w:pStyle w:val="ListBullet"/>
        <w:spacing w:after="40"/>
      </w:pPr>
      <w:r>
        <w:t>Correct errors visibly and maintain a corrections policy. Accuracy is more valuable to this brand than publishing speed.</w:t>
      </w:r>
    </w:p>
    <w:p>
      <w:pPr>
        <w:pStyle w:val="ListBullet"/>
        <w:spacing w:after="40"/>
      </w:pPr>
      <w:r>
        <w:t>Review affiliate and sponsor relationships for FTC disclosure requirements and any applicable financial-promotion rules.</w:t>
      </w:r>
    </w:p>
    <w:p>
      <w:pPr>
        <w:pStyle w:val="ListBullet"/>
        <w:spacing w:after="40"/>
      </w:pPr>
      <w:r>
        <w:t>Use attorney-reviewed Terms of Use, Privacy Policy, subscription terms, refund/cancellation terms and a B2B data license before the paid business becomes material.</w:t>
      </w:r>
    </w:p>
    <w:p>
      <w:pPr>
        <w:pStyle w:val="ListBullet"/>
        <w:spacing w:after="40"/>
      </w:pPr>
      <w:r>
        <w:t>Do not sell customer email addresses. The email list is a trust asset and a future valuation driver.</w:t>
      </w:r>
    </w:p>
    <w:p>
      <w:pPr>
        <w:pStyle w:val="Heading1"/>
      </w:pPr>
      <w:r>
        <w:t>Longer-Term Brand Value Beyond $5,000/Month</w:t>
      </w:r>
    </w:p>
    <w:p>
      <w:r>
        <w:t>The four-month target is cash flow. The larger opportunity is to build a specialized information asset with recurring revenue, proprietary structured datasets, a growing permissioned audience, and recognized editorial methodology. Those characteristics are substantially more valuable than a traffic-only crypto blog.</w:t>
      </w:r>
    </w:p>
    <w:p>
      <w:pPr>
        <w:pStyle w:val="ListBullet"/>
        <w:spacing w:after="40"/>
      </w:pPr>
      <w:r>
        <w:t>Subscription MRR creates predictable enterprise value.</w:t>
      </w:r>
    </w:p>
    <w:p>
      <w:pPr>
        <w:pStyle w:val="ListBullet"/>
        <w:spacing w:after="40"/>
      </w:pPr>
      <w:r>
        <w:t>A permissioned email audience is an owned distribution channel that is less dependent on Google or social algorithms.</w:t>
      </w:r>
    </w:p>
    <w:p>
      <w:pPr>
        <w:pStyle w:val="ListBullet"/>
        <w:spacing w:after="40"/>
      </w:pPr>
      <w:r>
        <w:t>The Partnership Bridge can become a proprietary structured dataset with licensing potential.</w:t>
      </w:r>
    </w:p>
    <w:p>
      <w:pPr>
        <w:pStyle w:val="ListBullet"/>
        <w:spacing w:after="40"/>
      </w:pPr>
      <w:r>
        <w:t>Regulatory and institutional archives create switching costs because users lose historical continuity when they cancel.</w:t>
      </w:r>
    </w:p>
    <w:p>
      <w:pPr>
        <w:pStyle w:val="ListBullet"/>
        <w:spacing w:after="40"/>
      </w:pPr>
      <w:r>
        <w:t>Professional and enterprise customers create a path into research, data licensing, events and white-label intelligence.</w:t>
      </w:r>
    </w:p>
    <w:p>
      <w:pPr>
        <w:pStyle w:val="ListBullet"/>
        <w:spacing w:after="40"/>
      </w:pPr>
      <w:r>
        <w:t>A transparent methodology and low sponsor dependence can distinguish XRP Complete from promotional crypto media.</w:t>
      </w:r>
    </w:p>
    <w:p>
      <w:pPr>
        <w:pStyle w:val="Heading1"/>
      </w:pPr>
      <w:r>
        <w:t>First 30 Days: Exact Checklist</w:t>
      </w:r>
    </w:p>
    <w:tbl>
      <w:tblPr>
        <w:tblStyle w:val="TableGrid"/>
        <w:tblW w:type="auto" w:w="0"/>
        <w:jc w:val="center"/>
        <w:tblLook w:firstColumn="1" w:firstRow="1" w:lastColumn="0" w:lastRow="0" w:noHBand="0" w:noVBand="1" w:val="04A0"/>
      </w:tblPr>
      <w:tblGrid>
        <w:gridCol w:w="5112"/>
        <w:gridCol w:w="5112"/>
      </w:tblGrid>
      <w:tr>
        <w:trPr>
          <w:tblHeader/>
        </w:trPr>
        <w:tc>
          <w:tcPr>
            <w:tcW w:type="dxa" w:w="1728"/>
            <w:tcMar>
              <w:top w:w="60" w:type="dxa"/>
              <w:start w:w="70" w:type="dxa"/>
              <w:bottom w:w="60" w:type="dxa"/>
              <w:end w:w="70" w:type="dxa"/>
            </w:tcMar>
            <w:vAlign w:val="center"/>
            <w:shd w:fill="E7E6E6"/>
          </w:tcPr>
          <w:p>
            <w:pPr>
              <w:spacing w:after="0" w:before="0" w:line="240" w:lineRule="auto"/>
            </w:pPr>
            <w:r>
              <w:rPr>
                <w:rFonts w:ascii="Aptos" w:hAnsi="Aptos"/>
                <w:b/>
                <w:sz w:val="16"/>
              </w:rPr>
              <w:t>Week</w:t>
            </w:r>
          </w:p>
        </w:tc>
        <w:tc>
          <w:tcPr>
            <w:tcW w:type="dxa" w:w="9072"/>
            <w:tcMar>
              <w:top w:w="60" w:type="dxa"/>
              <w:start w:w="70" w:type="dxa"/>
              <w:bottom w:w="60" w:type="dxa"/>
              <w:end w:w="70" w:type="dxa"/>
            </w:tcMar>
            <w:vAlign w:val="center"/>
            <w:shd w:fill="E7E6E6"/>
          </w:tcPr>
          <w:p>
            <w:pPr>
              <w:spacing w:after="0" w:before="0" w:line="240" w:lineRule="auto"/>
            </w:pPr>
            <w:r>
              <w:rPr>
                <w:rFonts w:ascii="Aptos" w:hAnsi="Aptos"/>
                <w:b/>
                <w:sz w:val="16"/>
              </w:rPr>
              <w:t>Deliverables</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Week 1</w:t>
            </w:r>
          </w:p>
        </w:tc>
        <w:tc>
          <w:tcPr>
            <w:tcW w:type="dxa" w:w="9072"/>
            <w:tcMar>
              <w:top w:w="60" w:type="dxa"/>
              <w:start w:w="70" w:type="dxa"/>
              <w:bottom w:w="60" w:type="dxa"/>
              <w:end w:w="70" w:type="dxa"/>
            </w:tcMar>
            <w:vAlign w:val="center"/>
          </w:tcPr>
          <w:p>
            <w:pPr>
              <w:spacing w:after="0" w:before="0" w:line="240" w:lineRule="auto"/>
            </w:pPr>
            <w:r>
              <w:rPr>
                <w:rFonts w:ascii="Aptos" w:hAnsi="Aptos"/>
                <w:sz w:val="16"/>
              </w:rPr>
              <w:t>Analytics baseline; email platform; lead magnet; Free/Pro feature map; pricing page wireframe; sponsor inventory list</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Week 2</w:t>
            </w:r>
          </w:p>
        </w:tc>
        <w:tc>
          <w:tcPr>
            <w:tcW w:type="dxa" w:w="9072"/>
            <w:tcMar>
              <w:top w:w="60" w:type="dxa"/>
              <w:start w:w="70" w:type="dxa"/>
              <w:bottom w:w="60" w:type="dxa"/>
              <w:end w:w="70" w:type="dxa"/>
            </w:tcMar>
            <w:vAlign w:val="center"/>
          </w:tcPr>
          <w:p>
            <w:pPr>
              <w:spacing w:after="0" w:before="0" w:line="240" w:lineRule="auto"/>
            </w:pPr>
            <w:r>
              <w:rPr>
                <w:rFonts w:ascii="Aptos" w:hAnsi="Aptos"/>
                <w:sz w:val="16"/>
              </w:rPr>
              <w:t>Email capture live on both sites; 5-email sequence; Pro checkout/account flow; sponsor media kit; 100-prospect sales list</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Week 3</w:t>
            </w:r>
          </w:p>
        </w:tc>
        <w:tc>
          <w:tcPr>
            <w:tcW w:type="dxa" w:w="9072"/>
            <w:tcMar>
              <w:top w:w="60" w:type="dxa"/>
              <w:start w:w="70" w:type="dxa"/>
              <w:bottom w:w="60" w:type="dxa"/>
              <w:end w:w="70" w:type="dxa"/>
            </w:tcMar>
            <w:vAlign w:val="center"/>
          </w:tcPr>
          <w:p>
            <w:pPr>
              <w:spacing w:after="0" w:before="0" w:line="240" w:lineRule="auto"/>
            </w:pPr>
            <w:r>
              <w:rPr>
                <w:rFonts w:ascii="Aptos" w:hAnsi="Aptos"/>
                <w:sz w:val="16"/>
              </w:rPr>
              <w:t>Pro soft launch; first premium report; sponsor outreach begins; Professional landing page and sample dossier</w:t>
            </w:r>
          </w:p>
        </w:tc>
      </w:tr>
      <w:tr>
        <w:tc>
          <w:tcPr>
            <w:tcW w:type="dxa" w:w="1728"/>
            <w:tcMar>
              <w:top w:w="60" w:type="dxa"/>
              <w:start w:w="70" w:type="dxa"/>
              <w:bottom w:w="60" w:type="dxa"/>
              <w:end w:w="70" w:type="dxa"/>
            </w:tcMar>
            <w:vAlign w:val="center"/>
          </w:tcPr>
          <w:p>
            <w:pPr>
              <w:spacing w:after="0" w:before="0" w:line="240" w:lineRule="auto"/>
            </w:pPr>
            <w:r>
              <w:rPr>
                <w:rFonts w:ascii="Aptos" w:hAnsi="Aptos"/>
                <w:sz w:val="16"/>
              </w:rPr>
              <w:t>Week 4</w:t>
            </w:r>
          </w:p>
        </w:tc>
        <w:tc>
          <w:tcPr>
            <w:tcW w:type="dxa" w:w="9072"/>
            <w:tcMar>
              <w:top w:w="60" w:type="dxa"/>
              <w:start w:w="70" w:type="dxa"/>
              <w:bottom w:w="60" w:type="dxa"/>
              <w:end w:w="70" w:type="dxa"/>
            </w:tcMar>
            <w:vAlign w:val="center"/>
          </w:tcPr>
          <w:p>
            <w:pPr>
              <w:spacing w:after="0" w:before="0" w:line="240" w:lineRule="auto"/>
            </w:pPr>
            <w:r>
              <w:rPr>
                <w:rFonts w:ascii="Aptos" w:hAnsi="Aptos"/>
                <w:sz w:val="16"/>
              </w:rPr>
              <w:t>Public Pro launch; first webinar announced; first sponsor close target; monthly KPI review; revise funnel based on real conversion data</w:t>
            </w:r>
          </w:p>
        </w:tc>
      </w:tr>
    </w:tbl>
    <w:p>
      <w:pPr>
        <w:pStyle w:val="Heading1"/>
      </w:pPr>
      <w:r>
        <w:t>Decision Rules</w:t>
      </w:r>
    </w:p>
    <w:p>
      <w:pPr>
        <w:pStyle w:val="ListBullet"/>
        <w:spacing w:after="40"/>
      </w:pPr>
      <w:r>
        <w:t>If Pro conversion is below 1%, improve the offer, proof and onboarding before lowering price.</w:t>
      </w:r>
    </w:p>
    <w:p>
      <w:pPr>
        <w:pStyle w:val="ListBullet"/>
        <w:spacing w:after="40"/>
      </w:pPr>
      <w:r>
        <w:t>If email capture is below 2%, redesign calls-to-action and create a stronger lead magnet.</w:t>
      </w:r>
    </w:p>
    <w:p>
      <w:pPr>
        <w:pStyle w:val="ListBullet"/>
        <w:spacing w:after="40"/>
      </w:pPr>
      <w:r>
        <w:t>If sponsor outreach gets replies but no closes, improve audience proof and simplify packages.</w:t>
      </w:r>
    </w:p>
    <w:p>
      <w:pPr>
        <w:pStyle w:val="ListBullet"/>
        <w:spacing w:after="40"/>
      </w:pPr>
      <w:r>
        <w:t>If sponsor outreach gets almost no replies, change the prospect list and pitch—not the site.</w:t>
      </w:r>
    </w:p>
    <w:p>
      <w:pPr>
        <w:pStyle w:val="ListBullet"/>
        <w:spacing w:after="40"/>
      </w:pPr>
      <w:r>
        <w:t>If premium reports sell but subscriptions lag, bundle report updates into Pro.</w:t>
      </w:r>
    </w:p>
    <w:p>
      <w:pPr>
        <w:pStyle w:val="ListBullet"/>
        <w:spacing w:after="40"/>
      </w:pPr>
      <w:r>
        <w:t>If Professional demand appears, prioritize datasets/exports over consumer features.</w:t>
      </w:r>
    </w:p>
    <w:p>
      <w:pPr>
        <w:pStyle w:val="ListBullet"/>
        <w:spacing w:after="40"/>
      </w:pPr>
      <w:r>
        <w:t>If Month-2 revenue is below $1,500, increase direct B2B outreach rather than adding more content volume.</w:t>
      </w:r>
    </w:p>
    <w:p>
      <w:pPr>
        <w:pStyle w:val="ListBullet"/>
        <w:spacing w:after="40"/>
      </w:pPr>
      <w:r>
        <w:t>If Month-3 revenue is below $3,000, concentrate on the two best-converting streams and suspend low-yield experiments.</w:t>
      </w:r>
    </w:p>
    <w:p>
      <w:pPr>
        <w:pStyle w:val="Heading1"/>
      </w:pPr>
      <w:r>
        <w:t>Recommended Revenue Stack at the End of Month 4</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4320"/>
            <w:tcMar>
              <w:top w:w="60" w:type="dxa"/>
              <w:start w:w="70" w:type="dxa"/>
              <w:bottom w:w="60" w:type="dxa"/>
              <w:end w:w="70" w:type="dxa"/>
            </w:tcMar>
            <w:vAlign w:val="center"/>
            <w:shd w:fill="E7E6E6"/>
          </w:tcPr>
          <w:p>
            <w:pPr>
              <w:spacing w:after="0" w:before="0" w:line="240" w:lineRule="auto"/>
            </w:pPr>
            <w:r>
              <w:rPr>
                <w:rFonts w:ascii="Aptos" w:hAnsi="Aptos"/>
                <w:b/>
                <w:sz w:val="16"/>
              </w:rPr>
              <w:t>Core Engine</w:t>
            </w:r>
          </w:p>
        </w:tc>
        <w:tc>
          <w:tcPr>
            <w:tcW w:type="dxa" w:w="2160"/>
            <w:tcMar>
              <w:top w:w="60" w:type="dxa"/>
              <w:start w:w="70" w:type="dxa"/>
              <w:bottom w:w="60" w:type="dxa"/>
              <w:end w:w="70" w:type="dxa"/>
            </w:tcMar>
            <w:vAlign w:val="center"/>
            <w:shd w:fill="E7E6E6"/>
          </w:tcPr>
          <w:p>
            <w:pPr>
              <w:spacing w:after="0" w:before="0" w:line="240" w:lineRule="auto"/>
            </w:pPr>
            <w:r>
              <w:rPr>
                <w:rFonts w:ascii="Aptos" w:hAnsi="Aptos"/>
                <w:b/>
                <w:sz w:val="16"/>
              </w:rPr>
              <w:t>Target Revenue</w:t>
            </w:r>
          </w:p>
        </w:tc>
        <w:tc>
          <w:tcPr>
            <w:tcW w:type="dxa" w:w="4320"/>
            <w:tcMar>
              <w:top w:w="60" w:type="dxa"/>
              <w:start w:w="70" w:type="dxa"/>
              <w:bottom w:w="60" w:type="dxa"/>
              <w:end w:w="70" w:type="dxa"/>
            </w:tcMar>
            <w:vAlign w:val="center"/>
            <w:shd w:fill="E7E6E6"/>
          </w:tcPr>
          <w:p>
            <w:pPr>
              <w:spacing w:after="0" w:before="0" w:line="240" w:lineRule="auto"/>
            </w:pPr>
            <w:r>
              <w:rPr>
                <w:rFonts w:ascii="Aptos" w:hAnsi="Aptos"/>
                <w:b/>
                <w:sz w:val="16"/>
              </w:rPr>
              <w:t>Role</w:t>
            </w:r>
          </w:p>
        </w:tc>
      </w:tr>
      <w:tr>
        <w:tc>
          <w:tcPr>
            <w:tcW w:type="dxa" w:w="4320"/>
            <w:tcMar>
              <w:top w:w="60" w:type="dxa"/>
              <w:start w:w="70" w:type="dxa"/>
              <w:bottom w:w="60" w:type="dxa"/>
              <w:end w:w="70" w:type="dxa"/>
            </w:tcMar>
            <w:vAlign w:val="center"/>
          </w:tcPr>
          <w:p>
            <w:pPr>
              <w:spacing w:after="0" w:before="0" w:line="240" w:lineRule="auto"/>
            </w:pPr>
            <w:r>
              <w:rPr>
                <w:rFonts w:ascii="Aptos" w:hAnsi="Aptos"/>
                <w:sz w:val="16"/>
              </w:rPr>
              <w:t>Pro Membership</w:t>
            </w:r>
          </w:p>
        </w:tc>
        <w:tc>
          <w:tcPr>
            <w:tcW w:type="dxa" w:w="2160"/>
            <w:tcMar>
              <w:top w:w="60" w:type="dxa"/>
              <w:start w:w="70" w:type="dxa"/>
              <w:bottom w:w="60" w:type="dxa"/>
              <w:end w:w="70" w:type="dxa"/>
            </w:tcMar>
            <w:vAlign w:val="center"/>
          </w:tcPr>
          <w:p>
            <w:pPr>
              <w:spacing w:after="0" w:before="0" w:line="240" w:lineRule="auto"/>
            </w:pPr>
            <w:r>
              <w:rPr>
                <w:rFonts w:ascii="Aptos" w:hAnsi="Aptos"/>
                <w:sz w:val="16"/>
              </w:rPr>
              <w:t>$2,400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Recurring consumer intelligence</w:t>
            </w:r>
          </w:p>
        </w:tc>
      </w:tr>
      <w:tr>
        <w:tc>
          <w:tcPr>
            <w:tcW w:type="dxa" w:w="4320"/>
            <w:tcMar>
              <w:top w:w="60" w:type="dxa"/>
              <w:start w:w="70" w:type="dxa"/>
              <w:bottom w:w="60" w:type="dxa"/>
              <w:end w:w="70" w:type="dxa"/>
            </w:tcMar>
            <w:vAlign w:val="center"/>
          </w:tcPr>
          <w:p>
            <w:pPr>
              <w:spacing w:after="0" w:before="0" w:line="240" w:lineRule="auto"/>
            </w:pPr>
            <w:r>
              <w:rPr>
                <w:rFonts w:ascii="Aptos" w:hAnsi="Aptos"/>
                <w:sz w:val="16"/>
              </w:rPr>
              <w:t>Professional Membership</w:t>
            </w:r>
          </w:p>
        </w:tc>
        <w:tc>
          <w:tcPr>
            <w:tcW w:type="dxa" w:w="2160"/>
            <w:tcMar>
              <w:top w:w="60" w:type="dxa"/>
              <w:start w:w="70" w:type="dxa"/>
              <w:bottom w:w="60" w:type="dxa"/>
              <w:end w:w="70" w:type="dxa"/>
            </w:tcMar>
            <w:vAlign w:val="center"/>
          </w:tcPr>
          <w:p>
            <w:pPr>
              <w:spacing w:after="0" w:before="0" w:line="240" w:lineRule="auto"/>
            </w:pPr>
            <w:r>
              <w:rPr>
                <w:rFonts w:ascii="Aptos" w:hAnsi="Aptos"/>
                <w:sz w:val="16"/>
              </w:rPr>
              <w:t>$990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High-value recurring research</w:t>
            </w:r>
          </w:p>
        </w:tc>
      </w:tr>
      <w:tr>
        <w:tc>
          <w:tcPr>
            <w:tcW w:type="dxa" w:w="4320"/>
            <w:tcMar>
              <w:top w:w="60" w:type="dxa"/>
              <w:start w:w="70" w:type="dxa"/>
              <w:bottom w:w="60" w:type="dxa"/>
              <w:end w:w="70" w:type="dxa"/>
            </w:tcMar>
            <w:vAlign w:val="center"/>
          </w:tcPr>
          <w:p>
            <w:pPr>
              <w:spacing w:after="0" w:before="0" w:line="240" w:lineRule="auto"/>
            </w:pPr>
            <w:r>
              <w:rPr>
                <w:rFonts w:ascii="Aptos" w:hAnsi="Aptos"/>
                <w:sz w:val="16"/>
              </w:rPr>
              <w:t>Sponsors</w:t>
            </w:r>
          </w:p>
        </w:tc>
        <w:tc>
          <w:tcPr>
            <w:tcW w:type="dxa" w:w="2160"/>
            <w:tcMar>
              <w:top w:w="60" w:type="dxa"/>
              <w:start w:w="70" w:type="dxa"/>
              <w:bottom w:w="60" w:type="dxa"/>
              <w:end w:w="70" w:type="dxa"/>
            </w:tcMar>
            <w:vAlign w:val="center"/>
          </w:tcPr>
          <w:p>
            <w:pPr>
              <w:spacing w:after="0" w:before="0" w:line="240" w:lineRule="auto"/>
            </w:pPr>
            <w:r>
              <w:rPr>
                <w:rFonts w:ascii="Aptos" w:hAnsi="Aptos"/>
                <w:sz w:val="16"/>
              </w:rPr>
              <w:t>$1,000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Monetize audience without paywalling everything</w:t>
            </w:r>
          </w:p>
        </w:tc>
      </w:tr>
      <w:tr>
        <w:tc>
          <w:tcPr>
            <w:tcW w:type="dxa" w:w="4320"/>
            <w:tcMar>
              <w:top w:w="60" w:type="dxa"/>
              <w:start w:w="70" w:type="dxa"/>
              <w:bottom w:w="60" w:type="dxa"/>
              <w:end w:w="70" w:type="dxa"/>
            </w:tcMar>
            <w:vAlign w:val="center"/>
          </w:tcPr>
          <w:p>
            <w:pPr>
              <w:spacing w:after="0" w:before="0" w:line="240" w:lineRule="auto"/>
            </w:pPr>
            <w:r>
              <w:rPr>
                <w:rFonts w:ascii="Aptos" w:hAnsi="Aptos"/>
                <w:sz w:val="16"/>
              </w:rPr>
              <w:t>B2B Data Licensing</w:t>
            </w:r>
          </w:p>
        </w:tc>
        <w:tc>
          <w:tcPr>
            <w:tcW w:type="dxa" w:w="2160"/>
            <w:tcMar>
              <w:top w:w="60" w:type="dxa"/>
              <w:start w:w="70" w:type="dxa"/>
              <w:bottom w:w="60" w:type="dxa"/>
              <w:end w:w="70" w:type="dxa"/>
            </w:tcMar>
            <w:vAlign w:val="center"/>
          </w:tcPr>
          <w:p>
            <w:pPr>
              <w:spacing w:after="0" w:before="0" w:line="240" w:lineRule="auto"/>
            </w:pPr>
            <w:r>
              <w:rPr>
                <w:rFonts w:ascii="Aptos" w:hAnsi="Aptos"/>
                <w:sz w:val="16"/>
              </w:rPr>
              <w:t>$750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Monetize proprietary database advantage</w:t>
            </w:r>
          </w:p>
        </w:tc>
      </w:tr>
      <w:tr>
        <w:tc>
          <w:tcPr>
            <w:tcW w:type="dxa" w:w="4320"/>
            <w:tcMar>
              <w:top w:w="60" w:type="dxa"/>
              <w:start w:w="70" w:type="dxa"/>
              <w:bottom w:w="60" w:type="dxa"/>
              <w:end w:w="70" w:type="dxa"/>
            </w:tcMar>
            <w:vAlign w:val="center"/>
          </w:tcPr>
          <w:p>
            <w:pPr>
              <w:spacing w:after="0" w:before="0" w:line="240" w:lineRule="auto"/>
            </w:pPr>
            <w:r>
              <w:rPr>
                <w:rFonts w:ascii="Aptos" w:hAnsi="Aptos"/>
                <w:sz w:val="16"/>
              </w:rPr>
              <w:t>Reports</w:t>
            </w:r>
          </w:p>
        </w:tc>
        <w:tc>
          <w:tcPr>
            <w:tcW w:type="dxa" w:w="2160"/>
            <w:tcMar>
              <w:top w:w="60" w:type="dxa"/>
              <w:start w:w="70" w:type="dxa"/>
              <w:bottom w:w="60" w:type="dxa"/>
              <w:end w:w="70" w:type="dxa"/>
            </w:tcMar>
            <w:vAlign w:val="center"/>
          </w:tcPr>
          <w:p>
            <w:pPr>
              <w:spacing w:after="0" w:before="0" w:line="240" w:lineRule="auto"/>
            </w:pPr>
            <w:r>
              <w:rPr>
                <w:rFonts w:ascii="Aptos" w:hAnsi="Aptos"/>
                <w:sz w:val="16"/>
              </w:rPr>
              <w:t>$750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One-time acquisition and cash flow</w:t>
            </w:r>
          </w:p>
        </w:tc>
      </w:tr>
      <w:tr>
        <w:tc>
          <w:tcPr>
            <w:tcW w:type="dxa" w:w="4320"/>
            <w:tcMar>
              <w:top w:w="60" w:type="dxa"/>
              <w:start w:w="70" w:type="dxa"/>
              <w:bottom w:w="60" w:type="dxa"/>
              <w:end w:w="70" w:type="dxa"/>
            </w:tcMar>
            <w:vAlign w:val="center"/>
          </w:tcPr>
          <w:p>
            <w:pPr>
              <w:spacing w:after="0" w:before="0" w:line="240" w:lineRule="auto"/>
            </w:pPr>
            <w:r>
              <w:rPr>
                <w:rFonts w:ascii="Aptos" w:hAnsi="Aptos"/>
                <w:sz w:val="16"/>
              </w:rPr>
              <w:t>Webinars</w:t>
            </w:r>
          </w:p>
        </w:tc>
        <w:tc>
          <w:tcPr>
            <w:tcW w:type="dxa" w:w="2160"/>
            <w:tcMar>
              <w:top w:w="60" w:type="dxa"/>
              <w:start w:w="70" w:type="dxa"/>
              <w:bottom w:w="60" w:type="dxa"/>
              <w:end w:w="70" w:type="dxa"/>
            </w:tcMar>
            <w:vAlign w:val="center"/>
          </w:tcPr>
          <w:p>
            <w:pPr>
              <w:spacing w:after="0" w:before="0" w:line="240" w:lineRule="auto"/>
            </w:pPr>
            <w:r>
              <w:rPr>
                <w:rFonts w:ascii="Aptos" w:hAnsi="Aptos"/>
                <w:sz w:val="16"/>
              </w:rPr>
              <w:t>$500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Retention + conversion</w:t>
            </w:r>
          </w:p>
        </w:tc>
      </w:tr>
      <w:tr>
        <w:tc>
          <w:tcPr>
            <w:tcW w:type="dxa" w:w="4320"/>
            <w:tcMar>
              <w:top w:w="60" w:type="dxa"/>
              <w:start w:w="70" w:type="dxa"/>
              <w:bottom w:w="60" w:type="dxa"/>
              <w:end w:w="70" w:type="dxa"/>
            </w:tcMar>
            <w:vAlign w:val="center"/>
          </w:tcPr>
          <w:p>
            <w:pPr>
              <w:spacing w:after="0" w:before="0" w:line="240" w:lineRule="auto"/>
            </w:pPr>
            <w:r>
              <w:rPr>
                <w:rFonts w:ascii="Aptos" w:hAnsi="Aptos"/>
                <w:sz w:val="16"/>
              </w:rPr>
              <w:t>Sponsored Research</w:t>
            </w:r>
          </w:p>
        </w:tc>
        <w:tc>
          <w:tcPr>
            <w:tcW w:type="dxa" w:w="2160"/>
            <w:tcMar>
              <w:top w:w="60" w:type="dxa"/>
              <w:start w:w="70" w:type="dxa"/>
              <w:bottom w:w="60" w:type="dxa"/>
              <w:end w:w="70" w:type="dxa"/>
            </w:tcMar>
            <w:vAlign w:val="center"/>
          </w:tcPr>
          <w:p>
            <w:pPr>
              <w:spacing w:after="0" w:before="0" w:line="240" w:lineRule="auto"/>
            </w:pPr>
            <w:r>
              <w:rPr>
                <w:rFonts w:ascii="Aptos" w:hAnsi="Aptos"/>
                <w:sz w:val="16"/>
              </w:rPr>
              <w:t>$500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B2B services/media</w:t>
            </w:r>
          </w:p>
        </w:tc>
      </w:tr>
      <w:tr>
        <w:tc>
          <w:tcPr>
            <w:tcW w:type="dxa" w:w="4320"/>
            <w:tcMar>
              <w:top w:w="60" w:type="dxa"/>
              <w:start w:w="70" w:type="dxa"/>
              <w:bottom w:w="60" w:type="dxa"/>
              <w:end w:w="70" w:type="dxa"/>
            </w:tcMar>
            <w:vAlign w:val="center"/>
          </w:tcPr>
          <w:p>
            <w:pPr>
              <w:spacing w:after="0" w:before="0" w:line="240" w:lineRule="auto"/>
            </w:pPr>
            <w:r>
              <w:rPr>
                <w:rFonts w:ascii="Aptos" w:hAnsi="Aptos"/>
                <w:sz w:val="16"/>
              </w:rPr>
              <w:t>Affiliates</w:t>
            </w:r>
          </w:p>
        </w:tc>
        <w:tc>
          <w:tcPr>
            <w:tcW w:type="dxa" w:w="2160"/>
            <w:tcMar>
              <w:top w:w="60" w:type="dxa"/>
              <w:start w:w="70" w:type="dxa"/>
              <w:bottom w:w="60" w:type="dxa"/>
              <w:end w:w="70" w:type="dxa"/>
            </w:tcMar>
            <w:vAlign w:val="center"/>
          </w:tcPr>
          <w:p>
            <w:pPr>
              <w:spacing w:after="0" w:before="0" w:line="240" w:lineRule="auto"/>
            </w:pPr>
            <w:r>
              <w:rPr>
                <w:rFonts w:ascii="Aptos" w:hAnsi="Aptos"/>
                <w:sz w:val="16"/>
              </w:rPr>
              <w:t>$350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Secondary monetization</w:t>
            </w:r>
          </w:p>
        </w:tc>
      </w:tr>
      <w:tr>
        <w:tc>
          <w:tcPr>
            <w:tcW w:type="dxa" w:w="4320"/>
            <w:tcMar>
              <w:top w:w="60" w:type="dxa"/>
              <w:start w:w="70" w:type="dxa"/>
              <w:bottom w:w="60" w:type="dxa"/>
              <w:end w:w="70" w:type="dxa"/>
            </w:tcMar>
            <w:vAlign w:val="center"/>
          </w:tcPr>
          <w:p>
            <w:pPr>
              <w:spacing w:after="0" w:before="0" w:line="240" w:lineRule="auto"/>
            </w:pPr>
            <w:r>
              <w:rPr>
                <w:rFonts w:ascii="Aptos" w:hAnsi="Aptos"/>
                <w:sz w:val="16"/>
              </w:rPr>
              <w:t>Directory</w:t>
            </w:r>
          </w:p>
        </w:tc>
        <w:tc>
          <w:tcPr>
            <w:tcW w:type="dxa" w:w="2160"/>
            <w:tcMar>
              <w:top w:w="60" w:type="dxa"/>
              <w:start w:w="70" w:type="dxa"/>
              <w:bottom w:w="60" w:type="dxa"/>
              <w:end w:w="70" w:type="dxa"/>
            </w:tcMar>
            <w:vAlign w:val="center"/>
          </w:tcPr>
          <w:p>
            <w:pPr>
              <w:spacing w:after="0" w:before="0" w:line="240" w:lineRule="auto"/>
            </w:pPr>
            <w:r>
              <w:rPr>
                <w:rFonts w:ascii="Aptos" w:hAnsi="Aptos"/>
                <w:sz w:val="16"/>
              </w:rPr>
              <w:t>$250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Ecosystem marketplace</w:t>
            </w:r>
          </w:p>
        </w:tc>
      </w:tr>
      <w:tr>
        <w:tc>
          <w:tcPr>
            <w:tcW w:type="dxa" w:w="4320"/>
            <w:tcMar>
              <w:top w:w="60" w:type="dxa"/>
              <w:start w:w="70" w:type="dxa"/>
              <w:bottom w:w="60" w:type="dxa"/>
              <w:end w:w="70" w:type="dxa"/>
            </w:tcMar>
            <w:vAlign w:val="center"/>
          </w:tcPr>
          <w:p>
            <w:pPr>
              <w:spacing w:after="0" w:before="0" w:line="240" w:lineRule="auto"/>
            </w:pPr>
            <w:r>
              <w:rPr>
                <w:rFonts w:ascii="Aptos" w:hAnsi="Aptos"/>
                <w:sz w:val="16"/>
              </w:rPr>
              <w:t>Merch/Print</w:t>
            </w:r>
          </w:p>
        </w:tc>
        <w:tc>
          <w:tcPr>
            <w:tcW w:type="dxa" w:w="2160"/>
            <w:tcMar>
              <w:top w:w="60" w:type="dxa"/>
              <w:start w:w="70" w:type="dxa"/>
              <w:bottom w:w="60" w:type="dxa"/>
              <w:end w:w="70" w:type="dxa"/>
            </w:tcMar>
            <w:vAlign w:val="center"/>
          </w:tcPr>
          <w:p>
            <w:pPr>
              <w:spacing w:after="0" w:before="0" w:line="240" w:lineRule="auto"/>
            </w:pPr>
            <w:r>
              <w:rPr>
                <w:rFonts w:ascii="Aptos" w:hAnsi="Aptos"/>
                <w:sz w:val="16"/>
              </w:rPr>
              <w:t>$200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Brand extension</w:t>
            </w:r>
          </w:p>
        </w:tc>
      </w:tr>
      <w:tr>
        <w:tc>
          <w:tcPr>
            <w:tcW w:type="dxa" w:w="4320"/>
            <w:tcMar>
              <w:top w:w="60" w:type="dxa"/>
              <w:start w:w="70" w:type="dxa"/>
              <w:bottom w:w="60" w:type="dxa"/>
              <w:end w:w="70" w:type="dxa"/>
            </w:tcMar>
            <w:vAlign w:val="center"/>
          </w:tcPr>
          <w:p>
            <w:pPr>
              <w:spacing w:after="0" w:before="0" w:line="240" w:lineRule="auto"/>
            </w:pPr>
            <w:r>
              <w:rPr>
                <w:rFonts w:ascii="Aptos" w:hAnsi="Aptos"/>
                <w:sz w:val="16"/>
              </w:rPr>
              <w:t>TOTAL</w:t>
            </w:r>
          </w:p>
        </w:tc>
        <w:tc>
          <w:tcPr>
            <w:tcW w:type="dxa" w:w="2160"/>
            <w:tcMar>
              <w:top w:w="60" w:type="dxa"/>
              <w:start w:w="70" w:type="dxa"/>
              <w:bottom w:w="60" w:type="dxa"/>
              <w:end w:w="70" w:type="dxa"/>
            </w:tcMar>
            <w:vAlign w:val="center"/>
          </w:tcPr>
          <w:p>
            <w:pPr>
              <w:spacing w:after="0" w:before="0" w:line="240" w:lineRule="auto"/>
            </w:pPr>
            <w:r>
              <w:rPr>
                <w:rFonts w:ascii="Aptos" w:hAnsi="Aptos"/>
                <w:sz w:val="16"/>
              </w:rPr>
              <w:t>$7,690</w:t>
            </w:r>
          </w:p>
        </w:tc>
        <w:tc>
          <w:tcPr>
            <w:tcW w:type="dxa" w:w="4320"/>
            <w:tcMar>
              <w:top w:w="60" w:type="dxa"/>
              <w:start w:w="70" w:type="dxa"/>
              <w:bottom w:w="60" w:type="dxa"/>
              <w:end w:w="70" w:type="dxa"/>
            </w:tcMar>
            <w:vAlign w:val="center"/>
          </w:tcPr>
          <w:p>
            <w:pPr>
              <w:spacing w:after="0" w:before="0" w:line="240" w:lineRule="auto"/>
            </w:pPr>
            <w:r>
              <w:rPr>
                <w:rFonts w:ascii="Aptos" w:hAnsi="Aptos"/>
                <w:sz w:val="16"/>
              </w:rPr>
              <w:t>Target-case monthly run-rate</w:t>
            </w:r>
          </w:p>
        </w:tc>
      </w:tr>
    </w:tbl>
    <w:p>
      <w:pPr>
        <w:pStyle w:val="Callout"/>
      </w:pPr>
      <w:r>
        <w:rPr>
          <w:b/>
        </w:rPr>
        <w:t xml:space="preserve">Bottom line: </w:t>
      </w:r>
      <w:r>
        <w:t>XRP Complete should be monetized as a specialized intelligence company, not as a conventional ad-supported crypto blog. The quickest credible route to $5,000/month is to sell access, structured research and sponsor reach around assets that already exist, while the blog and social presence continuously feed the top of the funnel.</w:t>
      </w:r>
    </w:p>
    <w:p>
      <w:r>
        <w:br w:type="page"/>
      </w:r>
    </w:p>
    <w:p>
      <w:pPr>
        <w:pStyle w:val="Heading1"/>
      </w:pPr>
      <w:r>
        <w:t>Sources and Benchmark Notes</w:t>
      </w:r>
    </w:p>
    <w:p>
      <w:pPr>
        <w:spacing w:after="100"/>
      </w:pPr>
      <w:r>
        <w:rPr>
          <w:b/>
        </w:rPr>
        <w:t>XRP Complete homepage and live intelligence pages</w:t>
      </w:r>
      <w:r>
        <w:br/>
        <w:t>https://www.xrpcomplete.com/</w:t>
        <w:br/>
        <w:t>Reviewed August 28, 2026. Used to assess current features, positioning, live data modules, and the 400+ Global Partnership Bridge.</w:t>
      </w:r>
    </w:p>
    <w:p>
      <w:pPr>
        <w:spacing w:after="100"/>
      </w:pPr>
      <w:r>
        <w:rPr>
          <w:b/>
        </w:rPr>
        <w:t>XRP Complete Blog</w:t>
      </w:r>
      <w:r>
        <w:br/>
        <w:t>https://www.xrpcompleteblog.com/</w:t>
        <w:br/>
        <w:t>Reviewed August 28, 2026. Used to assess editorial positioning and long-form content.</w:t>
      </w:r>
    </w:p>
    <w:p>
      <w:pPr>
        <w:spacing w:after="100"/>
      </w:pPr>
      <w:r>
        <w:rPr>
          <w:b/>
        </w:rPr>
        <w:t>XRP Report pricing</w:t>
      </w:r>
      <w:r>
        <w:br/>
        <w:t>https://xrp.report/pricing</w:t>
        <w:br/>
        <w:t>Current competitor reference: free tier and Pro at $29/month or $290/year.</w:t>
      </w:r>
    </w:p>
    <w:p>
      <w:pPr>
        <w:spacing w:after="100"/>
      </w:pPr>
      <w:r>
        <w:rPr>
          <w:b/>
        </w:rPr>
        <w:t>The XRP Investor</w:t>
      </w:r>
      <w:r>
        <w:br/>
        <w:t>https://thexrpinvestor.com/</w:t>
        <w:br/>
        <w:t>Current competitor reference: free and low-cost premium XRP analytics positioning.</w:t>
      </w:r>
    </w:p>
    <w:p>
      <w:pPr>
        <w:spacing w:after="100"/>
      </w:pPr>
      <w:r>
        <w:rPr>
          <w:b/>
        </w:rPr>
        <w:t>Sponsonizer newsletter sponsorship benchmarks</w:t>
      </w:r>
      <w:r>
        <w:br/>
        <w:t>https://sponsonizer.com/tools/newsletter-sponsorship-calculator</w:t>
        <w:br/>
        <w:t>July 2026 benchmark page cites Crypto &amp; Web3 sponsorship CPM ranges around $56–$91 per 1,000 opens.</w:t>
      </w:r>
    </w:p>
    <w:p>
      <w:pPr>
        <w:spacing w:after="100"/>
      </w:pPr>
      <w:r>
        <w:rPr>
          <w:b/>
        </w:rPr>
        <w:t>MailAdx newsletter CPM benchmarks</w:t>
      </w:r>
      <w:r>
        <w:br/>
        <w:t>https://www.mailadx.com/blog/newsletter-ad-rates-cpm-benchmarks-2026</w:t>
        <w:br/>
        <w:t>May 2026 benchmark guide; lists cryptocurrency/Web3 average newsletter CPM near $26 with higher top-tier ranges.</w:t>
      </w:r>
    </w:p>
    <w:p>
      <w:pPr>
        <w:spacing w:after="100"/>
      </w:pPr>
      <w:r>
        <w:rPr>
          <w:b/>
        </w:rPr>
        <w:t>Sponsorships.ai newsletter sponsorship rates</w:t>
      </w:r>
      <w:r>
        <w:br/>
        <w:t>https://sponsorships.ai/blog/newsletter-sponsorship-rates</w:t>
        <w:br/>
        <w:t>July 2026 guide discussing higher CPMs for finance/B2B and specialized newsletters.</w:t>
      </w:r>
    </w:p>
    <w:p>
      <w:pPr>
        <w:spacing w:after="100"/>
      </w:pPr>
      <w:r>
        <w:rPr>
          <w:b/>
        </w:rPr>
        <w:t>XRP Insights advertising page</w:t>
      </w:r>
      <w:r>
        <w:br/>
        <w:t>https://xrp-insights.com/advertise</w:t>
        <w:br/>
        <w:t>Current XRP-audience advertising reference with published website/newsletter/sponsored-content packages; useful as an upper-scale comparator, not as a starting rate for XRP Complete.</w:t>
      </w:r>
    </w:p>
    <w:p>
      <w:pPr>
        <w:spacing w:after="100"/>
      </w:pPr>
      <w:r>
        <w:rPr>
          <w:b/>
        </w:rPr>
        <w:t>Patreon creator fees FAQ</w:t>
      </w:r>
      <w:r>
        <w:br/>
        <w:t>https://support.patreon.com/hc/en-us/articles/22581195376909-Creator-fees-FAQ</w:t>
        <w:br/>
        <w:t>Updated July 2026. Reference for third-party membership platform fee considerations.</w:t>
      </w:r>
    </w:p>
    <w:p>
      <w:pPr>
        <w:pStyle w:val="Heading2"/>
      </w:pPr>
      <w:r>
        <w:t>Forecast Disclaimer</w:t>
      </w:r>
    </w:p>
    <w:p>
      <w:r>
        <w:t>All revenue figures are planning estimates based on stated pricing, reasonable conversion assumptions, current public niche benchmarks, and the commercial features visible on the sites. Actual results will depend on present traffic, email-list size, audience engagement, execution quality, sponsor demand, market conditions, and legal/compliance requirements. The forecast is not a valuation, investment recommendation, or guarantee of revenue.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XRP Complete / Red Rio Ventures, LLC  •  Strategy prepared August 28,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5"/>
      </w:rPr>
      <w:t>XRP COMPLETE | MONETIZATION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sz w:val="16"/>
    </w:rPr>
  </w:style>
  <w:style w:type="paragraph" w:customStyle="1" w:styleId="Callout">
    <w:name w:val="Callout"/>
    <w:pPr>
      <w:spacing w:before="100" w:after="100"/>
      <w:ind w:left="259"/>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