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tabs>
          <w:tab w:val="left" w:leader="none" w:pos="9356"/>
        </w:tabs>
        <w:spacing w:after="120" w:before="0" w:line="240" w:lineRule="auto"/>
        <w:jc w:val="left"/>
        <w:rPr>
          <w:rFonts w:ascii="Roboto Condensed" w:cs="Roboto Condensed" w:eastAsia="Roboto Condensed" w:hAnsi="Roboto Condensed"/>
          <w:sz w:val="38"/>
          <w:szCs w:val="38"/>
        </w:rPr>
      </w:pPr>
      <w:bookmarkStart w:colFirst="0" w:colLast="0" w:name="_heading=h.pobvpi4nlsrg" w:id="0"/>
      <w:bookmarkEnd w:id="0"/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48"/>
          <w:szCs w:val="48"/>
          <w:rtl w:val="0"/>
        </w:rPr>
        <w:br w:type="textWrapping"/>
      </w:r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38"/>
          <w:szCs w:val="38"/>
          <w:rtl w:val="0"/>
        </w:rPr>
        <w:t xml:space="preserve">Homework |</w:t>
      </w:r>
      <w:r w:rsidDel="00000000" w:rsidR="00000000" w:rsidRPr="00000000">
        <w:rPr>
          <w:rFonts w:ascii="Roboto Condensed" w:cs="Roboto Condensed" w:eastAsia="Roboto Condensed" w:hAnsi="Roboto Condensed"/>
          <w:sz w:val="38"/>
          <w:szCs w:val="38"/>
          <w:rtl w:val="0"/>
        </w:rPr>
        <w:t xml:space="preserve"> 7. NoSQL Database</w:t>
      </w:r>
    </w:p>
    <w:p w:rsidR="00000000" w:rsidDel="00000000" w:rsidP="00000000" w:rsidRDefault="00000000" w:rsidRPr="00000000" w14:paraId="00000002">
      <w:pPr>
        <w:tabs>
          <w:tab w:val="left" w:leader="none" w:pos="9356"/>
        </w:tabs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3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8370"/>
        <w:tblGridChange w:id="0">
          <w:tblGrid>
            <w:gridCol w:w="1665"/>
            <w:gridCol w:w="837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after="0" w:line="360" w:lineRule="auto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  <w:rtl w:val="0"/>
              </w:rPr>
              <w:t xml:space="preserve">Stack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360" w:hanging="360"/>
              <w:rPr>
                <w:rFonts w:ascii="Open Sans" w:cs="Open Sans" w:eastAsia="Open Sans" w:hAnsi="Open Sans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MySQL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360" w:hanging="360"/>
              <w:rPr>
                <w:rFonts w:ascii="Open Sans" w:cs="Open Sans" w:eastAsia="Open Sans" w:hAnsi="Open Sans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MongoDB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360" w:hanging="360"/>
              <w:rPr>
                <w:rFonts w:ascii="Open Sans" w:cs="Open Sans" w:eastAsia="Open Sans" w:hAnsi="Open Sans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Sequelize/TypeORM/Mongoose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tabs>
          <w:tab w:val="left" w:leader="none" w:pos="9356"/>
        </w:tabs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3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8370"/>
        <w:tblGridChange w:id="0">
          <w:tblGrid>
            <w:gridCol w:w="1665"/>
            <w:gridCol w:w="837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0" w:line="360" w:lineRule="auto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  <w:rtl w:val="0"/>
              </w:rPr>
              <w:t xml:space="preserve">TO DO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0" w:line="240" w:lineRule="auto"/>
              <w:ind w:left="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1. You should reuse the project from homework number 6</w:t>
            </w:r>
          </w:p>
          <w:p w:rsidR="00000000" w:rsidDel="00000000" w:rsidP="00000000" w:rsidRDefault="00000000" w:rsidRPr="00000000" w14:paraId="0000000A">
            <w:pPr>
              <w:widowControl w:val="0"/>
              <w:spacing w:after="0" w:line="240" w:lineRule="auto"/>
              <w:ind w:left="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2. You should store data in MongoDB</w:t>
            </w:r>
          </w:p>
          <w:p w:rsidR="00000000" w:rsidDel="00000000" w:rsidP="00000000" w:rsidRDefault="00000000" w:rsidRPr="00000000" w14:paraId="0000000B">
            <w:pPr>
              <w:widowControl w:val="0"/>
              <w:spacing w:after="0" w:line="240" w:lineRule="auto"/>
              <w:ind w:left="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3. Implement database replication. Use SQL database for write actions and</w:t>
            </w:r>
          </w:p>
          <w:p w:rsidR="00000000" w:rsidDel="00000000" w:rsidP="00000000" w:rsidRDefault="00000000" w:rsidRPr="00000000" w14:paraId="0000000C">
            <w:pPr>
              <w:widowControl w:val="0"/>
              <w:spacing w:after="0" w:line="240" w:lineRule="auto"/>
              <w:ind w:left="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NoSQL database for read only. The NoSQL database contains plain models</w:t>
            </w:r>
          </w:p>
          <w:p w:rsidR="00000000" w:rsidDel="00000000" w:rsidP="00000000" w:rsidRDefault="00000000" w:rsidRPr="00000000" w14:paraId="0000000D">
            <w:pPr>
              <w:widowControl w:val="0"/>
              <w:spacing w:after="0" w:line="240" w:lineRule="auto"/>
              <w:ind w:left="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and more complex structured models which have the result of multiple joins</w:t>
            </w:r>
          </w:p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ind w:left="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that it could be if we used the SQL database.</w:t>
            </w:r>
          </w:p>
        </w:tc>
      </w:tr>
    </w:tbl>
    <w:p w:rsidR="00000000" w:rsidDel="00000000" w:rsidP="00000000" w:rsidRDefault="00000000" w:rsidRPr="00000000" w14:paraId="0000000F">
      <w:pPr>
        <w:tabs>
          <w:tab w:val="left" w:leader="none" w:pos="9356"/>
        </w:tabs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03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8370"/>
        <w:tblGridChange w:id="0">
          <w:tblGrid>
            <w:gridCol w:w="1665"/>
            <w:gridCol w:w="837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line="360" w:lineRule="auto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  <w:rtl w:val="0"/>
              </w:rPr>
              <w:t xml:space="preserve">NOTE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You don’t need to make the stabilization mechanism, you should</w:t>
            </w:r>
          </w:p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implement the process of transferring data between databases and get this</w:t>
            </w:r>
          </w:p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data from the appropriate database</w:t>
            </w:r>
          </w:p>
        </w:tc>
      </w:tr>
    </w:tbl>
    <w:p w:rsidR="00000000" w:rsidDel="00000000" w:rsidP="00000000" w:rsidRDefault="00000000" w:rsidRPr="00000000" w14:paraId="00000014">
      <w:pPr>
        <w:tabs>
          <w:tab w:val="left" w:leader="none" w:pos="9356"/>
        </w:tabs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863.9999999999999" w:top="1872.0000000000002" w:left="1080" w:right="108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Condensed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spacing w:after="120" w:line="240" w:lineRule="auto"/>
      <w:rPr>
        <w:rFonts w:ascii="Open Sans" w:cs="Open Sans" w:eastAsia="Open Sans" w:hAnsi="Open Sans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4"/>
      <w:tblW w:w="9961.0" w:type="dxa"/>
      <w:jc w:val="left"/>
      <w:tblInd w:w="-16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931"/>
      <w:gridCol w:w="3030"/>
      <w:tblGridChange w:id="0">
        <w:tblGrid>
          <w:gridCol w:w="6931"/>
          <w:gridCol w:w="3030"/>
        </w:tblGrid>
      </w:tblGridChange>
    </w:tblGrid>
    <w:tr>
      <w:trPr>
        <w:cantSplit w:val="0"/>
        <w:tblHeader w:val="0"/>
      </w:trPr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1D">
          <w:pPr>
            <w:widowControl w:val="0"/>
            <w:spacing w:after="0" w:line="240" w:lineRule="auto"/>
            <w:ind w:left="-90" w:firstLine="0"/>
            <w:jc w:val="center"/>
            <w:rPr>
              <w:rFonts w:ascii="Open Sans" w:cs="Open Sans" w:eastAsia="Open Sans" w:hAnsi="Open Sans"/>
              <w:sz w:val="16"/>
              <w:szCs w:val="16"/>
            </w:rPr>
          </w:pPr>
          <w:r w:rsidDel="00000000" w:rsidR="00000000" w:rsidRPr="00000000">
            <w:rPr>
              <w:rFonts w:ascii="Roboto Condensed" w:cs="Roboto Condensed" w:eastAsia="Roboto Condensed" w:hAnsi="Roboto Condensed"/>
              <w:color w:val="b7b7b7"/>
              <w:sz w:val="16"/>
              <w:szCs w:val="16"/>
              <w:rtl w:val="0"/>
            </w:rPr>
            <w:t xml:space="preserve">LeverX Educational Center</w:t>
            <w:tab/>
            <w:t xml:space="preserve">                                   Copyright © 2003-2024 by LeverX International, LLC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1E">
          <w:pPr>
            <w:widowControl w:val="0"/>
            <w:spacing w:after="0" w:line="240" w:lineRule="auto"/>
            <w:jc w:val="right"/>
            <w:rPr>
              <w:rFonts w:ascii="Roboto Condensed Light" w:cs="Roboto Condensed Light" w:eastAsia="Roboto Condensed Light" w:hAnsi="Roboto Condensed Light"/>
              <w:color w:val="b7b7b7"/>
              <w:sz w:val="16"/>
              <w:szCs w:val="16"/>
            </w:rPr>
          </w:pPr>
          <w:r w:rsidDel="00000000" w:rsidR="00000000" w:rsidRPr="00000000">
            <w:rPr>
              <w:rFonts w:ascii="Roboto Condensed Light" w:cs="Roboto Condensed Light" w:eastAsia="Roboto Condensed Light" w:hAnsi="Roboto Condensed Light"/>
              <w:color w:val="999999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F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-5290</wp:posOffset>
          </wp:positionH>
          <wp:positionV relativeFrom="page">
            <wp:posOffset>-707</wp:posOffset>
          </wp:positionV>
          <wp:extent cx="7780487" cy="1118325"/>
          <wp:effectExtent b="0" l="0" r="0" t="0"/>
          <wp:wrapNone/>
          <wp:docPr id="10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401" r="401" t="0"/>
                  <a:stretch>
                    <a:fillRect/>
                  </a:stretch>
                </pic:blipFill>
                <pic:spPr>
                  <a:xfrm>
                    <a:off x="0" y="0"/>
                    <a:ext cx="7780487" cy="1118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b w:val="1"/>
        <w:sz w:val="20"/>
        <w:szCs w:val="20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ab/>
    </w:r>
  </w:p>
  <w:p w:rsidR="00000000" w:rsidDel="00000000" w:rsidP="00000000" w:rsidRDefault="00000000" w:rsidRPr="00000000" w14:paraId="00000016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tabs>
        <w:tab w:val="center" w:leader="none" w:pos="4844"/>
        <w:tab w:val="right" w:leader="none" w:pos="9689"/>
      </w:tabs>
      <w:spacing w:after="0" w:line="276" w:lineRule="auto"/>
      <w:ind w:left="8100" w:right="-360" w:firstLine="0"/>
      <w:rPr>
        <w:rFonts w:ascii="Tahoma" w:cs="Tahoma" w:eastAsia="Tahoma" w:hAnsi="Tahoma"/>
        <w:sz w:val="20"/>
        <w:szCs w:val="20"/>
      </w:rPr>
    </w:pPr>
    <w:r w:rsidDel="00000000" w:rsidR="00000000" w:rsidRPr="00000000">
      <w:rPr>
        <w:rFonts w:ascii="Roboto Condensed" w:cs="Roboto Condensed" w:eastAsia="Roboto Condensed" w:hAnsi="Roboto Condensed"/>
        <w:b w:val="1"/>
        <w:color w:val="ffffff"/>
        <w:sz w:val="20"/>
        <w:szCs w:val="20"/>
        <w:rtl w:val="0"/>
      </w:rPr>
      <w:t xml:space="preserve">LeverX EDU Crew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hyperlink r:id="rId2">
      <w:r w:rsidDel="00000000" w:rsidR="00000000" w:rsidRPr="00000000">
        <w:rPr>
          <w:rFonts w:ascii="Open Sans" w:cs="Open Sans" w:eastAsia="Open Sans" w:hAnsi="Open Sans"/>
          <w:color w:val="ffffff"/>
          <w:sz w:val="18"/>
          <w:szCs w:val="18"/>
          <w:u w:val="single"/>
          <w:rtl w:val="0"/>
        </w:rPr>
        <w:t xml:space="preserve">leverx.com</w:t>
      </w:r>
    </w:hyperlink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 </w:t>
    </w:r>
  </w:p>
  <w:p w:rsidR="00000000" w:rsidDel="00000000" w:rsidP="00000000" w:rsidRDefault="00000000" w:rsidRPr="00000000" w14:paraId="00000019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Email: training@leverx.com</w:t>
    </w:r>
  </w:p>
  <w:p w:rsidR="00000000" w:rsidDel="00000000" w:rsidP="00000000" w:rsidRDefault="00000000" w:rsidRPr="00000000" w14:paraId="0000001A">
    <w:pPr>
      <w:tabs>
        <w:tab w:val="center" w:leader="none" w:pos="4844"/>
        <w:tab w:val="right" w:leader="none" w:pos="9689"/>
      </w:tabs>
      <w:spacing w:after="0" w:line="240" w:lineRule="auto"/>
      <w:ind w:left="6480" w:right="-225" w:firstLine="0"/>
      <w:jc w:val="center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color w:val="333333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color w:val="ffb5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obotoCondensedLight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Relationship Id="rId9" Type="http://schemas.openxmlformats.org/officeDocument/2006/relationships/font" Target="fonts/RobotoCondensedLight-italic.ttf"/><Relationship Id="rId14" Type="http://schemas.openxmlformats.org/officeDocument/2006/relationships/font" Target="fonts/OpenSans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CondensedLight-regular.ttf"/><Relationship Id="rId8" Type="http://schemas.openxmlformats.org/officeDocument/2006/relationships/font" Target="fonts/RobotoCondensed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hyperlink" Target="https://leverx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jWmbtzC1qC9FjOxZ6zrMvyydew==">CgMxLjAyDmgucG9idnBpNG5sc3JnOAByITFneVpQdjN2Zl91cVBjRjJPUW95UzdJeHRJRzZXRGlRMw==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