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80"/>
      </w:pPr>
      <w:r>
        <w:rPr>
          <w:rFonts w:ascii="Arial" w:cs="Arial" w:eastAsia="Arial" w:hAnsi="Arial"/>
          <w:b/>
          <w:bCs/>
          <w:color w:val="0D1117"/>
          <w:sz w:val="72"/>
          <w:szCs w:val="72"/>
        </w:rPr>
        <w:t xml:space="preserve">WHAT IS</w:t>
      </w:r>
    </w:p>
    <w:p>
      <w:pPr>
        <w:spacing w:after="80"/>
      </w:pPr>
      <w:r>
        <w:rPr>
          <w:rFonts w:ascii="Arial" w:cs="Arial" w:eastAsia="Arial" w:hAnsi="Arial"/>
          <w:b/>
          <w:bCs/>
          <w:color w:val="0D1117"/>
          <w:sz w:val="72"/>
          <w:szCs w:val="72"/>
        </w:rPr>
        <w:t xml:space="preserve">ACTUALLY</w:t>
      </w:r>
    </w:p>
    <w:p>
      <w:pPr>
        <w:spacing w:after="200"/>
      </w:pPr>
      <w:r>
        <w:rPr>
          <w:rFonts w:ascii="Arial" w:cs="Arial" w:eastAsia="Arial" w:hAnsi="Arial"/>
          <w:b/>
          <w:bCs/>
          <w:color w:val="E63946"/>
          <w:sz w:val="72"/>
          <w:szCs w:val="72"/>
        </w:rPr>
        <w:t xml:space="preserve">HAPPENING</w:t>
      </w:r>
    </w:p>
    <w:p>
      <w:pPr>
        <w:pBdr>
          <w:bottom w:val="single" w:color="E63946" w:sz="6" w:space="1"/>
        </w:pBdr>
        <w:spacing w:after="400"/>
      </w:pPr>
    </w:p>
    <w:p>
      <w:pPr>
        <w:spacing w:after="120"/>
      </w:pPr>
      <w:r>
        <w:rPr>
          <w:rFonts w:ascii="Arial" w:cs="Arial" w:eastAsia="Arial" w:hAnsi="Arial"/>
          <w:color w:val="6B7280"/>
          <w:sz w:val="36"/>
          <w:szCs w:val="36"/>
        </w:rPr>
        <w:t xml:space="preserve">Brand Guide</w:t>
      </w:r>
    </w:p>
    <w:p>
      <w:pPr>
        <w:spacing w:after="80"/>
      </w:pPr>
      <w:r>
        <w:rPr>
          <w:rFonts w:ascii="Arial" w:cs="Arial" w:eastAsia="Arial" w:hAnsi="Arial"/>
          <w:color w:val="6B7280"/>
          <w:sz w:val="22"/>
          <w:szCs w:val="22"/>
        </w:rPr>
        <w:t xml:space="preserve">Version 1.0  —  March 2026</w:t>
      </w:r>
    </w:p>
    <w:p>
      <w:pPr>
        <w:spacing w:after="0" w:before="1600"/>
      </w:pPr>
    </w:p>
    <w:p>
      <w:r>
        <w:rPr>
          <w:rFonts w:ascii="Arial" w:cs="Arial" w:eastAsia="Arial" w:hAnsi="Arial"/>
          <w:color w:val="6B7280"/>
          <w:sz w:val="18"/>
          <w:szCs w:val="18"/>
        </w:rPr>
        <w:t xml:space="preserve">Confidential  —  For internal use</w:t>
      </w:r>
    </w:p>
    <w:p>
      <w:pPr>
        <w:sectPr>
          <w:pgSz w:w="11906" w:h="16838" w:orient="portrait"/>
          <w:pgMar w:top="1440" w:right="1440" w:bottom="1440" w:left="1440" w:header="708" w:footer="708" w:gutter="0"/>
          <w:pgNumType/>
          <w:docGrid w:linePitch="360"/>
        </w:sectPr>
      </w:pPr>
    </w:p>
    <w:p>
      <w:pPr>
        <w:spacing w:after="200" w:before="100"/>
      </w:pPr>
      <w:r>
        <w:rPr>
          <w:rFonts w:ascii="Arial" w:cs="Arial" w:eastAsia="Arial" w:hAnsi="Arial"/>
          <w:b/>
          <w:bCs/>
          <w:color w:val="0D1117"/>
          <w:sz w:val="28"/>
          <w:szCs w:val="28"/>
        </w:rPr>
        <w:t xml:space="preserve">01. BRAND ESSENCE</w:t>
      </w:r>
    </w:p>
    <w:p>
      <w:pPr>
        <w:spacing w:after="300" w:before="200"/>
      </w:pPr>
      <w:r>
        <w:rPr>
          <w:rFonts w:ascii="Arial" w:cs="Arial" w:eastAsia="Arial" w:hAnsi="Arial"/>
          <w:i/>
          <w:iCs/>
          <w:color w:val="264653"/>
          <w:sz w:val="36"/>
          <w:szCs w:val="36"/>
        </w:rPr>
        <w:t xml:space="preserve">The state of the nation, made visible.</w:t>
      </w:r>
    </w:p>
    <w:p>
      <w:pPr>
        <w:spacing w:after="160" w:before="0" w:line="320"/>
        <w:jc w:val="left"/>
      </w:pPr>
      <w:r>
        <w:rPr>
          <w:rFonts w:ascii="Arial" w:cs="Arial" w:eastAsia="Arial" w:hAnsi="Arial"/>
          <w:color w:val="374151"/>
          <w:sz w:val="22"/>
          <w:szCs w:val="22"/>
        </w:rPr>
        <w:t xml:space="preserve">WIAH — What Is Actually Happening — is a curated data platform that makes the real state of the UK visible, understandable, and shareable. It answers the questions ordinary people actually ask about the country they live in: Can I see a doctor? Can I afford a home? Is my water clean? What happens when I call 999?</w:t>
      </w:r>
    </w:p>
    <w:p>
      <w:pPr>
        <w:spacing w:after="160" w:before="0" w:line="320"/>
        <w:jc w:val="left"/>
      </w:pPr>
      <w:r>
        <w:rPr>
          <w:rFonts w:ascii="Arial" w:cs="Arial" w:eastAsia="Arial" w:hAnsi="Arial"/>
          <w:color w:val="374151"/>
          <w:sz w:val="22"/>
          <w:szCs w:val="22"/>
        </w:rPr>
        <w:t xml:space="preserve">Each topic presents two or three carefully chosen, data-driven visual stories. Not everything. Not a data dump. The things that matter, made beautiful and immediate. Navigate to “What is actually happening in... prisons / housing / the NHS” and get the answer in seconds.</w:t>
      </w:r>
    </w:p>
    <w:p>
      <w:pPr>
        <w:spacing w:after="160" w:before="0" w:line="320"/>
        <w:jc w:val="left"/>
      </w:pPr>
      <w:r>
        <w:rPr>
          <w:rFonts w:ascii="Arial" w:cs="Arial" w:eastAsia="Arial" w:hAnsi="Arial"/>
          <w:color w:val="374151"/>
          <w:sz w:val="22"/>
          <w:szCs w:val="22"/>
        </w:rPr>
        <w:t xml:space="preserve">WIAH sits in a space nobody else occupies. It is not a government statistics portal (comprehensive but impenetrable), not a think tank report (credible but annual and dry), not data journalism (reactive and fleeting). It is permanent infrastructure for public understanding — always live, always current, always accessible.</w:t>
      </w:r>
    </w:p>
    <w:p>
      <w:pPr>
        <w:spacing w:after="0" w:before="200"/>
      </w:pPr>
    </w:p>
    <w:p>
      <w:pPr>
        <w:spacing w:after="200" w:before="100"/>
      </w:pPr>
      <w:r>
        <w:rPr>
          <w:rFonts w:ascii="Arial" w:cs="Arial" w:eastAsia="Arial" w:hAnsi="Arial"/>
          <w:b/>
          <w:bCs/>
          <w:color w:val="0D1117"/>
          <w:sz w:val="28"/>
          <w:szCs w:val="28"/>
        </w:rPr>
        <w:t xml:space="preserve">BRAND POSITIONING</w:t>
      </w:r>
    </w:p>
    <w:p>
      <w:pPr>
        <w:spacing w:after="160" w:before="0" w:line="320"/>
        <w:jc w:val="left"/>
      </w:pPr>
      <w:r>
        <w:rPr>
          <w:rFonts w:ascii="Arial" w:cs="Arial" w:eastAsia="Arial" w:hAnsi="Arial"/>
          <w:color w:val="374151"/>
          <w:sz w:val="22"/>
          <w:szCs w:val="22"/>
        </w:rPr>
        <w:t xml:space="preserve">WIAH is Our World in Data, but for the UK specifically, focused on public services, and designed for ordinary people. That is a sentence nobody else can claim.</w:t>
      </w:r>
    </w:p>
    <w:p>
      <w:pPr>
        <w:spacing w:after="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none" w:sz="0"/>
              <w:left w:val="none" w:sz="0"/>
              <w:bottom w:val="single" w:color="0D1117" w:sz="2"/>
              <w:right w:val="none" w:sz="0"/>
            </w:tcBorders>
            <w:tcMar>
              <w:top w:type="dxa" w:w="80"/>
              <w:left w:type="dxa" w:w="80"/>
              <w:bottom w:type="dxa" w:w="120"/>
              <w:right w:type="dxa" w:w="80"/>
            </w:tcMar>
          </w:tcPr>
          <w:p>
            <w:r>
              <w:rPr>
                <w:rFonts w:ascii="Arial" w:cs="Arial" w:eastAsia="Arial" w:hAnsi="Arial"/>
                <w:b/>
                <w:bCs/>
                <w:color w:val="0D1117"/>
                <w:sz w:val="18"/>
                <w:szCs w:val="18"/>
              </w:rPr>
              <w:t xml:space="preserve">WE ARE</w:t>
            </w:r>
          </w:p>
        </w:tc>
        <w:tc>
          <w:tcPr>
            <w:tcW w:type="dxa" w:w="3008"/>
            <w:tcBorders>
              <w:top w:val="none" w:sz="0"/>
              <w:left w:val="none" w:sz="0"/>
              <w:bottom w:val="single" w:color="0D1117" w:sz="2"/>
              <w:right w:val="none" w:sz="0"/>
            </w:tcBorders>
            <w:tcMar>
              <w:top w:type="dxa" w:w="80"/>
              <w:left w:type="dxa" w:w="80"/>
              <w:bottom w:type="dxa" w:w="120"/>
              <w:right w:type="dxa" w:w="80"/>
            </w:tcMar>
          </w:tcPr>
          <w:p>
            <w:r>
              <w:rPr>
                <w:rFonts w:ascii="Arial" w:cs="Arial" w:eastAsia="Arial" w:hAnsi="Arial"/>
                <w:b/>
                <w:bCs/>
                <w:color w:val="0D1117"/>
                <w:sz w:val="18"/>
                <w:szCs w:val="18"/>
              </w:rPr>
              <w:t xml:space="preserve">WE ARE NOT</w:t>
            </w:r>
          </w:p>
        </w:tc>
        <w:tc>
          <w:tcPr>
            <w:tcW w:type="dxa" w:w="3008"/>
            <w:tcBorders>
              <w:top w:val="none" w:sz="0"/>
              <w:left w:val="none" w:sz="0"/>
              <w:bottom w:val="single" w:color="0D1117" w:sz="2"/>
              <w:right w:val="none" w:sz="0"/>
            </w:tcBorders>
            <w:tcMar>
              <w:top w:type="dxa" w:w="80"/>
              <w:left w:type="dxa" w:w="80"/>
              <w:bottom w:type="dxa" w:w="120"/>
              <w:right w:type="dxa" w:w="80"/>
            </w:tcMar>
          </w:tcPr>
          <w:p>
            <w:r>
              <w:rPr>
                <w:rFonts w:ascii="Arial" w:cs="Arial" w:eastAsia="Arial" w:hAnsi="Arial"/>
                <w:b/>
                <w:bCs/>
                <w:color w:val="0D1117"/>
                <w:sz w:val="18"/>
                <w:szCs w:val="18"/>
              </w:rPr>
              <w:t xml:space="preserve">WE SIT BETWEEN</w:t>
            </w:r>
          </w:p>
        </w:tc>
      </w:tr>
      <w:tr>
        <w:tc>
          <w:tcPr>
            <w:tcW w:type="dxa" w:w="3008"/>
            <w:tcBorders>
              <w:top w:val="none" w:sz="0"/>
              <w:left w:val="none" w:sz="0"/>
              <w:bottom w:val="none" w:sz="0"/>
              <w:right w:val="none" w:sz="0"/>
            </w:tcBorders>
            <w:tcMar>
              <w:top w:type="dxa" w:w="120"/>
              <w:left w:type="dxa" w:w="80"/>
              <w:bottom w:type="dxa" w:w="80"/>
              <w:right w:type="dxa" w:w="80"/>
            </w:tcMar>
          </w:tcPr>
          <w:p>
            <w:pPr>
              <w:spacing w:after="40" w:before="40" w:line="280"/>
            </w:pPr>
            <w:r>
              <w:rPr>
                <w:rFonts w:ascii="Arial" w:cs="Arial" w:eastAsia="Arial" w:hAnsi="Arial"/>
                <w:color w:val="374151"/>
                <w:sz w:val="20"/>
                <w:szCs w:val="20"/>
              </w:rPr>
              <w:t xml:space="preserve">Curated and editorial</w:t>
            </w:r>
          </w:p>
          <w:p>
            <w:pPr>
              <w:spacing w:after="40" w:before="40" w:line="280"/>
            </w:pPr>
            <w:r>
              <w:rPr>
                <w:rFonts w:ascii="Arial" w:cs="Arial" w:eastAsia="Arial" w:hAnsi="Arial"/>
                <w:color w:val="374151"/>
                <w:sz w:val="20"/>
                <w:szCs w:val="20"/>
              </w:rPr>
              <w:t xml:space="preserve">Visually compelling</w:t>
            </w:r>
          </w:p>
          <w:p>
            <w:pPr>
              <w:spacing w:after="40" w:before="40" w:line="280"/>
            </w:pPr>
            <w:r>
              <w:rPr>
                <w:rFonts w:ascii="Arial" w:cs="Arial" w:eastAsia="Arial" w:hAnsi="Arial"/>
                <w:color w:val="374151"/>
                <w:sz w:val="20"/>
                <w:szCs w:val="20"/>
              </w:rPr>
              <w:t xml:space="preserve">Updated continuously</w:t>
            </w:r>
          </w:p>
          <w:p>
            <w:pPr>
              <w:spacing w:after="40" w:before="40" w:line="280"/>
            </w:pPr>
            <w:r>
              <w:rPr>
                <w:rFonts w:ascii="Arial" w:cs="Arial" w:eastAsia="Arial" w:hAnsi="Arial"/>
                <w:color w:val="374151"/>
                <w:sz w:val="20"/>
                <w:szCs w:val="20"/>
              </w:rPr>
              <w:t xml:space="preserve">Built for sharing</w:t>
            </w:r>
          </w:p>
          <w:p>
            <w:pPr>
              <w:spacing w:after="40" w:before="40" w:line="280"/>
            </w:pPr>
            <w:r>
              <w:rPr>
                <w:rFonts w:ascii="Arial" w:cs="Arial" w:eastAsia="Arial" w:hAnsi="Arial"/>
                <w:color w:val="374151"/>
                <w:sz w:val="20"/>
                <w:szCs w:val="20"/>
              </w:rPr>
              <w:t xml:space="preserve">Fiercely independent</w:t>
            </w:r>
          </w:p>
        </w:tc>
        <w:tc>
          <w:tcPr>
            <w:tcW w:type="dxa" w:w="3008"/>
            <w:tcBorders>
              <w:top w:val="none" w:sz="0"/>
              <w:left w:val="none" w:sz="0"/>
              <w:bottom w:val="none" w:sz="0"/>
              <w:right w:val="none" w:sz="0"/>
            </w:tcBorders>
            <w:tcMar>
              <w:top w:type="dxa" w:w="120"/>
              <w:left w:type="dxa" w:w="80"/>
              <w:bottom w:type="dxa" w:w="80"/>
              <w:right w:type="dxa" w:w="80"/>
            </w:tcMar>
          </w:tcPr>
          <w:p>
            <w:pPr>
              <w:spacing w:after="40" w:before="40" w:line="280"/>
            </w:pPr>
            <w:r>
              <w:rPr>
                <w:rFonts w:ascii="Arial" w:cs="Arial" w:eastAsia="Arial" w:hAnsi="Arial"/>
                <w:color w:val="374151"/>
                <w:sz w:val="20"/>
                <w:szCs w:val="20"/>
              </w:rPr>
              <w:t xml:space="preserve">A data dump</w:t>
            </w:r>
          </w:p>
          <w:p>
            <w:pPr>
              <w:spacing w:after="40" w:before="40" w:line="280"/>
            </w:pPr>
            <w:r>
              <w:rPr>
                <w:rFonts w:ascii="Arial" w:cs="Arial" w:eastAsia="Arial" w:hAnsi="Arial"/>
                <w:color w:val="374151"/>
                <w:sz w:val="20"/>
                <w:szCs w:val="20"/>
              </w:rPr>
              <w:t xml:space="preserve">An annual report</w:t>
            </w:r>
          </w:p>
          <w:p>
            <w:pPr>
              <w:spacing w:after="40" w:before="40" w:line="280"/>
            </w:pPr>
            <w:r>
              <w:rPr>
                <w:rFonts w:ascii="Arial" w:cs="Arial" w:eastAsia="Arial" w:hAnsi="Arial"/>
                <w:color w:val="374151"/>
                <w:sz w:val="20"/>
                <w:szCs w:val="20"/>
              </w:rPr>
              <w:t xml:space="preserve">A news outlet</w:t>
            </w:r>
          </w:p>
          <w:p>
            <w:pPr>
              <w:spacing w:after="40" w:before="40" w:line="280"/>
            </w:pPr>
            <w:r>
              <w:rPr>
                <w:rFonts w:ascii="Arial" w:cs="Arial" w:eastAsia="Arial" w:hAnsi="Arial"/>
                <w:color w:val="374151"/>
                <w:sz w:val="20"/>
                <w:szCs w:val="20"/>
              </w:rPr>
              <w:t xml:space="preserve">A government portal</w:t>
            </w:r>
          </w:p>
          <w:p>
            <w:pPr>
              <w:spacing w:after="40" w:before="40" w:line="280"/>
            </w:pPr>
            <w:r>
              <w:rPr>
                <w:rFonts w:ascii="Arial" w:cs="Arial" w:eastAsia="Arial" w:hAnsi="Arial"/>
                <w:color w:val="374151"/>
                <w:sz w:val="20"/>
                <w:szCs w:val="20"/>
              </w:rPr>
              <w:t xml:space="preserve">Partisan or campaigning</w:t>
            </w:r>
          </w:p>
        </w:tc>
        <w:tc>
          <w:tcPr>
            <w:tcW w:type="dxa" w:w="3008"/>
            <w:tcBorders>
              <w:top w:val="none" w:sz="0"/>
              <w:left w:val="none" w:sz="0"/>
              <w:bottom w:val="none" w:sz="0"/>
              <w:right w:val="none" w:sz="0"/>
            </w:tcBorders>
            <w:tcMar>
              <w:top w:type="dxa" w:w="120"/>
              <w:left w:type="dxa" w:w="80"/>
              <w:bottom w:type="dxa" w:w="80"/>
              <w:right w:type="dxa" w:w="80"/>
            </w:tcMar>
          </w:tcPr>
          <w:p>
            <w:pPr>
              <w:spacing w:after="40" w:before="40" w:line="280"/>
            </w:pPr>
            <w:r>
              <w:rPr>
                <w:rFonts w:ascii="Arial" w:cs="Arial" w:eastAsia="Arial" w:hAnsi="Arial"/>
                <w:color w:val="374151"/>
                <w:sz w:val="20"/>
                <w:szCs w:val="20"/>
              </w:rPr>
              <w:t xml:space="preserve">ONS and the public</w:t>
            </w:r>
          </w:p>
          <w:p>
            <w:pPr>
              <w:spacing w:after="40" w:before="40" w:line="280"/>
            </w:pPr>
            <w:r>
              <w:rPr>
                <w:rFonts w:ascii="Arial" w:cs="Arial" w:eastAsia="Arial" w:hAnsi="Arial"/>
                <w:color w:val="374151"/>
                <w:sz w:val="20"/>
                <w:szCs w:val="20"/>
              </w:rPr>
              <w:t xml:space="preserve">Think tanks and social media</w:t>
            </w:r>
          </w:p>
          <w:p>
            <w:pPr>
              <w:spacing w:after="40" w:before="40" w:line="280"/>
            </w:pPr>
            <w:r>
              <w:rPr>
                <w:rFonts w:ascii="Arial" w:cs="Arial" w:eastAsia="Arial" w:hAnsi="Arial"/>
                <w:color w:val="374151"/>
                <w:sz w:val="20"/>
                <w:szCs w:val="20"/>
              </w:rPr>
              <w:t xml:space="preserve">Data and narrative</w:t>
            </w:r>
          </w:p>
          <w:p>
            <w:pPr>
              <w:spacing w:after="40" w:before="40" w:line="280"/>
            </w:pPr>
            <w:r>
              <w:rPr>
                <w:rFonts w:ascii="Arial" w:cs="Arial" w:eastAsia="Arial" w:hAnsi="Arial"/>
                <w:color w:val="374151"/>
                <w:sz w:val="20"/>
                <w:szCs w:val="20"/>
              </w:rPr>
              <w:t xml:space="preserve">Rigour and beauty</w:t>
            </w:r>
          </w:p>
          <w:p>
            <w:pPr>
              <w:spacing w:after="40" w:before="40" w:line="280"/>
            </w:pPr>
            <w:r>
              <w:rPr>
                <w:rFonts w:ascii="Arial" w:cs="Arial" w:eastAsia="Arial" w:hAnsi="Arial"/>
                <w:color w:val="374151"/>
                <w:sz w:val="20"/>
                <w:szCs w:val="20"/>
              </w:rPr>
              <w:t xml:space="preserve">The specialist and everyone</w:t>
            </w:r>
          </w:p>
        </w:tc>
      </w:tr>
    </w:tbl>
    <w:p>
      <w:pPr>
        <w:spacing w:after="0" w:before="200"/>
      </w:pPr>
    </w:p>
    <w:p>
      <w:pPr>
        <w:spacing w:after="200" w:before="100"/>
      </w:pPr>
      <w:r>
        <w:rPr>
          <w:rFonts w:ascii="Arial" w:cs="Arial" w:eastAsia="Arial" w:hAnsi="Arial"/>
          <w:b/>
          <w:bCs/>
          <w:color w:val="0D1117"/>
          <w:sz w:val="28"/>
          <w:szCs w:val="28"/>
        </w:rPr>
        <w:t xml:space="preserve">BRAND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c>
          <w:tcPr>
            <w:tcW w:type="dxa" w:w="2256"/>
            <w:tcBorders>
              <w:top w:val="none" w:sz="0"/>
              <w:left w:val="none" w:sz="0"/>
              <w:bottom w:val="single" w:color="E5E7EB" w:sz="1"/>
              <w:right w:val="none" w:sz="0"/>
            </w:tcBorders>
            <w:tcMar>
              <w:top w:type="dxa" w:w="120"/>
              <w:left w:type="dxa" w:w="0"/>
              <w:bottom w:type="dxa" w:w="120"/>
              <w:right w:type="dxa" w:w="120"/>
            </w:tcMar>
          </w:tcPr>
          <w:p>
            <w:r>
              <w:rPr>
                <w:rFonts w:ascii="Arial" w:cs="Arial" w:eastAsia="Arial" w:hAnsi="Arial"/>
                <w:b/>
                <w:bCs/>
                <w:color w:val="0D1117"/>
                <w:sz w:val="22"/>
                <w:szCs w:val="22"/>
              </w:rPr>
              <w:t xml:space="preserve">Clarity</w:t>
            </w:r>
          </w:p>
        </w:tc>
        <w:tc>
          <w:tcPr>
            <w:tcW w:type="dxa" w:w="6770"/>
            <w:tcBorders>
              <w:top w:val="none" w:sz="0"/>
              <w:left w:val="none" w:sz="0"/>
              <w:bottom w:val="single" w:color="E5E7EB" w:sz="1"/>
              <w:right w:val="none" w:sz="0"/>
            </w:tcBorders>
            <w:tcMar>
              <w:top w:type="dxa" w:w="120"/>
              <w:left w:type="dxa" w:w="0"/>
              <w:bottom w:type="dxa" w:w="120"/>
              <w:right w:type="dxa" w:w="0"/>
            </w:tcMar>
          </w:tcPr>
          <w:p>
            <w:pPr>
              <w:spacing w:line="300"/>
            </w:pPr>
            <w:r>
              <w:rPr>
                <w:rFonts w:ascii="Arial" w:cs="Arial" w:eastAsia="Arial" w:hAnsi="Arial"/>
                <w:color w:val="374151"/>
                <w:sz w:val="22"/>
                <w:szCs w:val="22"/>
              </w:rPr>
              <w:t xml:space="preserve">Complex data, calm presentation. Every design choice serves understanding. If it doesn’t help people comprehend, it doesn’t belong.</w:t>
            </w:r>
          </w:p>
        </w:tc>
      </w:tr>
      <w:tr>
        <w:tc>
          <w:tcPr>
            <w:tcW w:type="dxa" w:w="2256"/>
            <w:tcBorders>
              <w:top w:val="none" w:sz="0"/>
              <w:left w:val="none" w:sz="0"/>
              <w:bottom w:val="single" w:color="E5E7EB" w:sz="1"/>
              <w:right w:val="none" w:sz="0"/>
            </w:tcBorders>
            <w:tcMar>
              <w:top w:type="dxa" w:w="120"/>
              <w:left w:type="dxa" w:w="0"/>
              <w:bottom w:type="dxa" w:w="120"/>
              <w:right w:type="dxa" w:w="120"/>
            </w:tcMar>
          </w:tcPr>
          <w:p>
            <w:r>
              <w:rPr>
                <w:rFonts w:ascii="Arial" w:cs="Arial" w:eastAsia="Arial" w:hAnsi="Arial"/>
                <w:b/>
                <w:bCs/>
                <w:color w:val="0D1117"/>
                <w:sz w:val="22"/>
                <w:szCs w:val="22"/>
              </w:rPr>
              <w:t xml:space="preserve">Honesty</w:t>
            </w:r>
          </w:p>
        </w:tc>
        <w:tc>
          <w:tcPr>
            <w:tcW w:type="dxa" w:w="6770"/>
            <w:tcBorders>
              <w:top w:val="none" w:sz="0"/>
              <w:left w:val="none" w:sz="0"/>
              <w:bottom w:val="single" w:color="E5E7EB" w:sz="1"/>
              <w:right w:val="none" w:sz="0"/>
            </w:tcBorders>
            <w:tcMar>
              <w:top w:type="dxa" w:w="120"/>
              <w:left w:type="dxa" w:w="0"/>
              <w:bottom w:type="dxa" w:w="120"/>
              <w:right w:type="dxa" w:w="0"/>
            </w:tcMar>
          </w:tcPr>
          <w:p>
            <w:pPr>
              <w:spacing w:line="300"/>
            </w:pPr>
            <w:r>
              <w:rPr>
                <w:rFonts w:ascii="Arial" w:cs="Arial" w:eastAsia="Arial" w:hAnsi="Arial"/>
                <w:color w:val="374151"/>
                <w:sz w:val="22"/>
                <w:szCs w:val="22"/>
              </w:rPr>
              <w:t xml:space="preserve">Every number has a source. Every methodology is transparent. We show what the data says, not what we wish it said. Credibility is everything.</w:t>
            </w:r>
          </w:p>
        </w:tc>
      </w:tr>
      <w:tr>
        <w:tc>
          <w:tcPr>
            <w:tcW w:type="dxa" w:w="2256"/>
            <w:tcBorders>
              <w:top w:val="none" w:sz="0"/>
              <w:left w:val="none" w:sz="0"/>
              <w:bottom w:val="single" w:color="E5E7EB" w:sz="1"/>
              <w:right w:val="none" w:sz="0"/>
            </w:tcBorders>
            <w:tcMar>
              <w:top w:type="dxa" w:w="120"/>
              <w:left w:type="dxa" w:w="0"/>
              <w:bottom w:type="dxa" w:w="120"/>
              <w:right w:type="dxa" w:w="120"/>
            </w:tcMar>
          </w:tcPr>
          <w:p>
            <w:r>
              <w:rPr>
                <w:rFonts w:ascii="Arial" w:cs="Arial" w:eastAsia="Arial" w:hAnsi="Arial"/>
                <w:b/>
                <w:bCs/>
                <w:color w:val="0D1117"/>
                <w:sz w:val="22"/>
                <w:szCs w:val="22"/>
              </w:rPr>
              <w:t xml:space="preserve">Craft</w:t>
            </w:r>
          </w:p>
        </w:tc>
        <w:tc>
          <w:tcPr>
            <w:tcW w:type="dxa" w:w="6770"/>
            <w:tcBorders>
              <w:top w:val="none" w:sz="0"/>
              <w:left w:val="none" w:sz="0"/>
              <w:bottom w:val="single" w:color="E5E7EB" w:sz="1"/>
              <w:right w:val="none" w:sz="0"/>
            </w:tcBorders>
            <w:tcMar>
              <w:top w:type="dxa" w:w="120"/>
              <w:left w:type="dxa" w:w="0"/>
              <w:bottom w:type="dxa" w:w="120"/>
              <w:right w:type="dxa" w:w="0"/>
            </w:tcMar>
          </w:tcPr>
          <w:p>
            <w:pPr>
              <w:spacing w:line="300"/>
            </w:pPr>
            <w:r>
              <w:rPr>
                <w:rFonts w:ascii="Arial" w:cs="Arial" w:eastAsia="Arial" w:hAnsi="Arial"/>
                <w:color w:val="374151"/>
                <w:sz w:val="22"/>
                <w:szCs w:val="22"/>
              </w:rPr>
              <w:t xml:space="preserve">The care in the work is the message. Beautiful charts, considered typography, thoughtful animation. The design says: someone took this seriously.</w:t>
            </w:r>
          </w:p>
        </w:tc>
      </w:tr>
      <w:tr>
        <w:tc>
          <w:tcPr>
            <w:tcW w:type="dxa" w:w="2256"/>
            <w:tcBorders>
              <w:top w:val="none" w:sz="0"/>
              <w:left w:val="none" w:sz="0"/>
              <w:bottom w:val="single" w:color="E5E7EB" w:sz="1"/>
              <w:right w:val="none" w:sz="0"/>
            </w:tcBorders>
            <w:tcMar>
              <w:top w:type="dxa" w:w="120"/>
              <w:left w:type="dxa" w:w="0"/>
              <w:bottom w:type="dxa" w:w="120"/>
              <w:right w:type="dxa" w:w="120"/>
            </w:tcMar>
          </w:tcPr>
          <w:p>
            <w:r>
              <w:rPr>
                <w:rFonts w:ascii="Arial" w:cs="Arial" w:eastAsia="Arial" w:hAnsi="Arial"/>
                <w:b/>
                <w:bCs/>
                <w:color w:val="0D1117"/>
                <w:sz w:val="22"/>
                <w:szCs w:val="22"/>
              </w:rPr>
              <w:t xml:space="preserve">Accessibility</w:t>
            </w:r>
          </w:p>
        </w:tc>
        <w:tc>
          <w:tcPr>
            <w:tcW w:type="dxa" w:w="6770"/>
            <w:tcBorders>
              <w:top w:val="none" w:sz="0"/>
              <w:left w:val="none" w:sz="0"/>
              <w:bottom w:val="single" w:color="E5E7EB" w:sz="1"/>
              <w:right w:val="none" w:sz="0"/>
            </w:tcBorders>
            <w:tcMar>
              <w:top w:type="dxa" w:w="120"/>
              <w:left w:type="dxa" w:w="0"/>
              <w:bottom w:type="dxa" w:w="120"/>
              <w:right w:type="dxa" w:w="0"/>
            </w:tcMar>
          </w:tcPr>
          <w:p>
            <w:pPr>
              <w:spacing w:line="300"/>
            </w:pPr>
            <w:r>
              <w:rPr>
                <w:rFonts w:ascii="Arial" w:cs="Arial" w:eastAsia="Arial" w:hAnsi="Arial"/>
                <w:color w:val="374151"/>
                <w:sz w:val="22"/>
                <w:szCs w:val="22"/>
              </w:rPr>
              <w:t xml:space="preserve">Built for everyone. A teacher in Sunderland and a policy advisor in Whitehall should both feel this was made for them.</w:t>
            </w:r>
          </w:p>
        </w:tc>
      </w:tr>
      <w:tr>
        <w:tc>
          <w:tcPr>
            <w:tcW w:type="dxa" w:w="2256"/>
            <w:tcBorders>
              <w:top w:val="none" w:sz="0"/>
              <w:left w:val="none" w:sz="0"/>
              <w:bottom w:val="single" w:color="E5E7EB" w:sz="1"/>
              <w:right w:val="none" w:sz="0"/>
            </w:tcBorders>
            <w:tcMar>
              <w:top w:type="dxa" w:w="120"/>
              <w:left w:type="dxa" w:w="0"/>
              <w:bottom w:type="dxa" w:w="120"/>
              <w:right w:type="dxa" w:w="120"/>
            </w:tcMar>
          </w:tcPr>
          <w:p>
            <w:r>
              <w:rPr>
                <w:rFonts w:ascii="Arial" w:cs="Arial" w:eastAsia="Arial" w:hAnsi="Arial"/>
                <w:b/>
                <w:bCs/>
                <w:color w:val="0D1117"/>
                <w:sz w:val="22"/>
                <w:szCs w:val="22"/>
              </w:rPr>
              <w:t xml:space="preserve">Independence</w:t>
            </w:r>
          </w:p>
        </w:tc>
        <w:tc>
          <w:tcPr>
            <w:tcW w:type="dxa" w:w="6770"/>
            <w:tcBorders>
              <w:top w:val="none" w:sz="0"/>
              <w:left w:val="none" w:sz="0"/>
              <w:bottom w:val="single" w:color="E5E7EB" w:sz="1"/>
              <w:right w:val="none" w:sz="0"/>
            </w:tcBorders>
            <w:tcMar>
              <w:top w:type="dxa" w:w="120"/>
              <w:left w:type="dxa" w:w="0"/>
              <w:bottom w:type="dxa" w:w="120"/>
              <w:right w:type="dxa" w:w="0"/>
            </w:tcMar>
          </w:tcPr>
          <w:p>
            <w:pPr>
              <w:spacing w:line="300"/>
            </w:pPr>
            <w:r>
              <w:rPr>
                <w:rFonts w:ascii="Arial" w:cs="Arial" w:eastAsia="Arial" w:hAnsi="Arial"/>
                <w:color w:val="374151"/>
                <w:sz w:val="22"/>
                <w:szCs w:val="22"/>
              </w:rPr>
              <w:t xml:space="preserve">No political agenda. No commercial pressure. The data is the editorial line.</w:t>
            </w:r>
          </w:p>
        </w:tc>
      </w:tr>
    </w:tbl>
    <w:p>
      <w:pPr>
        <w:sectPr>
          <w:headerReference w:type="default" r:id="rId7"/>
          <w:footerReference w:type="default" r:id="rId8"/>
          <w:pgSz w:w="11906" w:h="16838" w:orient="portrait"/>
          <w:pgMar w:top="1440" w:right="1440" w:bottom="1440" w:left="1440" w:header="708" w:footer="708" w:gutter="0"/>
          <w:pgNumType/>
          <w:docGrid w:linePitch="360"/>
        </w:sectPr>
      </w:pPr>
    </w:p>
    <w:p>
      <w:pPr>
        <w:spacing w:after="200" w:before="100"/>
      </w:pPr>
      <w:r>
        <w:rPr>
          <w:rFonts w:ascii="Arial" w:cs="Arial" w:eastAsia="Arial" w:hAnsi="Arial"/>
          <w:b/>
          <w:bCs/>
          <w:color w:val="0D1117"/>
          <w:sz w:val="28"/>
          <w:szCs w:val="28"/>
        </w:rPr>
        <w:t xml:space="preserve">02. LOGO &amp; WORDMARK</w:t>
      </w:r>
    </w:p>
    <w:p>
      <w:pPr>
        <w:spacing w:after="160" w:before="0" w:line="320"/>
        <w:jc w:val="left"/>
      </w:pPr>
      <w:r>
        <w:rPr>
          <w:rFonts w:ascii="Arial" w:cs="Arial" w:eastAsia="Arial" w:hAnsi="Arial"/>
          <w:color w:val="374151"/>
          <w:sz w:val="22"/>
          <w:szCs w:val="22"/>
        </w:rPr>
        <w:t xml:space="preserve">The WIAH identity is built on a wordmark rather than a symbol. The name itself — short, punchy, slightly confrontational — is the brand. The wordmark uses a bold, geometric sans-serif in uppercase, with generous letter-spacing that gives it weight and authority without aggression.</w:t>
      </w:r>
    </w:p>
    <w:p>
      <w:pPr>
        <w:spacing w:after="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000" w:hRule="exact"/>
        </w:trPr>
        <w:tc>
          <w:tcPr>
            <w:tcW w:type="dxa" w:w="9026"/>
            <w:tcBorders>
              <w:top w:val="single" w:color="E5E7EB" w:sz="1"/>
              <w:left w:val="single" w:color="E5E7EB" w:sz="1"/>
              <w:bottom w:val="single" w:color="E5E7EB" w:sz="1"/>
              <w:right w:val="single" w:color="E5E7EB" w:sz="1"/>
            </w:tcBorders>
            <w:shd w:fill="FFFFFF" w:val="clear"/>
            <w:tcMar>
              <w:top w:type="dxa" w:w="200"/>
              <w:left w:type="dxa" w:w="400"/>
              <w:bottom w:type="dxa" w:w="200"/>
              <w:right w:type="dxa" w:w="400"/>
            </w:tcMar>
            <w:vAlign w:val="center"/>
          </w:tcPr>
          <w:p>
            <w:pPr>
              <w:jc w:val="center"/>
            </w:pPr>
            <w:r>
              <w:rPr>
                <w:rFonts w:ascii="Arial" w:cs="Arial" w:eastAsia="Arial" w:hAnsi="Arial"/>
                <w:b/>
                <w:bCs/>
                <w:color w:val="0D1117"/>
                <w:sz w:val="80"/>
                <w:szCs w:val="80"/>
              </w:rPr>
              <w:t xml:space="preserve">W I A H</w:t>
            </w:r>
          </w:p>
        </w:tc>
      </w:tr>
    </w:tbl>
    <w:p>
      <w:pPr>
        <w:spacing w:after="200" w:before="80"/>
        <w:jc w:val="center"/>
      </w:pPr>
      <w:r>
        <w:rPr>
          <w:rFonts w:ascii="Arial" w:cs="Arial" w:eastAsia="Arial" w:hAnsi="Arial"/>
          <w:color w:val="6B7280"/>
          <w:sz w:val="16"/>
          <w:szCs w:val="16"/>
        </w:rPr>
        <w:t xml:space="preserve">Primary wordmark  —  dark on light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000" w:hRule="exact"/>
        </w:trPr>
        <w:tc>
          <w:tcPr>
            <w:tcW w:type="dxa" w:w="9026"/>
            <w:tcBorders>
              <w:top w:val="single" w:color="E5E7EB" w:sz="1"/>
              <w:left w:val="single" w:color="E5E7EB" w:sz="1"/>
              <w:bottom w:val="single" w:color="E5E7EB" w:sz="1"/>
              <w:right w:val="single" w:color="E5E7EB" w:sz="1"/>
            </w:tcBorders>
            <w:shd w:fill="0D1117" w:val="clear"/>
            <w:tcMar>
              <w:top w:type="dxa" w:w="200"/>
              <w:left w:type="dxa" w:w="400"/>
              <w:bottom w:type="dxa" w:w="200"/>
              <w:right w:type="dxa" w:w="400"/>
            </w:tcMar>
            <w:vAlign w:val="center"/>
          </w:tcPr>
          <w:p>
            <w:pPr>
              <w:jc w:val="center"/>
            </w:pPr>
            <w:r>
              <w:rPr>
                <w:rFonts w:ascii="Arial" w:cs="Arial" w:eastAsia="Arial" w:hAnsi="Arial"/>
                <w:b/>
                <w:bCs/>
                <w:color w:val="FFFFFF"/>
                <w:sz w:val="80"/>
                <w:szCs w:val="80"/>
              </w:rPr>
              <w:t xml:space="preserve">W I A H</w:t>
            </w:r>
          </w:p>
        </w:tc>
      </w:tr>
    </w:tbl>
    <w:p>
      <w:pPr>
        <w:spacing w:after="300" w:before="80"/>
        <w:jc w:val="center"/>
      </w:pPr>
      <w:r>
        <w:rPr>
          <w:rFonts w:ascii="Arial" w:cs="Arial" w:eastAsia="Arial" w:hAnsi="Arial"/>
          <w:color w:val="6B7280"/>
          <w:sz w:val="16"/>
          <w:szCs w:val="16"/>
        </w:rPr>
        <w:t xml:space="preserve">Reversed wordmark  —  light on dark</w:t>
      </w:r>
    </w:p>
    <w:p>
      <w:pPr>
        <w:spacing w:after="200" w:before="100"/>
      </w:pPr>
      <w:r>
        <w:rPr>
          <w:rFonts w:ascii="Arial" w:cs="Arial" w:eastAsia="Arial" w:hAnsi="Arial"/>
          <w:b/>
          <w:bCs/>
          <w:color w:val="0D1117"/>
          <w:sz w:val="28"/>
          <w:szCs w:val="28"/>
        </w:rPr>
        <w:t xml:space="preserve">WORDMARK CONSTRUCTION</w:t>
      </w:r>
    </w:p>
    <w:p>
      <w:pPr>
        <w:spacing w:after="160" w:before="0" w:line="320"/>
        <w:jc w:val="left"/>
      </w:pPr>
      <w:r>
        <w:rPr>
          <w:rFonts w:ascii="Arial" w:cs="Arial" w:eastAsia="Arial" w:hAnsi="Arial"/>
          <w:color w:val="374151"/>
          <w:sz w:val="22"/>
          <w:szCs w:val="22"/>
        </w:rPr>
        <w:t xml:space="preserve">The wordmark is set in a bold geometric sans-serif (Outfit Bold or equivalent). Letters are spaced at 200% of the default tracking. The full name “What Is Actually Happening” appears beneath or alongside in a lighter weight at a smaller size when space allows. The abbreviation alone is always acceptable.</w:t>
      </w:r>
    </w:p>
    <w:p>
      <w:pPr>
        <w:spacing w:after="0" w:before="100"/>
      </w:pPr>
    </w:p>
    <w:p>
      <w:pPr>
        <w:spacing w:after="60" w:before="60" w:line="300"/>
      </w:pPr>
      <w:r>
        <w:rPr>
          <w:rFonts w:ascii="Arial" w:cs="Arial" w:eastAsia="Arial" w:hAnsi="Arial"/>
          <w:b/>
          <w:bCs/>
          <w:color w:val="0D1117"/>
          <w:sz w:val="22"/>
          <w:szCs w:val="22"/>
        </w:rPr>
        <w:t xml:space="preserve">Minimum size:</w:t>
      </w:r>
      <w:r>
        <w:rPr>
          <w:rFonts w:ascii="Arial" w:cs="Arial" w:eastAsia="Arial" w:hAnsi="Arial"/>
          <w:color w:val="374151"/>
          <w:sz w:val="22"/>
          <w:szCs w:val="22"/>
        </w:rPr>
        <w:t xml:space="preserve">  24px on screen, 8mm in print</w:t>
      </w:r>
    </w:p>
    <w:p>
      <w:pPr>
        <w:spacing w:after="60" w:before="60" w:line="300"/>
      </w:pPr>
      <w:r>
        <w:rPr>
          <w:rFonts w:ascii="Arial" w:cs="Arial" w:eastAsia="Arial" w:hAnsi="Arial"/>
          <w:b/>
          <w:bCs/>
          <w:color w:val="0D1117"/>
          <w:sz w:val="22"/>
          <w:szCs w:val="22"/>
        </w:rPr>
        <w:t xml:space="preserve">Clear space:</w:t>
      </w:r>
      <w:r>
        <w:rPr>
          <w:rFonts w:ascii="Arial" w:cs="Arial" w:eastAsia="Arial" w:hAnsi="Arial"/>
          <w:color w:val="374151"/>
          <w:sz w:val="22"/>
          <w:szCs w:val="22"/>
        </w:rPr>
        <w:t xml:space="preserve">  The height of the “W” on all sides</w:t>
      </w:r>
    </w:p>
    <w:p>
      <w:pPr>
        <w:spacing w:after="60" w:before="60" w:line="300"/>
      </w:pPr>
      <w:r>
        <w:rPr>
          <w:rFonts w:ascii="Arial" w:cs="Arial" w:eastAsia="Arial" w:hAnsi="Arial"/>
          <w:b/>
          <w:bCs/>
          <w:color w:val="0D1117"/>
          <w:sz w:val="22"/>
          <w:szCs w:val="22"/>
        </w:rPr>
        <w:t xml:space="preserve">Never:</w:t>
      </w:r>
      <w:r>
        <w:rPr>
          <w:rFonts w:ascii="Arial" w:cs="Arial" w:eastAsia="Arial" w:hAnsi="Arial"/>
          <w:color w:val="374151"/>
          <w:sz w:val="22"/>
          <w:szCs w:val="22"/>
        </w:rPr>
        <w:t xml:space="preserve">  Stretch, rotate, add effects, change colours outside the approved palette, or set in a different typeface</w:t>
      </w:r>
    </w:p>
    <w:p>
      <w:pPr>
        <w:spacing w:after="0" w:before="200"/>
      </w:pPr>
    </w:p>
    <w:p>
      <w:pPr>
        <w:spacing w:after="200" w:before="100"/>
      </w:pPr>
      <w:r>
        <w:rPr>
          <w:rFonts w:ascii="Arial" w:cs="Arial" w:eastAsia="Arial" w:hAnsi="Arial"/>
          <w:b/>
          <w:bCs/>
          <w:color w:val="0D1117"/>
          <w:sz w:val="28"/>
          <w:szCs w:val="28"/>
        </w:rPr>
        <w:t xml:space="preserve">THE FULL NAME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600" w:hRule="exact"/>
        </w:trPr>
        <w:tc>
          <w:tcPr>
            <w:tcW w:type="dxa" w:w="9026"/>
            <w:tcBorders>
              <w:top w:val="single" w:color="E5E7EB" w:sz="1"/>
              <w:left w:val="single" w:color="E5E7EB" w:sz="1"/>
              <w:bottom w:val="single" w:color="E5E7EB" w:sz="1"/>
              <w:right w:val="single" w:color="E5E7EB" w:sz="1"/>
            </w:tcBorders>
            <w:shd w:fill="F5F5F5" w:val="clear"/>
            <w:tcMar>
              <w:top w:type="dxa" w:w="200"/>
              <w:left w:type="dxa" w:w="400"/>
              <w:bottom w:type="dxa" w:w="200"/>
              <w:right w:type="dxa" w:w="400"/>
            </w:tcMar>
            <w:vAlign w:val="center"/>
          </w:tcPr>
          <w:p>
            <w:pPr>
              <w:spacing w:after="60"/>
              <w:jc w:val="center"/>
            </w:pPr>
            <w:r>
              <w:rPr>
                <w:rFonts w:ascii="Arial" w:cs="Arial" w:eastAsia="Arial" w:hAnsi="Arial"/>
                <w:b/>
                <w:bCs/>
                <w:color w:val="0D1117"/>
                <w:sz w:val="56"/>
                <w:szCs w:val="56"/>
              </w:rPr>
              <w:t xml:space="preserve">W I A H</w:t>
            </w:r>
          </w:p>
          <w:p>
            <w:pPr>
              <w:jc w:val="center"/>
            </w:pPr>
            <w:r>
              <w:rPr>
                <w:rFonts w:ascii="Arial" w:cs="Arial" w:eastAsia="Arial" w:hAnsi="Arial"/>
                <w:color w:val="6B7280"/>
                <w:sz w:val="20"/>
                <w:szCs w:val="20"/>
              </w:rPr>
              <w:t xml:space="preserve">WHAT IS ACTUALLY HAPPENING</w:t>
            </w:r>
          </w:p>
        </w:tc>
      </w:tr>
    </w:tbl>
    <w:p>
      <w:pPr>
        <w:spacing w:after="200" w:before="80"/>
        <w:jc w:val="center"/>
      </w:pPr>
      <w:r>
        <w:rPr>
          <w:rFonts w:ascii="Arial" w:cs="Arial" w:eastAsia="Arial" w:hAnsi="Arial"/>
          <w:color w:val="6B7280"/>
          <w:sz w:val="16"/>
          <w:szCs w:val="16"/>
        </w:rPr>
        <w:t xml:space="preserve">Stacked lockup  —  preferred for hero placements</w:t>
      </w:r>
    </w:p>
    <w:p>
      <w:pPr>
        <w:sectPr>
          <w:headerReference w:type="default" r:id="rId9"/>
          <w:footerReference w:type="default" r:id="rId10"/>
          <w:pgSz w:w="11906" w:h="16838" w:orient="portrait"/>
          <w:pgMar w:top="1440" w:right="1440" w:bottom="1440" w:left="1440" w:header="708" w:footer="708" w:gutter="0"/>
          <w:pgNumType/>
          <w:docGrid w:linePitch="360"/>
        </w:sectPr>
      </w:pPr>
    </w:p>
    <w:p>
      <w:pPr>
        <w:spacing w:after="200" w:before="100"/>
      </w:pPr>
      <w:r>
        <w:rPr>
          <w:rFonts w:ascii="Arial" w:cs="Arial" w:eastAsia="Arial" w:hAnsi="Arial"/>
          <w:b/>
          <w:bCs/>
          <w:color w:val="0D1117"/>
          <w:sz w:val="28"/>
          <w:szCs w:val="28"/>
        </w:rPr>
        <w:t xml:space="preserve">03. COLOUR PALETTE</w:t>
      </w:r>
    </w:p>
    <w:p>
      <w:pPr>
        <w:spacing w:after="160" w:before="0" w:line="320"/>
        <w:jc w:val="left"/>
      </w:pPr>
      <w:r>
        <w:rPr>
          <w:rFonts w:ascii="Arial" w:cs="Arial" w:eastAsia="Arial" w:hAnsi="Arial"/>
          <w:color w:val="374151"/>
          <w:sz w:val="22"/>
          <w:szCs w:val="22"/>
        </w:rPr>
        <w:t xml:space="preserve">The WIAH palette is deliberately restrained. The foundation is near-black on white — data platforms earn trust through calm, not through colour. Colour enters the system with purpose: the signal colours (red, amber, green) are reserved almost exclusively for directional indicators, showing whether things are getting worse, holding steady, or improving.</w:t>
      </w:r>
    </w:p>
    <w:p>
      <w:pPr>
        <w:spacing w:after="0" w:before="100"/>
      </w:pPr>
    </w:p>
    <w:p>
      <w:pPr>
        <w:spacing w:after="200" w:before="100"/>
      </w:pPr>
      <w:r>
        <w:rPr>
          <w:rFonts w:ascii="Arial" w:cs="Arial" w:eastAsia="Arial" w:hAnsi="Arial"/>
          <w:b/>
          <w:bCs/>
          <w:color w:val="0D1117"/>
          <w:sz w:val="24"/>
          <w:szCs w:val="24"/>
        </w:rPr>
        <w:t xml:space="preserve">Foundation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rHeight w:val="1200" w:hRule="exact"/>
        </w:trPr>
        <w:tc>
          <w:tcPr>
            <w:tcW w:type="dxa" w:w="1805"/>
            <w:tcBorders>
              <w:top w:val="none" w:sz="0"/>
              <w:left w:val="none" w:sz="0"/>
              <w:bottom w:val="none" w:sz="0"/>
              <w:right w:val="none" w:sz="0"/>
            </w:tcBorders>
            <w:shd w:fill="0D1117" w:val="clear"/>
            <w:vAlign w:val="center"/>
          </w:tcPr>
          <w:p/>
        </w:tc>
        <w:tc>
          <w:tcPr>
            <w:tcW w:type="dxa" w:w="1805"/>
            <w:tcBorders>
              <w:top w:val="none" w:sz="0"/>
              <w:left w:val="none" w:sz="0"/>
              <w:bottom w:val="none" w:sz="0"/>
              <w:right w:val="none" w:sz="0"/>
            </w:tcBorders>
            <w:shd w:fill="1A1A1A" w:val="clear"/>
            <w:vAlign w:val="center"/>
          </w:tcPr>
          <w:p/>
        </w:tc>
        <w:tc>
          <w:tcPr>
            <w:tcW w:type="dxa" w:w="1805"/>
            <w:tcBorders>
              <w:top w:val="none" w:sz="0"/>
              <w:left w:val="none" w:sz="0"/>
              <w:bottom w:val="none" w:sz="0"/>
              <w:right w:val="none" w:sz="0"/>
            </w:tcBorders>
            <w:shd w:fill="6B7280" w:val="clear"/>
            <w:vAlign w:val="center"/>
          </w:tcPr>
          <w:p/>
        </w:tc>
        <w:tc>
          <w:tcPr>
            <w:tcW w:type="dxa" w:w="1805"/>
            <w:tcBorders>
              <w:top w:val="none" w:sz="0"/>
              <w:left w:val="none" w:sz="0"/>
              <w:bottom w:val="none" w:sz="0"/>
              <w:right w:val="none" w:sz="0"/>
            </w:tcBorders>
            <w:shd w:fill="F5F5F5" w:val="clear"/>
            <w:vAlign w:val="center"/>
          </w:tcPr>
          <w:p/>
        </w:tc>
        <w:tc>
          <w:tcPr>
            <w:tcW w:type="dxa" w:w="1805"/>
            <w:tcBorders>
              <w:top w:val="none" w:sz="0"/>
              <w:left w:val="none" w:sz="0"/>
              <w:bottom w:val="none" w:sz="0"/>
              <w:right w:val="none" w:sz="0"/>
            </w:tcBorders>
            <w:shd w:fill="FFFFFF" w:val="clear"/>
            <w:vAlign w:val="center"/>
          </w:tcPr>
          <w:p/>
        </w:tc>
      </w:tr>
      <w:tr>
        <w:tc>
          <w:tcPr>
            <w:tcW w:type="dxa" w:w="1805"/>
            <w:tcBorders>
              <w:top w:val="none" w:sz="0"/>
              <w:left w:val="none" w:sz="0"/>
              <w:bottom w:val="none" w:sz="0"/>
              <w:right w:val="none" w:sz="0"/>
            </w:tcBorders>
            <w:tcMar>
              <w:top w:type="dxa" w:w="80"/>
              <w:left w:type="dxa" w:w="80"/>
              <w:bottom w:type="dxa" w:w="80"/>
              <w:right w:type="dxa" w:w="80"/>
            </w:tcMar>
          </w:tcPr>
          <w:p>
            <w:pPr>
              <w:spacing w:after="40"/>
            </w:pPr>
            <w:r>
              <w:rPr>
                <w:rFonts w:ascii="Arial" w:cs="Arial" w:eastAsia="Arial" w:hAnsi="Arial"/>
                <w:b/>
                <w:bCs/>
                <w:color w:val="0D1117"/>
                <w:sz w:val="18"/>
                <w:szCs w:val="18"/>
              </w:rPr>
              <w:t xml:space="preserve">WIAH Dark</w:t>
            </w:r>
          </w:p>
          <w:p>
            <w:pPr>
              <w:spacing w:after="20"/>
            </w:pPr>
            <w:r>
              <w:rPr>
                <w:rFonts w:ascii="Arial" w:cs="Arial" w:eastAsia="Arial" w:hAnsi="Arial"/>
                <w:color w:val="6B7280"/>
                <w:sz w:val="16"/>
                <w:szCs w:val="16"/>
              </w:rPr>
              <w:t xml:space="preserve">#0D1117</w:t>
            </w:r>
          </w:p>
        </w:tc>
        <w:tc>
          <w:tcPr>
            <w:tcW w:type="dxa" w:w="1805"/>
            <w:tcBorders>
              <w:top w:val="none" w:sz="0"/>
              <w:left w:val="none" w:sz="0"/>
              <w:bottom w:val="none" w:sz="0"/>
              <w:right w:val="none" w:sz="0"/>
            </w:tcBorders>
            <w:tcMar>
              <w:top w:type="dxa" w:w="80"/>
              <w:left w:type="dxa" w:w="80"/>
              <w:bottom w:type="dxa" w:w="80"/>
              <w:right w:type="dxa" w:w="80"/>
            </w:tcMar>
          </w:tcPr>
          <w:p>
            <w:pPr>
              <w:spacing w:after="40"/>
            </w:pPr>
            <w:r>
              <w:rPr>
                <w:rFonts w:ascii="Arial" w:cs="Arial" w:eastAsia="Arial" w:hAnsi="Arial"/>
                <w:b/>
                <w:bCs/>
                <w:color w:val="0D1117"/>
                <w:sz w:val="18"/>
                <w:szCs w:val="18"/>
              </w:rPr>
              <w:t xml:space="preserve">WIAH Black</w:t>
            </w:r>
          </w:p>
          <w:p>
            <w:pPr>
              <w:spacing w:after="20"/>
            </w:pPr>
            <w:r>
              <w:rPr>
                <w:rFonts w:ascii="Arial" w:cs="Arial" w:eastAsia="Arial" w:hAnsi="Arial"/>
                <w:color w:val="6B7280"/>
                <w:sz w:val="16"/>
                <w:szCs w:val="16"/>
              </w:rPr>
              <w:t xml:space="preserve">#1A1A1A</w:t>
            </w:r>
          </w:p>
        </w:tc>
        <w:tc>
          <w:tcPr>
            <w:tcW w:type="dxa" w:w="1805"/>
            <w:tcBorders>
              <w:top w:val="none" w:sz="0"/>
              <w:left w:val="none" w:sz="0"/>
              <w:bottom w:val="none" w:sz="0"/>
              <w:right w:val="none" w:sz="0"/>
            </w:tcBorders>
            <w:tcMar>
              <w:top w:type="dxa" w:w="80"/>
              <w:left w:type="dxa" w:w="80"/>
              <w:bottom w:type="dxa" w:w="80"/>
              <w:right w:type="dxa" w:w="80"/>
            </w:tcMar>
          </w:tcPr>
          <w:p>
            <w:pPr>
              <w:spacing w:after="40"/>
            </w:pPr>
            <w:r>
              <w:rPr>
                <w:rFonts w:ascii="Arial" w:cs="Arial" w:eastAsia="Arial" w:hAnsi="Arial"/>
                <w:b/>
                <w:bCs/>
                <w:color w:val="0D1117"/>
                <w:sz w:val="18"/>
                <w:szCs w:val="18"/>
              </w:rPr>
              <w:t xml:space="preserve">Mid Grey</w:t>
            </w:r>
          </w:p>
          <w:p>
            <w:pPr>
              <w:spacing w:after="20"/>
            </w:pPr>
            <w:r>
              <w:rPr>
                <w:rFonts w:ascii="Arial" w:cs="Arial" w:eastAsia="Arial" w:hAnsi="Arial"/>
                <w:color w:val="6B7280"/>
                <w:sz w:val="16"/>
                <w:szCs w:val="16"/>
              </w:rPr>
              <w:t xml:space="preserve">#6B7280</w:t>
            </w:r>
          </w:p>
        </w:tc>
        <w:tc>
          <w:tcPr>
            <w:tcW w:type="dxa" w:w="1805"/>
            <w:tcBorders>
              <w:top w:val="none" w:sz="0"/>
              <w:left w:val="none" w:sz="0"/>
              <w:bottom w:val="none" w:sz="0"/>
              <w:right w:val="none" w:sz="0"/>
            </w:tcBorders>
            <w:tcMar>
              <w:top w:type="dxa" w:w="80"/>
              <w:left w:type="dxa" w:w="80"/>
              <w:bottom w:type="dxa" w:w="80"/>
              <w:right w:type="dxa" w:w="80"/>
            </w:tcMar>
          </w:tcPr>
          <w:p>
            <w:pPr>
              <w:spacing w:after="40"/>
            </w:pPr>
            <w:r>
              <w:rPr>
                <w:rFonts w:ascii="Arial" w:cs="Arial" w:eastAsia="Arial" w:hAnsi="Arial"/>
                <w:b/>
                <w:bCs/>
                <w:color w:val="0D1117"/>
                <w:sz w:val="18"/>
                <w:szCs w:val="18"/>
              </w:rPr>
              <w:t xml:space="preserve">Light Grey</w:t>
            </w:r>
          </w:p>
          <w:p>
            <w:pPr>
              <w:spacing w:after="20"/>
            </w:pPr>
            <w:r>
              <w:rPr>
                <w:rFonts w:ascii="Arial" w:cs="Arial" w:eastAsia="Arial" w:hAnsi="Arial"/>
                <w:color w:val="6B7280"/>
                <w:sz w:val="16"/>
                <w:szCs w:val="16"/>
              </w:rPr>
              <w:t xml:space="preserve">#F5F5F5</w:t>
            </w:r>
          </w:p>
        </w:tc>
        <w:tc>
          <w:tcPr>
            <w:tcW w:type="dxa" w:w="1805"/>
            <w:tcBorders>
              <w:top w:val="none" w:sz="0"/>
              <w:left w:val="none" w:sz="0"/>
              <w:bottom w:val="none" w:sz="0"/>
              <w:right w:val="none" w:sz="0"/>
            </w:tcBorders>
            <w:tcMar>
              <w:top w:type="dxa" w:w="80"/>
              <w:left w:type="dxa" w:w="80"/>
              <w:bottom w:type="dxa" w:w="80"/>
              <w:right w:type="dxa" w:w="80"/>
            </w:tcMar>
          </w:tcPr>
          <w:p>
            <w:pPr>
              <w:spacing w:after="40"/>
            </w:pPr>
            <w:r>
              <w:rPr>
                <w:rFonts w:ascii="Arial" w:cs="Arial" w:eastAsia="Arial" w:hAnsi="Arial"/>
                <w:b/>
                <w:bCs/>
                <w:color w:val="0D1117"/>
                <w:sz w:val="18"/>
                <w:szCs w:val="18"/>
              </w:rPr>
              <w:t xml:space="preserve">White</w:t>
            </w:r>
          </w:p>
          <w:p>
            <w:pPr>
              <w:spacing w:after="20"/>
            </w:pPr>
            <w:r>
              <w:rPr>
                <w:rFonts w:ascii="Arial" w:cs="Arial" w:eastAsia="Arial" w:hAnsi="Arial"/>
                <w:color w:val="6B7280"/>
                <w:sz w:val="16"/>
                <w:szCs w:val="16"/>
              </w:rPr>
              <w:t xml:space="preserve">#FFFFFF</w:t>
            </w:r>
          </w:p>
        </w:tc>
      </w:tr>
    </w:tbl>
    <w:p>
      <w:pPr>
        <w:spacing w:after="0" w:before="300"/>
      </w:pPr>
    </w:p>
    <w:p>
      <w:pPr>
        <w:spacing w:after="200" w:before="100"/>
      </w:pPr>
      <w:r>
        <w:rPr>
          <w:rFonts w:ascii="Arial" w:cs="Arial" w:eastAsia="Arial" w:hAnsi="Arial"/>
          <w:b/>
          <w:bCs/>
          <w:color w:val="0D1117"/>
          <w:sz w:val="24"/>
          <w:szCs w:val="24"/>
        </w:rPr>
        <w:t xml:space="preserve">Signal Colours</w:t>
      </w:r>
    </w:p>
    <w:p>
      <w:pPr>
        <w:spacing w:after="160" w:before="0" w:line="320"/>
        <w:jc w:val="left"/>
      </w:pPr>
      <w:r>
        <w:rPr>
          <w:rFonts w:ascii="Arial" w:cs="Arial" w:eastAsia="Arial" w:hAnsi="Arial"/>
          <w:color w:val="374151"/>
          <w:sz w:val="22"/>
          <w:szCs w:val="22"/>
        </w:rPr>
        <w:t xml:space="preserve">These colours carry meaning. They are never decorative. Red means things are getting worse. Amber means stable or uncertain. Green means things are improving. This semantic use must be consistent across every chart, card, and indicator on the platform.</w:t>
      </w:r>
    </w:p>
    <w:p>
      <w:pPr>
        <w:spacing w:after="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rHeight w:val="1200" w:hRule="exact"/>
        </w:trPr>
        <w:tc>
          <w:tcPr>
            <w:tcW w:type="dxa" w:w="3008"/>
            <w:tcBorders>
              <w:top w:val="none" w:sz="0"/>
              <w:left w:val="none" w:sz="0"/>
              <w:bottom w:val="none" w:sz="0"/>
              <w:right w:val="none" w:sz="0"/>
            </w:tcBorders>
            <w:shd w:fill="E63946" w:val="clear"/>
            <w:vAlign w:val="center"/>
          </w:tcPr>
          <w:p/>
        </w:tc>
        <w:tc>
          <w:tcPr>
            <w:tcW w:type="dxa" w:w="3008"/>
            <w:tcBorders>
              <w:top w:val="none" w:sz="0"/>
              <w:left w:val="none" w:sz="0"/>
              <w:bottom w:val="none" w:sz="0"/>
              <w:right w:val="none" w:sz="0"/>
            </w:tcBorders>
            <w:shd w:fill="F4A261" w:val="clear"/>
            <w:vAlign w:val="center"/>
          </w:tcPr>
          <w:p/>
        </w:tc>
        <w:tc>
          <w:tcPr>
            <w:tcW w:type="dxa" w:w="3008"/>
            <w:tcBorders>
              <w:top w:val="none" w:sz="0"/>
              <w:left w:val="none" w:sz="0"/>
              <w:bottom w:val="none" w:sz="0"/>
              <w:right w:val="none" w:sz="0"/>
            </w:tcBorders>
            <w:shd w:fill="2A9D8F" w:val="clear"/>
            <w:vAlign w:val="center"/>
          </w:tcPr>
          <w:p/>
        </w:tc>
      </w:tr>
      <w:tr>
        <w:tc>
          <w:tcPr>
            <w:tcW w:type="dxa" w:w="3008"/>
            <w:tcBorders>
              <w:top w:val="none" w:sz="0"/>
              <w:left w:val="none" w:sz="0"/>
              <w:bottom w:val="none" w:sz="0"/>
              <w:right w:val="none" w:sz="0"/>
            </w:tcBorders>
            <w:tcMar>
              <w:top w:type="dxa" w:w="80"/>
              <w:left w:type="dxa" w:w="80"/>
              <w:bottom w:type="dxa" w:w="80"/>
              <w:right w:type="dxa" w:w="80"/>
            </w:tcMar>
          </w:tcPr>
          <w:p>
            <w:pPr>
              <w:spacing w:after="40"/>
            </w:pPr>
            <w:r>
              <w:rPr>
                <w:rFonts w:ascii="Arial" w:cs="Arial" w:eastAsia="Arial" w:hAnsi="Arial"/>
                <w:b/>
                <w:bCs/>
                <w:color w:val="0D1117"/>
                <w:sz w:val="18"/>
                <w:szCs w:val="18"/>
              </w:rPr>
              <w:t xml:space="preserve">Signal Red</w:t>
            </w:r>
          </w:p>
          <w:p>
            <w:pPr>
              <w:spacing w:after="20"/>
            </w:pPr>
            <w:r>
              <w:rPr>
                <w:rFonts w:ascii="Arial" w:cs="Arial" w:eastAsia="Arial" w:hAnsi="Arial"/>
                <w:color w:val="6B7280"/>
                <w:sz w:val="16"/>
                <w:szCs w:val="16"/>
              </w:rPr>
              <w:t xml:space="preserve">#E63946</w:t>
            </w:r>
          </w:p>
        </w:tc>
        <w:tc>
          <w:tcPr>
            <w:tcW w:type="dxa" w:w="3008"/>
            <w:tcBorders>
              <w:top w:val="none" w:sz="0"/>
              <w:left w:val="none" w:sz="0"/>
              <w:bottom w:val="none" w:sz="0"/>
              <w:right w:val="none" w:sz="0"/>
            </w:tcBorders>
            <w:tcMar>
              <w:top w:type="dxa" w:w="80"/>
              <w:left w:type="dxa" w:w="80"/>
              <w:bottom w:type="dxa" w:w="80"/>
              <w:right w:type="dxa" w:w="80"/>
            </w:tcMar>
          </w:tcPr>
          <w:p>
            <w:pPr>
              <w:spacing w:after="40"/>
            </w:pPr>
            <w:r>
              <w:rPr>
                <w:rFonts w:ascii="Arial" w:cs="Arial" w:eastAsia="Arial" w:hAnsi="Arial"/>
                <w:b/>
                <w:bCs/>
                <w:color w:val="0D1117"/>
                <w:sz w:val="18"/>
                <w:szCs w:val="18"/>
              </w:rPr>
              <w:t xml:space="preserve">Signal Amber</w:t>
            </w:r>
          </w:p>
          <w:p>
            <w:pPr>
              <w:spacing w:after="20"/>
            </w:pPr>
            <w:r>
              <w:rPr>
                <w:rFonts w:ascii="Arial" w:cs="Arial" w:eastAsia="Arial" w:hAnsi="Arial"/>
                <w:color w:val="6B7280"/>
                <w:sz w:val="16"/>
                <w:szCs w:val="16"/>
              </w:rPr>
              <w:t xml:space="preserve">#F4A261</w:t>
            </w:r>
          </w:p>
        </w:tc>
        <w:tc>
          <w:tcPr>
            <w:tcW w:type="dxa" w:w="3008"/>
            <w:tcBorders>
              <w:top w:val="none" w:sz="0"/>
              <w:left w:val="none" w:sz="0"/>
              <w:bottom w:val="none" w:sz="0"/>
              <w:right w:val="none" w:sz="0"/>
            </w:tcBorders>
            <w:tcMar>
              <w:top w:type="dxa" w:w="80"/>
              <w:left w:type="dxa" w:w="80"/>
              <w:bottom w:type="dxa" w:w="80"/>
              <w:right w:type="dxa" w:w="80"/>
            </w:tcMar>
          </w:tcPr>
          <w:p>
            <w:pPr>
              <w:spacing w:after="40"/>
            </w:pPr>
            <w:r>
              <w:rPr>
                <w:rFonts w:ascii="Arial" w:cs="Arial" w:eastAsia="Arial" w:hAnsi="Arial"/>
                <w:b/>
                <w:bCs/>
                <w:color w:val="0D1117"/>
                <w:sz w:val="18"/>
                <w:szCs w:val="18"/>
              </w:rPr>
              <w:t xml:space="preserve">Signal Green</w:t>
            </w:r>
          </w:p>
          <w:p>
            <w:pPr>
              <w:spacing w:after="20"/>
            </w:pPr>
            <w:r>
              <w:rPr>
                <w:rFonts w:ascii="Arial" w:cs="Arial" w:eastAsia="Arial" w:hAnsi="Arial"/>
                <w:color w:val="6B7280"/>
                <w:sz w:val="16"/>
                <w:szCs w:val="16"/>
              </w:rPr>
              <w:t xml:space="preserve">#2A9D8F</w:t>
            </w:r>
          </w:p>
        </w:tc>
      </w:tr>
    </w:tbl>
    <w:p>
      <w:pPr>
        <w:spacing w:after="0" w:before="300"/>
      </w:pPr>
    </w:p>
    <w:p>
      <w:pPr>
        <w:spacing w:after="200" w:before="100"/>
      </w:pPr>
      <w:r>
        <w:rPr>
          <w:rFonts w:ascii="Arial" w:cs="Arial" w:eastAsia="Arial" w:hAnsi="Arial"/>
          <w:b/>
          <w:bCs/>
          <w:color w:val="0D1117"/>
          <w:sz w:val="24"/>
          <w:szCs w:val="24"/>
        </w:rPr>
        <w:t xml:space="preserve">Accent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200" w:hRule="exact"/>
        </w:trPr>
        <w:tc>
          <w:tcPr>
            <w:tcW w:type="dxa" w:w="9026"/>
            <w:tcBorders>
              <w:top w:val="none" w:sz="0"/>
              <w:left w:val="none" w:sz="0"/>
              <w:bottom w:val="none" w:sz="0"/>
              <w:right w:val="none" w:sz="0"/>
            </w:tcBorders>
            <w:shd w:fill="264653" w:val="clear"/>
            <w:vAlign w:val="center"/>
          </w:tcPr>
          <w:p/>
        </w:tc>
      </w:tr>
      <w:tr>
        <w:tc>
          <w:tcPr>
            <w:tcW w:type="dxa" w:w="9026"/>
            <w:tcBorders>
              <w:top w:val="none" w:sz="0"/>
              <w:left w:val="none" w:sz="0"/>
              <w:bottom w:val="none" w:sz="0"/>
              <w:right w:val="none" w:sz="0"/>
            </w:tcBorders>
            <w:tcMar>
              <w:top w:type="dxa" w:w="80"/>
              <w:left w:type="dxa" w:w="80"/>
              <w:bottom w:type="dxa" w:w="80"/>
              <w:right w:type="dxa" w:w="80"/>
            </w:tcMar>
          </w:tcPr>
          <w:p>
            <w:pPr>
              <w:spacing w:after="40"/>
            </w:pPr>
            <w:r>
              <w:rPr>
                <w:rFonts w:ascii="Arial" w:cs="Arial" w:eastAsia="Arial" w:hAnsi="Arial"/>
                <w:b/>
                <w:bCs/>
                <w:color w:val="0D1117"/>
                <w:sz w:val="18"/>
                <w:szCs w:val="18"/>
              </w:rPr>
              <w:t xml:space="preserve">WIAH Blue</w:t>
            </w:r>
          </w:p>
          <w:p>
            <w:pPr>
              <w:spacing w:after="20"/>
            </w:pPr>
            <w:r>
              <w:rPr>
                <w:rFonts w:ascii="Arial" w:cs="Arial" w:eastAsia="Arial" w:hAnsi="Arial"/>
                <w:color w:val="6B7280"/>
                <w:sz w:val="16"/>
                <w:szCs w:val="16"/>
              </w:rPr>
              <w:t xml:space="preserve">#264653</w:t>
            </w:r>
          </w:p>
        </w:tc>
      </w:tr>
    </w:tbl>
    <w:p>
      <w:pPr>
        <w:spacing w:after="0" w:before="100"/>
      </w:pPr>
    </w:p>
    <w:p>
      <w:pPr>
        <w:spacing w:after="160" w:before="0" w:line="320"/>
        <w:jc w:val="left"/>
      </w:pPr>
      <w:r>
        <w:rPr>
          <w:rFonts w:ascii="Arial" w:cs="Arial" w:eastAsia="Arial" w:hAnsi="Arial"/>
          <w:color w:val="374151"/>
          <w:sz w:val="22"/>
          <w:szCs w:val="22"/>
        </w:rPr>
        <w:t xml:space="preserve">WIAH Blue is used for links, interactive elements, and the occasional editorial accent. It is the only non-signal colour that appears on data pages. It provides a calm, authoritative contrast to the signal palette.</w:t>
      </w:r>
    </w:p>
    <w:p>
      <w:pPr>
        <w:spacing w:after="0" w:before="200"/>
      </w:pPr>
    </w:p>
    <w:p>
      <w:pPr>
        <w:spacing w:after="200" w:before="100"/>
      </w:pPr>
      <w:r>
        <w:rPr>
          <w:rFonts w:ascii="Arial" w:cs="Arial" w:eastAsia="Arial" w:hAnsi="Arial"/>
          <w:b/>
          <w:bCs/>
          <w:color w:val="0D1117"/>
          <w:sz w:val="28"/>
          <w:szCs w:val="28"/>
        </w:rPr>
        <w:t xml:space="preserve">COLOUR USAGE RULES</w:t>
      </w:r>
    </w:p>
    <w:p>
      <w:pPr>
        <w:spacing w:after="160" w:before="0" w:line="320"/>
        <w:jc w:val="left"/>
      </w:pPr>
      <w:r>
        <w:rPr>
          <w:rFonts w:ascii="Arial" w:cs="Arial" w:eastAsia="Arial" w:hAnsi="Arial"/>
          <w:color w:val="374151"/>
          <w:sz w:val="22"/>
          <w:szCs w:val="22"/>
        </w:rPr>
        <w:t xml:space="preserve">Background: Always white (#FFFFFF) or light grey (#F5F5F5) on data pages. Dark backgrounds (#0D1117) are reserved for the homepage hero and social sharing cards.</w:t>
      </w:r>
    </w:p>
    <w:p>
      <w:pPr>
        <w:spacing w:after="160" w:before="0" w:line="320"/>
        <w:jc w:val="left"/>
      </w:pPr>
      <w:r>
        <w:rPr>
          <w:rFonts w:ascii="Arial" w:cs="Arial" w:eastAsia="Arial" w:hAnsi="Arial"/>
          <w:color w:val="374151"/>
          <w:sz w:val="22"/>
          <w:szCs w:val="22"/>
        </w:rPr>
        <w:t xml:space="preserve">Text: WIAH Dark (#0D1117) for headings and primary text. Mid Grey (#6B7280) for secondary text, captions, and metadata. Never use pure black (#000000).</w:t>
      </w:r>
    </w:p>
    <w:p>
      <w:pPr>
        <w:spacing w:after="160" w:before="0" w:line="320"/>
        <w:jc w:val="left"/>
      </w:pPr>
      <w:r>
        <w:rPr>
          <w:rFonts w:ascii="Arial" w:cs="Arial" w:eastAsia="Arial" w:hAnsi="Arial"/>
          <w:color w:val="374151"/>
          <w:sz w:val="22"/>
          <w:szCs w:val="22"/>
        </w:rPr>
        <w:t xml:space="preserve">Charts: Default chart lines and bars use WIAH Dark. When showing direction-of-travel, use the signal colours. When comparing multiple series without directional meaning, use shades of WIAH Blue and grey.</w:t>
      </w:r>
    </w:p>
    <w:p>
      <w:pPr>
        <w:spacing w:after="160" w:before="0" w:line="320"/>
        <w:jc w:val="left"/>
      </w:pPr>
      <w:r>
        <w:rPr>
          <w:rFonts w:ascii="Arial" w:cs="Arial" w:eastAsia="Arial" w:hAnsi="Arial"/>
          <w:color w:val="374151"/>
          <w:sz w:val="22"/>
          <w:szCs w:val="22"/>
        </w:rPr>
        <w:t xml:space="preserve">Accessibility: All colour pairings must meet WCAG AA contrast ratios. Signal colours are never used alone — always paired with icons (↑ ↓ →) or text labels.</w:t>
      </w:r>
    </w:p>
    <w:p>
      <w:pPr>
        <w:sectPr>
          <w:headerReference w:type="default" r:id="rId11"/>
          <w:footerReference w:type="default" r:id="rId12"/>
          <w:pgSz w:w="11906" w:h="16838" w:orient="portrait"/>
          <w:pgMar w:top="1440" w:right="1440" w:bottom="1440" w:left="1440" w:header="708" w:footer="708" w:gutter="0"/>
          <w:pgNumType/>
          <w:docGrid w:linePitch="360"/>
        </w:sectPr>
      </w:pPr>
    </w:p>
    <w:p>
      <w:pPr>
        <w:spacing w:after="200" w:before="100"/>
      </w:pPr>
      <w:r>
        <w:rPr>
          <w:rFonts w:ascii="Arial" w:cs="Arial" w:eastAsia="Arial" w:hAnsi="Arial"/>
          <w:b/>
          <w:bCs/>
          <w:color w:val="0D1117"/>
          <w:sz w:val="28"/>
          <w:szCs w:val="28"/>
        </w:rPr>
        <w:t xml:space="preserve">04. TYPOGRAPHY</w:t>
      </w:r>
    </w:p>
    <w:p>
      <w:pPr>
        <w:spacing w:after="160" w:before="0" w:line="320"/>
        <w:jc w:val="left"/>
      </w:pPr>
      <w:r>
        <w:rPr>
          <w:rFonts w:ascii="Arial" w:cs="Arial" w:eastAsia="Arial" w:hAnsi="Arial"/>
          <w:color w:val="374151"/>
          <w:sz w:val="22"/>
          <w:szCs w:val="22"/>
        </w:rPr>
        <w:t xml:space="preserve">Typography is the backbone of WIAH’s identity. The type system balances editorial warmth with data precision. Two typeface families do all the work: a geometric sans-serif for headings and UI, and a monospace for data values and annotations.</w:t>
      </w:r>
    </w:p>
    <w:p>
      <w:pPr>
        <w:spacing w:after="0" w:before="100"/>
      </w:pPr>
    </w:p>
    <w:p>
      <w:pPr>
        <w:spacing w:after="100" w:before="100"/>
      </w:pPr>
      <w:r>
        <w:rPr>
          <w:rFonts w:ascii="Arial" w:cs="Arial" w:eastAsia="Arial" w:hAnsi="Arial"/>
          <w:b/>
          <w:bCs/>
          <w:color w:val="0D1117"/>
          <w:sz w:val="24"/>
          <w:szCs w:val="24"/>
        </w:rPr>
        <w:t xml:space="preserve">Primary: Outfit</w:t>
      </w:r>
    </w:p>
    <w:p>
      <w:pPr>
        <w:spacing w:after="160" w:before="0" w:line="320"/>
        <w:jc w:val="left"/>
      </w:pPr>
      <w:r>
        <w:rPr>
          <w:rFonts w:ascii="Arial" w:cs="Arial" w:eastAsia="Arial" w:hAnsi="Arial"/>
          <w:color w:val="374151"/>
          <w:sz w:val="22"/>
          <w:szCs w:val="22"/>
        </w:rPr>
        <w:t xml:space="preserve">A modern geometric sans-serif with a friendly but authoritative feel. Used for all headings, navigation, buttons, metric labels, and body text on the website. Outfit has excellent legibility at small sizes and looks confident at display sizes.</w:t>
      </w:r>
    </w:p>
    <w:p>
      <w:pPr>
        <w:spacing w:after="100" w:before="200"/>
      </w:pPr>
      <w:r>
        <w:rPr>
          <w:rFonts w:ascii="Arial" w:cs="Arial" w:eastAsia="Arial" w:hAnsi="Arial"/>
          <w:b/>
          <w:bCs/>
          <w:color w:val="0D1117"/>
          <w:sz w:val="48"/>
          <w:szCs w:val="48"/>
        </w:rPr>
        <w:t xml:space="preserve">Outfit Bold — 48pt</w:t>
      </w:r>
    </w:p>
    <w:p>
      <w:pPr>
        <w:spacing w:after="40" w:before="40"/>
      </w:pPr>
      <w:r>
        <w:rPr>
          <w:rFonts w:ascii="Arial" w:cs="Arial" w:eastAsia="Arial" w:hAnsi="Arial"/>
          <w:b/>
          <w:bCs/>
          <w:color w:val="0D1117"/>
          <w:sz w:val="48"/>
          <w:szCs w:val="48"/>
        </w:rPr>
        <w:t xml:space="preserve">Can You Actually See a Doctor?</w:t>
      </w:r>
    </w:p>
    <w:p>
      <w:pPr>
        <w:spacing w:after="100" w:before="300"/>
      </w:pPr>
      <w:r>
        <w:rPr>
          <w:rFonts w:ascii="Arial" w:cs="Arial" w:eastAsia="Arial" w:hAnsi="Arial"/>
          <w:b w:val="false"/>
          <w:bCs w:val="false"/>
          <w:color w:val="0D1117"/>
          <w:sz w:val="48"/>
          <w:szCs w:val="48"/>
        </w:rPr>
        <w:t xml:space="preserve">Outfit Regular — 16pt</w:t>
      </w:r>
    </w:p>
    <w:p>
      <w:pPr>
        <w:spacing w:after="40" w:before="40" w:line="320"/>
      </w:pPr>
      <w:r>
        <w:rPr>
          <w:rFonts w:ascii="Arial" w:cs="Arial" w:eastAsia="Arial" w:hAnsi="Arial"/>
          <w:color w:val="374151"/>
          <w:sz w:val="22"/>
          <w:szCs w:val="22"/>
        </w:rPr>
        <w:t xml:space="preserve">In 2015, 85% of patients could see a GP within a week. Today it’s 54%. In some parts of England it’s below 40%. Here’s what’s actually happening.</w:t>
      </w:r>
    </w:p>
    <w:p>
      <w:pPr>
        <w:spacing w:after="0" w:before="200"/>
      </w:pPr>
    </w:p>
    <w:p>
      <w:pPr>
        <w:spacing w:after="100" w:before="100"/>
      </w:pPr>
      <w:r>
        <w:rPr>
          <w:rFonts w:ascii="Arial" w:cs="Arial" w:eastAsia="Arial" w:hAnsi="Arial"/>
          <w:b/>
          <w:bCs/>
          <w:color w:val="0D1117"/>
          <w:sz w:val="24"/>
          <w:szCs w:val="24"/>
        </w:rPr>
        <w:t xml:space="preserve">Data: IBM Plex Mono</w:t>
      </w:r>
    </w:p>
    <w:p>
      <w:pPr>
        <w:spacing w:after="160" w:before="0" w:line="320"/>
        <w:jc w:val="left"/>
      </w:pPr>
      <w:r>
        <w:rPr>
          <w:rFonts w:ascii="Arial" w:cs="Arial" w:eastAsia="Arial" w:hAnsi="Arial"/>
          <w:color w:val="374151"/>
          <w:sz w:val="22"/>
          <w:szCs w:val="22"/>
        </w:rPr>
        <w:t xml:space="preserve">A precise, highly legible monospace. Used exclusively for data values, chart labels, axis numbers, source attributions, and the postcode lookup interface. The monospace signals “this is a fact, not an opinion” and creates a visual distinction between editorial content and hard data.</w:t>
      </w:r>
    </w:p>
    <w:p>
      <w:pPr>
        <w:spacing w:after="100" w:before="200"/>
      </w:pPr>
      <w:r>
        <w:rPr>
          <w:rFonts w:ascii="Arial" w:cs="Arial" w:eastAsia="Arial" w:hAnsi="Arial"/>
          <w:b w:val="false"/>
          <w:bCs w:val="false"/>
          <w:color w:val="0D1117"/>
          <w:sz w:val="48"/>
          <w:szCs w:val="48"/>
        </w:rPr>
        <w:t xml:space="preserve">IBM Plex Mono — Data Values</w:t>
      </w:r>
    </w:p>
    <w:p>
      <w:pPr>
        <w:spacing w:after="40" w:before="40"/>
      </w:pPr>
      <w:r>
        <w:rPr>
          <w:rFonts w:ascii="Courier New" w:cs="Courier New" w:eastAsia="Courier New" w:hAnsi="Courier New"/>
          <w:color w:val="E63946"/>
          <w:sz w:val="36"/>
          <w:szCs w:val="36"/>
        </w:rPr>
        <w:t xml:space="preserve">21.3 days  ↑  +4.2 since 2019</w:t>
      </w:r>
    </w:p>
    <w:p>
      <w:pPr>
        <w:spacing w:after="40" w:before="100"/>
      </w:pPr>
      <w:r>
        <w:rPr>
          <w:rFonts w:ascii="Courier New" w:cs="Courier New" w:eastAsia="Courier New" w:hAnsi="Courier New"/>
          <w:color w:val="6B7280"/>
          <w:sz w:val="18"/>
          <w:szCs w:val="18"/>
        </w:rPr>
        <w:t xml:space="preserve">Source: NHS Digital, Appointments in General Practice, Jan 2026</w:t>
      </w:r>
    </w:p>
    <w:p>
      <w:pPr>
        <w:spacing w:after="0" w:before="300"/>
      </w:pPr>
    </w:p>
    <w:p>
      <w:pPr>
        <w:spacing w:after="200" w:before="100"/>
      </w:pPr>
      <w:r>
        <w:rPr>
          <w:rFonts w:ascii="Arial" w:cs="Arial" w:eastAsia="Arial" w:hAnsi="Arial"/>
          <w:b/>
          <w:bCs/>
          <w:color w:val="0D1117"/>
          <w:sz w:val="28"/>
          <w:szCs w:val="28"/>
        </w:rPr>
        <w:t xml:space="preserve">TYPE SCALE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c>
          <w:tcPr>
            <w:tcW w:type="dxa" w:w="2500"/>
            <w:tcBorders>
              <w:top w:val="none" w:sz="0"/>
              <w:left w:val="none" w:sz="0"/>
              <w:bottom w:val="single" w:color="E5E7EB" w:sz="1"/>
              <w:right w:val="none" w:sz="0"/>
            </w:tcBorders>
            <w:tcMar>
              <w:top w:type="dxa" w:w="80"/>
              <w:left w:type="dxa" w:w="0"/>
              <w:bottom w:type="dxa" w:w="80"/>
              <w:right w:type="dxa" w:w="80"/>
            </w:tcMar>
          </w:tcPr>
          <w:p>
            <w:r>
              <w:rPr>
                <w:rFonts w:ascii="Arial" w:cs="Arial" w:eastAsia="Arial" w:hAnsi="Arial"/>
                <w:b/>
                <w:bCs/>
                <w:color w:val="0D1117"/>
                <w:sz w:val="20"/>
                <w:szCs w:val="20"/>
              </w:rPr>
              <w:t xml:space="preserve">Page Title</w:t>
            </w:r>
          </w:p>
        </w:tc>
        <w:tc>
          <w:tcPr>
            <w:tcW w:type="dxa" w:w="2000"/>
            <w:tcBorders>
              <w:top w:val="none" w:sz="0"/>
              <w:left w:val="none" w:sz="0"/>
              <w:bottom w:val="single" w:color="E5E7EB" w:sz="1"/>
              <w:right w:val="none" w:sz="0"/>
            </w:tcBorders>
            <w:tcMar>
              <w:top w:type="dxa" w:w="80"/>
              <w:left w:type="dxa" w:w="0"/>
              <w:bottom w:type="dxa" w:w="80"/>
              <w:right w:type="dxa" w:w="80"/>
            </w:tcMar>
          </w:tcPr>
          <w:p>
            <w:r>
              <w:rPr>
                <w:rFonts w:ascii="Courier New" w:cs="Courier New" w:eastAsia="Courier New" w:hAnsi="Courier New"/>
                <w:color w:val="E63946"/>
                <w:sz w:val="20"/>
                <w:szCs w:val="20"/>
              </w:rPr>
              <w:t xml:space="preserve">36–48px</w:t>
            </w:r>
          </w:p>
        </w:tc>
        <w:tc>
          <w:tcPr>
            <w:tcW w:type="dxa" w:w="4526"/>
            <w:tcBorders>
              <w:top w:val="none" w:sz="0"/>
              <w:left w:val="none" w:sz="0"/>
              <w:bottom w:val="single" w:color="E5E7EB" w:sz="1"/>
              <w:right w:val="none" w:sz="0"/>
            </w:tcBorders>
            <w:tcMar>
              <w:top w:type="dxa" w:w="80"/>
              <w:left w:type="dxa" w:w="0"/>
              <w:bottom w:type="dxa" w:w="80"/>
              <w:right w:type="dxa" w:w="0"/>
            </w:tcMar>
          </w:tcPr>
          <w:p>
            <w:r>
              <w:rPr>
                <w:rFonts w:ascii="Arial" w:cs="Arial" w:eastAsia="Arial" w:hAnsi="Arial"/>
                <w:color w:val="374151"/>
                <w:sz w:val="20"/>
                <w:szCs w:val="20"/>
              </w:rPr>
              <w:t xml:space="preserve">Outfit Bold, WIAH Dark</w:t>
            </w:r>
          </w:p>
        </w:tc>
      </w:tr>
      <w:tr>
        <w:tc>
          <w:tcPr>
            <w:tcW w:type="dxa" w:w="2500"/>
            <w:tcBorders>
              <w:top w:val="none" w:sz="0"/>
              <w:left w:val="none" w:sz="0"/>
              <w:bottom w:val="single" w:color="E5E7EB" w:sz="1"/>
              <w:right w:val="none" w:sz="0"/>
            </w:tcBorders>
            <w:tcMar>
              <w:top w:type="dxa" w:w="80"/>
              <w:left w:type="dxa" w:w="0"/>
              <w:bottom w:type="dxa" w:w="80"/>
              <w:right w:type="dxa" w:w="80"/>
            </w:tcMar>
          </w:tcPr>
          <w:p>
            <w:r>
              <w:rPr>
                <w:rFonts w:ascii="Arial" w:cs="Arial" w:eastAsia="Arial" w:hAnsi="Arial"/>
                <w:b/>
                <w:bCs/>
                <w:color w:val="0D1117"/>
                <w:sz w:val="20"/>
                <w:szCs w:val="20"/>
              </w:rPr>
              <w:t xml:space="preserve">Section Heading</w:t>
            </w:r>
          </w:p>
        </w:tc>
        <w:tc>
          <w:tcPr>
            <w:tcW w:type="dxa" w:w="2000"/>
            <w:tcBorders>
              <w:top w:val="none" w:sz="0"/>
              <w:left w:val="none" w:sz="0"/>
              <w:bottom w:val="single" w:color="E5E7EB" w:sz="1"/>
              <w:right w:val="none" w:sz="0"/>
            </w:tcBorders>
            <w:tcMar>
              <w:top w:type="dxa" w:w="80"/>
              <w:left w:type="dxa" w:w="0"/>
              <w:bottom w:type="dxa" w:w="80"/>
              <w:right w:type="dxa" w:w="80"/>
            </w:tcMar>
          </w:tcPr>
          <w:p>
            <w:r>
              <w:rPr>
                <w:rFonts w:ascii="Courier New" w:cs="Courier New" w:eastAsia="Courier New" w:hAnsi="Courier New"/>
                <w:color w:val="E63946"/>
                <w:sz w:val="20"/>
                <w:szCs w:val="20"/>
              </w:rPr>
              <w:t xml:space="preserve">24–28px</w:t>
            </w:r>
          </w:p>
        </w:tc>
        <w:tc>
          <w:tcPr>
            <w:tcW w:type="dxa" w:w="4526"/>
            <w:tcBorders>
              <w:top w:val="none" w:sz="0"/>
              <w:left w:val="none" w:sz="0"/>
              <w:bottom w:val="single" w:color="E5E7EB" w:sz="1"/>
              <w:right w:val="none" w:sz="0"/>
            </w:tcBorders>
            <w:tcMar>
              <w:top w:type="dxa" w:w="80"/>
              <w:left w:type="dxa" w:w="0"/>
              <w:bottom w:type="dxa" w:w="80"/>
              <w:right w:type="dxa" w:w="0"/>
            </w:tcMar>
          </w:tcPr>
          <w:p>
            <w:r>
              <w:rPr>
                <w:rFonts w:ascii="Arial" w:cs="Arial" w:eastAsia="Arial" w:hAnsi="Arial"/>
                <w:color w:val="374151"/>
                <w:sz w:val="20"/>
                <w:szCs w:val="20"/>
              </w:rPr>
              <w:t xml:space="preserve">Outfit Bold, WIAH Dark</w:t>
            </w:r>
          </w:p>
        </w:tc>
      </w:tr>
      <w:tr>
        <w:tc>
          <w:tcPr>
            <w:tcW w:type="dxa" w:w="2500"/>
            <w:tcBorders>
              <w:top w:val="none" w:sz="0"/>
              <w:left w:val="none" w:sz="0"/>
              <w:bottom w:val="single" w:color="E5E7EB" w:sz="1"/>
              <w:right w:val="none" w:sz="0"/>
            </w:tcBorders>
            <w:tcMar>
              <w:top w:type="dxa" w:w="80"/>
              <w:left w:type="dxa" w:w="0"/>
              <w:bottom w:type="dxa" w:w="80"/>
              <w:right w:type="dxa" w:w="80"/>
            </w:tcMar>
          </w:tcPr>
          <w:p>
            <w:r>
              <w:rPr>
                <w:rFonts w:ascii="Arial" w:cs="Arial" w:eastAsia="Arial" w:hAnsi="Arial"/>
                <w:b/>
                <w:bCs/>
                <w:color w:val="0D1117"/>
                <w:sz w:val="20"/>
                <w:szCs w:val="20"/>
              </w:rPr>
              <w:t xml:space="preserve">Subsection</w:t>
            </w:r>
          </w:p>
        </w:tc>
        <w:tc>
          <w:tcPr>
            <w:tcW w:type="dxa" w:w="2000"/>
            <w:tcBorders>
              <w:top w:val="none" w:sz="0"/>
              <w:left w:val="none" w:sz="0"/>
              <w:bottom w:val="single" w:color="E5E7EB" w:sz="1"/>
              <w:right w:val="none" w:sz="0"/>
            </w:tcBorders>
            <w:tcMar>
              <w:top w:type="dxa" w:w="80"/>
              <w:left w:type="dxa" w:w="0"/>
              <w:bottom w:type="dxa" w:w="80"/>
              <w:right w:type="dxa" w:w="80"/>
            </w:tcMar>
          </w:tcPr>
          <w:p>
            <w:r>
              <w:rPr>
                <w:rFonts w:ascii="Courier New" w:cs="Courier New" w:eastAsia="Courier New" w:hAnsi="Courier New"/>
                <w:color w:val="E63946"/>
                <w:sz w:val="20"/>
                <w:szCs w:val="20"/>
              </w:rPr>
              <w:t xml:space="preserve">18–20px</w:t>
            </w:r>
          </w:p>
        </w:tc>
        <w:tc>
          <w:tcPr>
            <w:tcW w:type="dxa" w:w="4526"/>
            <w:tcBorders>
              <w:top w:val="none" w:sz="0"/>
              <w:left w:val="none" w:sz="0"/>
              <w:bottom w:val="single" w:color="E5E7EB" w:sz="1"/>
              <w:right w:val="none" w:sz="0"/>
            </w:tcBorders>
            <w:tcMar>
              <w:top w:type="dxa" w:w="80"/>
              <w:left w:type="dxa" w:w="0"/>
              <w:bottom w:type="dxa" w:w="80"/>
              <w:right w:type="dxa" w:w="0"/>
            </w:tcMar>
          </w:tcPr>
          <w:p>
            <w:r>
              <w:rPr>
                <w:rFonts w:ascii="Arial" w:cs="Arial" w:eastAsia="Arial" w:hAnsi="Arial"/>
                <w:color w:val="374151"/>
                <w:sz w:val="20"/>
                <w:szCs w:val="20"/>
              </w:rPr>
              <w:t xml:space="preserve">Outfit Bold, WIAH Dark</w:t>
            </w:r>
          </w:p>
        </w:tc>
      </w:tr>
      <w:tr>
        <w:tc>
          <w:tcPr>
            <w:tcW w:type="dxa" w:w="2500"/>
            <w:tcBorders>
              <w:top w:val="none" w:sz="0"/>
              <w:left w:val="none" w:sz="0"/>
              <w:bottom w:val="single" w:color="E5E7EB" w:sz="1"/>
              <w:right w:val="none" w:sz="0"/>
            </w:tcBorders>
            <w:tcMar>
              <w:top w:type="dxa" w:w="80"/>
              <w:left w:type="dxa" w:w="0"/>
              <w:bottom w:type="dxa" w:w="80"/>
              <w:right w:type="dxa" w:w="80"/>
            </w:tcMar>
          </w:tcPr>
          <w:p>
            <w:r>
              <w:rPr>
                <w:rFonts w:ascii="Arial" w:cs="Arial" w:eastAsia="Arial" w:hAnsi="Arial"/>
                <w:b/>
                <w:bCs/>
                <w:color w:val="0D1117"/>
                <w:sz w:val="20"/>
                <w:szCs w:val="20"/>
              </w:rPr>
              <w:t xml:space="preserve">Body Text</w:t>
            </w:r>
          </w:p>
        </w:tc>
        <w:tc>
          <w:tcPr>
            <w:tcW w:type="dxa" w:w="2000"/>
            <w:tcBorders>
              <w:top w:val="none" w:sz="0"/>
              <w:left w:val="none" w:sz="0"/>
              <w:bottom w:val="single" w:color="E5E7EB" w:sz="1"/>
              <w:right w:val="none" w:sz="0"/>
            </w:tcBorders>
            <w:tcMar>
              <w:top w:type="dxa" w:w="80"/>
              <w:left w:type="dxa" w:w="0"/>
              <w:bottom w:type="dxa" w:w="80"/>
              <w:right w:type="dxa" w:w="80"/>
            </w:tcMar>
          </w:tcPr>
          <w:p>
            <w:r>
              <w:rPr>
                <w:rFonts w:ascii="Courier New" w:cs="Courier New" w:eastAsia="Courier New" w:hAnsi="Courier New"/>
                <w:color w:val="E63946"/>
                <w:sz w:val="20"/>
                <w:szCs w:val="20"/>
              </w:rPr>
              <w:t xml:space="preserve">16px</w:t>
            </w:r>
          </w:p>
        </w:tc>
        <w:tc>
          <w:tcPr>
            <w:tcW w:type="dxa" w:w="4526"/>
            <w:tcBorders>
              <w:top w:val="none" w:sz="0"/>
              <w:left w:val="none" w:sz="0"/>
              <w:bottom w:val="single" w:color="E5E7EB" w:sz="1"/>
              <w:right w:val="none" w:sz="0"/>
            </w:tcBorders>
            <w:tcMar>
              <w:top w:type="dxa" w:w="80"/>
              <w:left w:type="dxa" w:w="0"/>
              <w:bottom w:type="dxa" w:w="80"/>
              <w:right w:type="dxa" w:w="0"/>
            </w:tcMar>
          </w:tcPr>
          <w:p>
            <w:r>
              <w:rPr>
                <w:rFonts w:ascii="Arial" w:cs="Arial" w:eastAsia="Arial" w:hAnsi="Arial"/>
                <w:color w:val="374151"/>
                <w:sz w:val="20"/>
                <w:szCs w:val="20"/>
              </w:rPr>
              <w:t xml:space="preserve">Outfit Regular, line-height 1.6</w:t>
            </w:r>
          </w:p>
        </w:tc>
      </w:tr>
      <w:tr>
        <w:tc>
          <w:tcPr>
            <w:tcW w:type="dxa" w:w="2500"/>
            <w:tcBorders>
              <w:top w:val="none" w:sz="0"/>
              <w:left w:val="none" w:sz="0"/>
              <w:bottom w:val="single" w:color="E5E7EB" w:sz="1"/>
              <w:right w:val="none" w:sz="0"/>
            </w:tcBorders>
            <w:tcMar>
              <w:top w:type="dxa" w:w="80"/>
              <w:left w:type="dxa" w:w="0"/>
              <w:bottom w:type="dxa" w:w="80"/>
              <w:right w:type="dxa" w:w="80"/>
            </w:tcMar>
          </w:tcPr>
          <w:p>
            <w:r>
              <w:rPr>
                <w:rFonts w:ascii="Arial" w:cs="Arial" w:eastAsia="Arial" w:hAnsi="Arial"/>
                <w:b/>
                <w:bCs/>
                <w:color w:val="0D1117"/>
                <w:sz w:val="20"/>
                <w:szCs w:val="20"/>
              </w:rPr>
              <w:t xml:space="preserve">Caption / Source</w:t>
            </w:r>
          </w:p>
        </w:tc>
        <w:tc>
          <w:tcPr>
            <w:tcW w:type="dxa" w:w="2000"/>
            <w:tcBorders>
              <w:top w:val="none" w:sz="0"/>
              <w:left w:val="none" w:sz="0"/>
              <w:bottom w:val="single" w:color="E5E7EB" w:sz="1"/>
              <w:right w:val="none" w:sz="0"/>
            </w:tcBorders>
            <w:tcMar>
              <w:top w:type="dxa" w:w="80"/>
              <w:left w:type="dxa" w:w="0"/>
              <w:bottom w:type="dxa" w:w="80"/>
              <w:right w:type="dxa" w:w="80"/>
            </w:tcMar>
          </w:tcPr>
          <w:p>
            <w:r>
              <w:rPr>
                <w:rFonts w:ascii="Courier New" w:cs="Courier New" w:eastAsia="Courier New" w:hAnsi="Courier New"/>
                <w:color w:val="E63946"/>
                <w:sz w:val="20"/>
                <w:szCs w:val="20"/>
              </w:rPr>
              <w:t xml:space="preserve">13–14px</w:t>
            </w:r>
          </w:p>
        </w:tc>
        <w:tc>
          <w:tcPr>
            <w:tcW w:type="dxa" w:w="4526"/>
            <w:tcBorders>
              <w:top w:val="none" w:sz="0"/>
              <w:left w:val="none" w:sz="0"/>
              <w:bottom w:val="single" w:color="E5E7EB" w:sz="1"/>
              <w:right w:val="none" w:sz="0"/>
            </w:tcBorders>
            <w:tcMar>
              <w:top w:type="dxa" w:w="80"/>
              <w:left w:type="dxa" w:w="0"/>
              <w:bottom w:type="dxa" w:w="80"/>
              <w:right w:type="dxa" w:w="0"/>
            </w:tcMar>
          </w:tcPr>
          <w:p>
            <w:r>
              <w:rPr>
                <w:rFonts w:ascii="Arial" w:cs="Arial" w:eastAsia="Arial" w:hAnsi="Arial"/>
                <w:color w:val="374151"/>
                <w:sz w:val="20"/>
                <w:szCs w:val="20"/>
              </w:rPr>
              <w:t xml:space="preserve">IBM Plex Mono, Mid Grey</w:t>
            </w:r>
          </w:p>
        </w:tc>
      </w:tr>
      <w:tr>
        <w:tc>
          <w:tcPr>
            <w:tcW w:type="dxa" w:w="2500"/>
            <w:tcBorders>
              <w:top w:val="none" w:sz="0"/>
              <w:left w:val="none" w:sz="0"/>
              <w:bottom w:val="single" w:color="E5E7EB" w:sz="1"/>
              <w:right w:val="none" w:sz="0"/>
            </w:tcBorders>
            <w:tcMar>
              <w:top w:type="dxa" w:w="80"/>
              <w:left w:type="dxa" w:w="0"/>
              <w:bottom w:type="dxa" w:w="80"/>
              <w:right w:type="dxa" w:w="80"/>
            </w:tcMar>
          </w:tcPr>
          <w:p>
            <w:r>
              <w:rPr>
                <w:rFonts w:ascii="Arial" w:cs="Arial" w:eastAsia="Arial" w:hAnsi="Arial"/>
                <w:b/>
                <w:bCs/>
                <w:color w:val="0D1117"/>
                <w:sz w:val="20"/>
                <w:szCs w:val="20"/>
              </w:rPr>
              <w:t xml:space="preserve">Data Value (hero)</w:t>
            </w:r>
          </w:p>
        </w:tc>
        <w:tc>
          <w:tcPr>
            <w:tcW w:type="dxa" w:w="2000"/>
            <w:tcBorders>
              <w:top w:val="none" w:sz="0"/>
              <w:left w:val="none" w:sz="0"/>
              <w:bottom w:val="single" w:color="E5E7EB" w:sz="1"/>
              <w:right w:val="none" w:sz="0"/>
            </w:tcBorders>
            <w:tcMar>
              <w:top w:type="dxa" w:w="80"/>
              <w:left w:type="dxa" w:w="0"/>
              <w:bottom w:type="dxa" w:w="80"/>
              <w:right w:type="dxa" w:w="80"/>
            </w:tcMar>
          </w:tcPr>
          <w:p>
            <w:r>
              <w:rPr>
                <w:rFonts w:ascii="Courier New" w:cs="Courier New" w:eastAsia="Courier New" w:hAnsi="Courier New"/>
                <w:color w:val="E63946"/>
                <w:sz w:val="20"/>
                <w:szCs w:val="20"/>
              </w:rPr>
              <w:t xml:space="preserve">48–64px</w:t>
            </w:r>
          </w:p>
        </w:tc>
        <w:tc>
          <w:tcPr>
            <w:tcW w:type="dxa" w:w="4526"/>
            <w:tcBorders>
              <w:top w:val="none" w:sz="0"/>
              <w:left w:val="none" w:sz="0"/>
              <w:bottom w:val="single" w:color="E5E7EB" w:sz="1"/>
              <w:right w:val="none" w:sz="0"/>
            </w:tcBorders>
            <w:tcMar>
              <w:top w:type="dxa" w:w="80"/>
              <w:left w:type="dxa" w:w="0"/>
              <w:bottom w:type="dxa" w:w="80"/>
              <w:right w:type="dxa" w:w="0"/>
            </w:tcMar>
          </w:tcPr>
          <w:p>
            <w:r>
              <w:rPr>
                <w:rFonts w:ascii="Arial" w:cs="Arial" w:eastAsia="Arial" w:hAnsi="Arial"/>
                <w:color w:val="374151"/>
                <w:sz w:val="20"/>
                <w:szCs w:val="20"/>
              </w:rPr>
              <w:t xml:space="preserve">IBM Plex Mono Bold, WIAH Dark</w:t>
            </w:r>
          </w:p>
        </w:tc>
      </w:tr>
      <w:tr>
        <w:tc>
          <w:tcPr>
            <w:tcW w:type="dxa" w:w="2500"/>
            <w:tcBorders>
              <w:top w:val="none" w:sz="0"/>
              <w:left w:val="none" w:sz="0"/>
              <w:bottom w:val="single" w:color="E5E7EB" w:sz="1"/>
              <w:right w:val="none" w:sz="0"/>
            </w:tcBorders>
            <w:tcMar>
              <w:top w:type="dxa" w:w="80"/>
              <w:left w:type="dxa" w:w="0"/>
              <w:bottom w:type="dxa" w:w="80"/>
              <w:right w:type="dxa" w:w="80"/>
            </w:tcMar>
          </w:tcPr>
          <w:p>
            <w:r>
              <w:rPr>
                <w:rFonts w:ascii="Arial" w:cs="Arial" w:eastAsia="Arial" w:hAnsi="Arial"/>
                <w:b/>
                <w:bCs/>
                <w:color w:val="0D1117"/>
                <w:sz w:val="20"/>
                <w:szCs w:val="20"/>
              </w:rPr>
              <w:t xml:space="preserve">Data Value (card)</w:t>
            </w:r>
          </w:p>
        </w:tc>
        <w:tc>
          <w:tcPr>
            <w:tcW w:type="dxa" w:w="2000"/>
            <w:tcBorders>
              <w:top w:val="none" w:sz="0"/>
              <w:left w:val="none" w:sz="0"/>
              <w:bottom w:val="single" w:color="E5E7EB" w:sz="1"/>
              <w:right w:val="none" w:sz="0"/>
            </w:tcBorders>
            <w:tcMar>
              <w:top w:type="dxa" w:w="80"/>
              <w:left w:type="dxa" w:w="0"/>
              <w:bottom w:type="dxa" w:w="80"/>
              <w:right w:type="dxa" w:w="80"/>
            </w:tcMar>
          </w:tcPr>
          <w:p>
            <w:r>
              <w:rPr>
                <w:rFonts w:ascii="Courier New" w:cs="Courier New" w:eastAsia="Courier New" w:hAnsi="Courier New"/>
                <w:color w:val="E63946"/>
                <w:sz w:val="20"/>
                <w:szCs w:val="20"/>
              </w:rPr>
              <w:t xml:space="preserve">28–32px</w:t>
            </w:r>
          </w:p>
        </w:tc>
        <w:tc>
          <w:tcPr>
            <w:tcW w:type="dxa" w:w="4526"/>
            <w:tcBorders>
              <w:top w:val="none" w:sz="0"/>
              <w:left w:val="none" w:sz="0"/>
              <w:bottom w:val="single" w:color="E5E7EB" w:sz="1"/>
              <w:right w:val="none" w:sz="0"/>
            </w:tcBorders>
            <w:tcMar>
              <w:top w:type="dxa" w:w="80"/>
              <w:left w:type="dxa" w:w="0"/>
              <w:bottom w:type="dxa" w:w="80"/>
              <w:right w:type="dxa" w:w="0"/>
            </w:tcMar>
          </w:tcPr>
          <w:p>
            <w:r>
              <w:rPr>
                <w:rFonts w:ascii="Arial" w:cs="Arial" w:eastAsia="Arial" w:hAnsi="Arial"/>
                <w:color w:val="374151"/>
                <w:sz w:val="20"/>
                <w:szCs w:val="20"/>
              </w:rPr>
              <w:t xml:space="preserve">IBM Plex Mono Bold, WIAH Dark</w:t>
            </w:r>
          </w:p>
        </w:tc>
      </w:tr>
      <w:tr>
        <w:tc>
          <w:tcPr>
            <w:tcW w:type="dxa" w:w="2500"/>
            <w:tcBorders>
              <w:top w:val="none" w:sz="0"/>
              <w:left w:val="none" w:sz="0"/>
              <w:bottom w:val="single" w:color="E5E7EB" w:sz="1"/>
              <w:right w:val="none" w:sz="0"/>
            </w:tcBorders>
            <w:tcMar>
              <w:top w:type="dxa" w:w="80"/>
              <w:left w:type="dxa" w:w="0"/>
              <w:bottom w:type="dxa" w:w="80"/>
              <w:right w:type="dxa" w:w="80"/>
            </w:tcMar>
          </w:tcPr>
          <w:p>
            <w:r>
              <w:rPr>
                <w:rFonts w:ascii="Arial" w:cs="Arial" w:eastAsia="Arial" w:hAnsi="Arial"/>
                <w:b/>
                <w:bCs/>
                <w:color w:val="0D1117"/>
                <w:sz w:val="20"/>
                <w:szCs w:val="20"/>
              </w:rPr>
              <w:t xml:space="preserve">Chart Label</w:t>
            </w:r>
          </w:p>
        </w:tc>
        <w:tc>
          <w:tcPr>
            <w:tcW w:type="dxa" w:w="2000"/>
            <w:tcBorders>
              <w:top w:val="none" w:sz="0"/>
              <w:left w:val="none" w:sz="0"/>
              <w:bottom w:val="single" w:color="E5E7EB" w:sz="1"/>
              <w:right w:val="none" w:sz="0"/>
            </w:tcBorders>
            <w:tcMar>
              <w:top w:type="dxa" w:w="80"/>
              <w:left w:type="dxa" w:w="0"/>
              <w:bottom w:type="dxa" w:w="80"/>
              <w:right w:type="dxa" w:w="80"/>
            </w:tcMar>
          </w:tcPr>
          <w:p>
            <w:r>
              <w:rPr>
                <w:rFonts w:ascii="Courier New" w:cs="Courier New" w:eastAsia="Courier New" w:hAnsi="Courier New"/>
                <w:color w:val="E63946"/>
                <w:sz w:val="20"/>
                <w:szCs w:val="20"/>
              </w:rPr>
              <w:t xml:space="preserve">11–12px</w:t>
            </w:r>
          </w:p>
        </w:tc>
        <w:tc>
          <w:tcPr>
            <w:tcW w:type="dxa" w:w="4526"/>
            <w:tcBorders>
              <w:top w:val="none" w:sz="0"/>
              <w:left w:val="none" w:sz="0"/>
              <w:bottom w:val="single" w:color="E5E7EB" w:sz="1"/>
              <w:right w:val="none" w:sz="0"/>
            </w:tcBorders>
            <w:tcMar>
              <w:top w:type="dxa" w:w="80"/>
              <w:left w:type="dxa" w:w="0"/>
              <w:bottom w:type="dxa" w:w="80"/>
              <w:right w:type="dxa" w:w="0"/>
            </w:tcMar>
          </w:tcPr>
          <w:p>
            <w:r>
              <w:rPr>
                <w:rFonts w:ascii="Arial" w:cs="Arial" w:eastAsia="Arial" w:hAnsi="Arial"/>
                <w:color w:val="374151"/>
                <w:sz w:val="20"/>
                <w:szCs w:val="20"/>
              </w:rPr>
              <w:t xml:space="preserve">IBM Plex Mono, Mid Grey</w:t>
            </w:r>
          </w:p>
        </w:tc>
      </w:tr>
    </w:tbl>
    <w:p>
      <w:pPr>
        <w:sectPr>
          <w:headerReference w:type="default" r:id="rId13"/>
          <w:footerReference w:type="default" r:id="rId14"/>
          <w:pgSz w:w="11906" w:h="16838" w:orient="portrait"/>
          <w:pgMar w:top="1440" w:right="1440" w:bottom="1440" w:left="1440" w:header="708" w:footer="708" w:gutter="0"/>
          <w:pgNumType/>
          <w:docGrid w:linePitch="360"/>
        </w:sectPr>
      </w:pPr>
    </w:p>
    <w:p>
      <w:pPr>
        <w:spacing w:after="200" w:before="100"/>
      </w:pPr>
      <w:r>
        <w:rPr>
          <w:rFonts w:ascii="Arial" w:cs="Arial" w:eastAsia="Arial" w:hAnsi="Arial"/>
          <w:b/>
          <w:bCs/>
          <w:color w:val="0D1117"/>
          <w:sz w:val="28"/>
          <w:szCs w:val="28"/>
        </w:rPr>
        <w:t xml:space="preserve">05. TONE OF VOICE</w:t>
      </w:r>
    </w:p>
    <w:p>
      <w:pPr>
        <w:spacing w:after="160" w:before="0" w:line="320"/>
        <w:jc w:val="left"/>
      </w:pPr>
      <w:r>
        <w:rPr>
          <w:rFonts w:ascii="Arial" w:cs="Arial" w:eastAsia="Arial" w:hAnsi="Arial"/>
          <w:color w:val="374151"/>
          <w:sz w:val="22"/>
          <w:szCs w:val="22"/>
        </w:rPr>
        <w:t xml:space="preserve">WIAH speaks like a knowledgeable friend who also happens to have read every ONS publication this year. The tone is warm but precise, confident but never arrogant, plain-spoken but never dumbed down. We respect our audience’s intelligence while doing the hard work of making complex things clear.</w:t>
      </w:r>
    </w:p>
    <w:p>
      <w:pPr>
        <w:spacing w:after="0" w:before="100"/>
      </w:pPr>
    </w:p>
    <w:p>
      <w:pPr>
        <w:spacing w:after="200" w:before="100"/>
      </w:pPr>
      <w:r>
        <w:rPr>
          <w:rFonts w:ascii="Arial" w:cs="Arial" w:eastAsia="Arial" w:hAnsi="Arial"/>
          <w:b/>
          <w:bCs/>
          <w:color w:val="0D1117"/>
          <w:sz w:val="24"/>
          <w:szCs w:val="24"/>
        </w:rPr>
        <w:t xml:space="preserve">Voice Principles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264653" w:sz="6"/>
              <w:bottom w:val="none" w:sz="0"/>
              <w:right w:val="none" w:sz="0"/>
            </w:tcBorders>
            <w:tcMar>
              <w:top w:type="dxa" w:w="100"/>
              <w:left w:type="dxa" w:w="200"/>
              <w:bottom w:type="dxa" w:w="100"/>
              <w:right w:type="dxa" w:w="80"/>
            </w:tcMar>
          </w:tcPr>
          <w:p>
            <w:pPr>
              <w:spacing w:after="60"/>
            </w:pPr>
            <w:r>
              <w:rPr>
                <w:rFonts w:ascii="Arial" w:cs="Arial" w:eastAsia="Arial" w:hAnsi="Arial"/>
                <w:b/>
                <w:bCs/>
                <w:color w:val="0D1117"/>
                <w:sz w:val="22"/>
                <w:szCs w:val="22"/>
              </w:rPr>
              <w:t xml:space="preserve">Direct, not blunt.</w:t>
            </w:r>
          </w:p>
          <w:p>
            <w:pPr>
              <w:spacing w:line="300"/>
            </w:pPr>
            <w:r>
              <w:rPr>
                <w:rFonts w:ascii="Arial" w:cs="Arial" w:eastAsia="Arial" w:hAnsi="Arial"/>
                <w:color w:val="374151"/>
                <w:sz w:val="20"/>
                <w:szCs w:val="20"/>
              </w:rPr>
              <w:t xml:space="preserve">We state findings plainly but we don’t sensationalise. “Average GP wait times have doubled since 2015” not “NHS IN CRISIS: shocking wait times revealed.”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264653" w:sz="6"/>
              <w:bottom w:val="none" w:sz="0"/>
              <w:right w:val="none" w:sz="0"/>
            </w:tcBorders>
            <w:tcMar>
              <w:top w:type="dxa" w:w="100"/>
              <w:left w:type="dxa" w:w="200"/>
              <w:bottom w:type="dxa" w:w="100"/>
              <w:right w:type="dxa" w:w="80"/>
            </w:tcMar>
          </w:tcPr>
          <w:p>
            <w:pPr>
              <w:spacing w:after="60"/>
            </w:pPr>
            <w:r>
              <w:rPr>
                <w:rFonts w:ascii="Arial" w:cs="Arial" w:eastAsia="Arial" w:hAnsi="Arial"/>
                <w:b/>
                <w:bCs/>
                <w:color w:val="0D1117"/>
                <w:sz w:val="22"/>
                <w:szCs w:val="22"/>
              </w:rPr>
              <w:t xml:space="preserve">Specific, not vague.</w:t>
            </w:r>
          </w:p>
          <w:p>
            <w:pPr>
              <w:spacing w:line="300"/>
            </w:pPr>
            <w:r>
              <w:rPr>
                <w:rFonts w:ascii="Arial" w:cs="Arial" w:eastAsia="Arial" w:hAnsi="Arial"/>
                <w:color w:val="374151"/>
                <w:sz w:val="20"/>
                <w:szCs w:val="20"/>
              </w:rPr>
              <w:t xml:space="preserve">Numbers, dates, places. “In 2015, 85% of patients saw a GP within a week. Today it’s 54%.” Not “GP access has got significantly worse.”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264653" w:sz="6"/>
              <w:bottom w:val="none" w:sz="0"/>
              <w:right w:val="none" w:sz="0"/>
            </w:tcBorders>
            <w:tcMar>
              <w:top w:type="dxa" w:w="100"/>
              <w:left w:type="dxa" w:w="200"/>
              <w:bottom w:type="dxa" w:w="100"/>
              <w:right w:type="dxa" w:w="80"/>
            </w:tcMar>
          </w:tcPr>
          <w:p>
            <w:pPr>
              <w:spacing w:after="60"/>
            </w:pPr>
            <w:r>
              <w:rPr>
                <w:rFonts w:ascii="Arial" w:cs="Arial" w:eastAsia="Arial" w:hAnsi="Arial"/>
                <w:b/>
                <w:bCs/>
                <w:color w:val="0D1117"/>
                <w:sz w:val="22"/>
                <w:szCs w:val="22"/>
              </w:rPr>
              <w:t xml:space="preserve">Contextual, not campaigning.</w:t>
            </w:r>
          </w:p>
          <w:p>
            <w:pPr>
              <w:spacing w:line="300"/>
            </w:pPr>
            <w:r>
              <w:rPr>
                <w:rFonts w:ascii="Arial" w:cs="Arial" w:eastAsia="Arial" w:hAnsi="Arial"/>
                <w:color w:val="374151"/>
                <w:sz w:val="20"/>
                <w:szCs w:val="20"/>
              </w:rPr>
              <w:t xml:space="preserve">We explain what’s driving trends — funding in real terms, workforce pipeline, policy changes — without prescribing solutions. The reader draws their own conclusions.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264653" w:sz="6"/>
              <w:bottom w:val="none" w:sz="0"/>
              <w:right w:val="none" w:sz="0"/>
            </w:tcBorders>
            <w:tcMar>
              <w:top w:type="dxa" w:w="100"/>
              <w:left w:type="dxa" w:w="200"/>
              <w:bottom w:type="dxa" w:w="100"/>
              <w:right w:type="dxa" w:w="80"/>
            </w:tcMar>
          </w:tcPr>
          <w:p>
            <w:pPr>
              <w:spacing w:after="60"/>
            </w:pPr>
            <w:r>
              <w:rPr>
                <w:rFonts w:ascii="Arial" w:cs="Arial" w:eastAsia="Arial" w:hAnsi="Arial"/>
                <w:b/>
                <w:bCs/>
                <w:color w:val="0D1117"/>
                <w:sz w:val="22"/>
                <w:szCs w:val="22"/>
              </w:rPr>
              <w:t xml:space="preserve">Human, not bureaucratic.</w:t>
            </w:r>
          </w:p>
          <w:p>
            <w:pPr>
              <w:spacing w:line="300"/>
            </w:pPr>
            <w:r>
              <w:rPr>
                <w:rFonts w:ascii="Arial" w:cs="Arial" w:eastAsia="Arial" w:hAnsi="Arial"/>
                <w:color w:val="374151"/>
                <w:sz w:val="20"/>
                <w:szCs w:val="20"/>
              </w:rPr>
              <w:t xml:space="preserve">We say “your area” not “the respondent’s Integrated Care Board.” We say “what happens when you call 999” not “ambulance service category 2 response time metrics.”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264653" w:sz="6"/>
              <w:bottom w:val="none" w:sz="0"/>
              <w:right w:val="none" w:sz="0"/>
            </w:tcBorders>
            <w:tcMar>
              <w:top w:type="dxa" w:w="100"/>
              <w:left w:type="dxa" w:w="200"/>
              <w:bottom w:type="dxa" w:w="100"/>
              <w:right w:type="dxa" w:w="80"/>
            </w:tcMar>
          </w:tcPr>
          <w:p>
            <w:pPr>
              <w:spacing w:after="60"/>
            </w:pPr>
            <w:r>
              <w:rPr>
                <w:rFonts w:ascii="Arial" w:cs="Arial" w:eastAsia="Arial" w:hAnsi="Arial"/>
                <w:b/>
                <w:bCs/>
                <w:color w:val="0D1117"/>
                <w:sz w:val="22"/>
                <w:szCs w:val="22"/>
              </w:rPr>
              <w:t xml:space="preserve">Honest about uncertainty.</w:t>
            </w:r>
          </w:p>
          <w:p>
            <w:pPr>
              <w:spacing w:line="300"/>
            </w:pPr>
            <w:r>
              <w:rPr>
                <w:rFonts w:ascii="Arial" w:cs="Arial" w:eastAsia="Arial" w:hAnsi="Arial"/>
                <w:color w:val="374151"/>
                <w:sz w:val="20"/>
                <w:szCs w:val="20"/>
              </w:rPr>
              <w:t xml:space="preserve">When data is incomplete or methodology has changed, we say so. “This comparison is imperfect because the counting method changed in 2018” is a feature, not a weakness.</w:t>
            </w:r>
          </w:p>
        </w:tc>
      </w:tr>
    </w:tbl>
    <w:p>
      <w:pPr>
        <w:spacing w:after="0" w:before="200"/>
      </w:pPr>
    </w:p>
    <w:p>
      <w:pPr>
        <w:spacing w:after="200" w:before="100"/>
      </w:pPr>
      <w:r>
        <w:rPr>
          <w:rFonts w:ascii="Arial" w:cs="Arial" w:eastAsia="Arial" w:hAnsi="Arial"/>
          <w:b/>
          <w:bCs/>
          <w:color w:val="0D1117"/>
          <w:sz w:val="28"/>
          <w:szCs w:val="28"/>
        </w:rPr>
        <w:t xml:space="preserve">WRITING EXAMPLES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sz="0"/>
              <w:left w:val="none" w:sz="0"/>
              <w:bottom w:val="none" w:sz="0"/>
              <w:right w:val="none" w:sz="0"/>
            </w:tcBorders>
            <w:shd w:fill="FEE2E2" w:val="clear"/>
            <w:tcMar>
              <w:top w:type="dxa" w:w="80"/>
              <w:left w:type="dxa" w:w="0"/>
              <w:bottom w:type="dxa" w:w="80"/>
              <w:right w:type="dxa" w:w="120"/>
            </w:tcMar>
          </w:tcPr>
          <w:p>
            <w:pPr>
              <w:spacing w:after="60" w:before="80"/>
            </w:pPr>
            <w:r>
              <w:rPr>
                <w:rFonts w:ascii="Arial" w:cs="Arial" w:eastAsia="Arial" w:hAnsi="Arial"/>
                <w:b/>
                <w:bCs/>
                <w:color w:val="E63946"/>
                <w:sz w:val="16"/>
                <w:szCs w:val="16"/>
              </w:rPr>
              <w:t xml:space="preserve">  NOT THIS</w:t>
            </w:r>
          </w:p>
          <w:p>
            <w:pPr>
              <w:spacing w:after="80" w:line="280"/>
            </w:pPr>
            <w:r>
              <w:rPr>
                <w:rFonts w:ascii="Arial" w:cs="Arial" w:eastAsia="Arial" w:hAnsi="Arial"/>
                <w:color w:val="374151"/>
                <w:sz w:val="20"/>
                <w:szCs w:val="20"/>
              </w:rPr>
              <w:t xml:space="preserve">  The NHS faces unprecedented challenges with emergency department performance reaching critically low levels across the country.</w:t>
            </w:r>
          </w:p>
        </w:tc>
        <w:tc>
          <w:tcPr>
            <w:tcW w:type="dxa" w:w="4513"/>
            <w:tcBorders>
              <w:top w:val="none" w:sz="0"/>
              <w:left w:val="none" w:sz="0"/>
              <w:bottom w:val="none" w:sz="0"/>
              <w:right w:val="none" w:sz="0"/>
            </w:tcBorders>
            <w:shd w:fill="D1FAE5" w:val="clear"/>
            <w:tcMar>
              <w:top w:type="dxa" w:w="80"/>
              <w:left w:type="dxa" w:w="120"/>
              <w:bottom w:type="dxa" w:w="80"/>
              <w:right w:type="dxa" w:w="0"/>
            </w:tcMar>
          </w:tcPr>
          <w:p>
            <w:pPr>
              <w:spacing w:after="60" w:before="80"/>
            </w:pPr>
            <w:r>
              <w:rPr>
                <w:rFonts w:ascii="Arial" w:cs="Arial" w:eastAsia="Arial" w:hAnsi="Arial"/>
                <w:b/>
                <w:bCs/>
                <w:color w:val="2A9D8F"/>
                <w:sz w:val="16"/>
                <w:szCs w:val="16"/>
              </w:rPr>
              <w:t xml:space="preserve">  THIS</w:t>
            </w:r>
          </w:p>
          <w:p>
            <w:pPr>
              <w:spacing w:after="80" w:line="280"/>
            </w:pPr>
            <w:r>
              <w:rPr>
                <w:rFonts w:ascii="Arial" w:cs="Arial" w:eastAsia="Arial" w:hAnsi="Arial"/>
                <w:color w:val="374151"/>
                <w:sz w:val="20"/>
                <w:szCs w:val="20"/>
              </w:rPr>
              <w:t xml:space="preserve">  Last month, 58% of A&amp;E patients were seen within 4 hours. The target is 95%. In 2013, it was 95.1%.</w:t>
            </w:r>
          </w:p>
        </w:tc>
      </w:tr>
    </w:tbl>
    <w:p>
      <w:pPr>
        <w:sectPr>
          <w:headerReference w:type="default" r:id="rId15"/>
          <w:footerReference w:type="default" r:id="rId16"/>
          <w:pgSz w:w="11906" w:h="16838" w:orient="portrait"/>
          <w:pgMar w:top="1440" w:right="1440" w:bottom="1440" w:left="1440" w:header="708" w:footer="708" w:gutter="0"/>
          <w:pgNumType/>
          <w:docGrid w:linePitch="360"/>
        </w:sectPr>
      </w:pPr>
    </w:p>
    <w:p>
      <w:pPr>
        <w:spacing w:after="200" w:before="100"/>
      </w:pPr>
      <w:r>
        <w:rPr>
          <w:rFonts w:ascii="Arial" w:cs="Arial" w:eastAsia="Arial" w:hAnsi="Arial"/>
          <w:b/>
          <w:bCs/>
          <w:color w:val="0D1117"/>
          <w:sz w:val="28"/>
          <w:szCs w:val="28"/>
        </w:rPr>
        <w:t xml:space="preserve">06. VISUAL PRINCIPLES</w:t>
      </w:r>
    </w:p>
    <w:p>
      <w:pPr>
        <w:spacing w:after="160" w:before="0" w:line="320"/>
        <w:jc w:val="left"/>
      </w:pPr>
      <w:r>
        <w:rPr>
          <w:rFonts w:ascii="Arial" w:cs="Arial" w:eastAsia="Arial" w:hAnsi="Arial"/>
          <w:color w:val="374151"/>
          <w:sz w:val="22"/>
          <w:szCs w:val="22"/>
        </w:rPr>
        <w:t xml:space="preserve">WIAH’s visual language is guided by a single idea: the data is complex, so the design must be calm. Every visual decision exists to reduce cognitive load and increase clarity. Nothing is decorative. Everything earns its place.</w:t>
      </w:r>
    </w:p>
    <w:p>
      <w:pPr>
        <w:spacing w:after="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sz="0"/>
              <w:left w:val="none" w:sz="0"/>
              <w:bottom w:val="none" w:sz="0"/>
              <w:right w:val="none" w:sz="0"/>
            </w:tcBorders>
            <w:tcMar>
              <w:top w:type="dxa" w:w="120"/>
              <w:left w:type="dxa" w:w="0"/>
              <w:bottom w:type="dxa" w:w="120"/>
              <w:right w:type="dxa" w:w="0"/>
            </w:tcMar>
          </w:tcPr>
          <w:p>
            <w:r>
              <w:rPr>
                <w:rFonts w:ascii="Courier New" w:cs="Courier New" w:eastAsia="Courier New" w:hAnsi="Courier New"/>
                <w:b/>
                <w:bCs/>
                <w:color w:val="E63946"/>
                <w:sz w:val="28"/>
                <w:szCs w:val="28"/>
              </w:rPr>
              <w:t xml:space="preserve">01</w:t>
            </w:r>
          </w:p>
        </w:tc>
        <w:tc>
          <w:tcPr>
            <w:tcW w:type="dxa" w:w="8226"/>
            <w:tcBorders>
              <w:top w:val="none" w:sz="0"/>
              <w:left w:val="none" w:sz="0"/>
              <w:bottom w:val="single" w:color="E5E7EB" w:sz="1"/>
              <w:right w:val="none" w:sz="0"/>
            </w:tcBorders>
            <w:tcMar>
              <w:top w:type="dxa" w:w="120"/>
              <w:left w:type="dxa" w:w="80"/>
              <w:bottom w:type="dxa" w:w="120"/>
              <w:right w:type="dxa" w:w="0"/>
            </w:tcMar>
          </w:tcPr>
          <w:p>
            <w:pPr>
              <w:spacing w:after="80"/>
            </w:pPr>
            <w:r>
              <w:rPr>
                <w:rFonts w:ascii="Arial" w:cs="Arial" w:eastAsia="Arial" w:hAnsi="Arial"/>
                <w:b/>
                <w:bCs/>
                <w:color w:val="0D1117"/>
                <w:sz w:val="22"/>
                <w:szCs w:val="22"/>
              </w:rPr>
              <w:t xml:space="preserve">White Space Is the Primary Design Element</w:t>
            </w:r>
          </w:p>
          <w:p>
            <w:pPr>
              <w:spacing w:line="300"/>
            </w:pPr>
            <w:r>
              <w:rPr>
                <w:rFonts w:ascii="Arial" w:cs="Arial" w:eastAsia="Arial" w:hAnsi="Arial"/>
                <w:color w:val="374151"/>
                <w:sz w:val="20"/>
                <w:szCs w:val="20"/>
              </w:rPr>
              <w:t xml:space="preserve">Generous margins, breathing room between components, no crowding. The space between things communicates hierarchy and importance. A chart with room to breathe feels authoritative. A cramped chart feels desperate.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sz="0"/>
              <w:left w:val="none" w:sz="0"/>
              <w:bottom w:val="none" w:sz="0"/>
              <w:right w:val="none" w:sz="0"/>
            </w:tcBorders>
            <w:tcMar>
              <w:top w:type="dxa" w:w="120"/>
              <w:left w:type="dxa" w:w="0"/>
              <w:bottom w:type="dxa" w:w="120"/>
              <w:right w:type="dxa" w:w="0"/>
            </w:tcMar>
          </w:tcPr>
          <w:p>
            <w:r>
              <w:rPr>
                <w:rFonts w:ascii="Courier New" w:cs="Courier New" w:eastAsia="Courier New" w:hAnsi="Courier New"/>
                <w:b/>
                <w:bCs/>
                <w:color w:val="E63946"/>
                <w:sz w:val="28"/>
                <w:szCs w:val="28"/>
              </w:rPr>
              <w:t xml:space="preserve">02</w:t>
            </w:r>
          </w:p>
        </w:tc>
        <w:tc>
          <w:tcPr>
            <w:tcW w:type="dxa" w:w="8226"/>
            <w:tcBorders>
              <w:top w:val="none" w:sz="0"/>
              <w:left w:val="none" w:sz="0"/>
              <w:bottom w:val="single" w:color="E5E7EB" w:sz="1"/>
              <w:right w:val="none" w:sz="0"/>
            </w:tcBorders>
            <w:tcMar>
              <w:top w:type="dxa" w:w="120"/>
              <w:left w:type="dxa" w:w="80"/>
              <w:bottom w:type="dxa" w:w="120"/>
              <w:right w:type="dxa" w:w="0"/>
            </w:tcMar>
          </w:tcPr>
          <w:p>
            <w:pPr>
              <w:spacing w:after="80"/>
            </w:pPr>
            <w:r>
              <w:rPr>
                <w:rFonts w:ascii="Arial" w:cs="Arial" w:eastAsia="Arial" w:hAnsi="Arial"/>
                <w:b/>
                <w:bCs/>
                <w:color w:val="0D1117"/>
                <w:sz w:val="22"/>
                <w:szCs w:val="22"/>
              </w:rPr>
              <w:t xml:space="preserve">No Decorative Elements</w:t>
            </w:r>
          </w:p>
          <w:p>
            <w:pPr>
              <w:spacing w:line="300"/>
            </w:pPr>
            <w:r>
              <w:rPr>
                <w:rFonts w:ascii="Arial" w:cs="Arial" w:eastAsia="Arial" w:hAnsi="Arial"/>
                <w:color w:val="374151"/>
                <w:sz w:val="20"/>
                <w:szCs w:val="20"/>
              </w:rPr>
              <w:t xml:space="preserve">No gradients, no shadows (except functional ones for cards), no background patterns, no stock photography. Every pixel either shows data or helps someone understand data. If you can remove it and the page still works, remove it.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sz="0"/>
              <w:left w:val="none" w:sz="0"/>
              <w:bottom w:val="none" w:sz="0"/>
              <w:right w:val="none" w:sz="0"/>
            </w:tcBorders>
            <w:tcMar>
              <w:top w:type="dxa" w:w="120"/>
              <w:left w:type="dxa" w:w="0"/>
              <w:bottom w:type="dxa" w:w="120"/>
              <w:right w:type="dxa" w:w="0"/>
            </w:tcMar>
          </w:tcPr>
          <w:p>
            <w:r>
              <w:rPr>
                <w:rFonts w:ascii="Courier New" w:cs="Courier New" w:eastAsia="Courier New" w:hAnsi="Courier New"/>
                <w:b/>
                <w:bCs/>
                <w:color w:val="E63946"/>
                <w:sz w:val="28"/>
                <w:szCs w:val="28"/>
              </w:rPr>
              <w:t xml:space="preserve">03</w:t>
            </w:r>
          </w:p>
        </w:tc>
        <w:tc>
          <w:tcPr>
            <w:tcW w:type="dxa" w:w="8226"/>
            <w:tcBorders>
              <w:top w:val="none" w:sz="0"/>
              <w:left w:val="none" w:sz="0"/>
              <w:bottom w:val="single" w:color="E5E7EB" w:sz="1"/>
              <w:right w:val="none" w:sz="0"/>
            </w:tcBorders>
            <w:tcMar>
              <w:top w:type="dxa" w:w="120"/>
              <w:left w:type="dxa" w:w="80"/>
              <w:bottom w:type="dxa" w:w="120"/>
              <w:right w:type="dxa" w:w="0"/>
            </w:tcMar>
          </w:tcPr>
          <w:p>
            <w:pPr>
              <w:spacing w:after="80"/>
            </w:pPr>
            <w:r>
              <w:rPr>
                <w:rFonts w:ascii="Arial" w:cs="Arial" w:eastAsia="Arial" w:hAnsi="Arial"/>
                <w:b/>
                <w:bCs/>
                <w:color w:val="0D1117"/>
                <w:sz w:val="22"/>
                <w:szCs w:val="22"/>
              </w:rPr>
              <w:t xml:space="preserve">Mobile First</w:t>
            </w:r>
          </w:p>
          <w:p>
            <w:pPr>
              <w:spacing w:line="300"/>
            </w:pPr>
            <w:r>
              <w:rPr>
                <w:rFonts w:ascii="Arial" w:cs="Arial" w:eastAsia="Arial" w:hAnsi="Arial"/>
                <w:color w:val="374151"/>
                <w:sz w:val="20"/>
                <w:szCs w:val="20"/>
              </w:rPr>
              <w:t xml:space="preserve">Most sharing happens on phones. Every chart, card, and interactive element must work beautifully at 375px wide. This is a constraint that improves everything — if it works on a phone, it works everywhere.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sz="0"/>
              <w:left w:val="none" w:sz="0"/>
              <w:bottom w:val="none" w:sz="0"/>
              <w:right w:val="none" w:sz="0"/>
            </w:tcBorders>
            <w:tcMar>
              <w:top w:type="dxa" w:w="120"/>
              <w:left w:type="dxa" w:w="0"/>
              <w:bottom w:type="dxa" w:w="120"/>
              <w:right w:type="dxa" w:w="0"/>
            </w:tcMar>
          </w:tcPr>
          <w:p>
            <w:r>
              <w:rPr>
                <w:rFonts w:ascii="Courier New" w:cs="Courier New" w:eastAsia="Courier New" w:hAnsi="Courier New"/>
                <w:b/>
                <w:bCs/>
                <w:color w:val="E63946"/>
                <w:sz w:val="28"/>
                <w:szCs w:val="28"/>
              </w:rPr>
              <w:t xml:space="preserve">04</w:t>
            </w:r>
          </w:p>
        </w:tc>
        <w:tc>
          <w:tcPr>
            <w:tcW w:type="dxa" w:w="8226"/>
            <w:tcBorders>
              <w:top w:val="none" w:sz="0"/>
              <w:left w:val="none" w:sz="0"/>
              <w:bottom w:val="single" w:color="E5E7EB" w:sz="1"/>
              <w:right w:val="none" w:sz="0"/>
            </w:tcBorders>
            <w:tcMar>
              <w:top w:type="dxa" w:w="120"/>
              <w:left w:type="dxa" w:w="80"/>
              <w:bottom w:type="dxa" w:w="120"/>
              <w:right w:type="dxa" w:w="0"/>
            </w:tcMar>
          </w:tcPr>
          <w:p>
            <w:pPr>
              <w:spacing w:after="80"/>
            </w:pPr>
            <w:r>
              <w:rPr>
                <w:rFonts w:ascii="Arial" w:cs="Arial" w:eastAsia="Arial" w:hAnsi="Arial"/>
                <w:b/>
                <w:bCs/>
                <w:color w:val="0D1117"/>
                <w:sz w:val="22"/>
                <w:szCs w:val="22"/>
              </w:rPr>
              <w:t xml:space="preserve">Slow, Confident Animation</w:t>
            </w:r>
          </w:p>
          <w:p>
            <w:pPr>
              <w:spacing w:line="300"/>
            </w:pPr>
            <w:r>
              <w:rPr>
                <w:rFonts w:ascii="Arial" w:cs="Arial" w:eastAsia="Arial" w:hAnsi="Arial"/>
                <w:color w:val="374151"/>
                <w:sz w:val="20"/>
                <w:szCs w:val="20"/>
              </w:rPr>
              <w:t xml:space="preserve">Charts draw in when they scroll into view. Transitions are eased, deliberate, around 600–800ms. Nothing bounces, nothing overshoots. The motion says: we took our time making this, you should take your time looking at it.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sz="0"/>
              <w:left w:val="none" w:sz="0"/>
              <w:bottom w:val="none" w:sz="0"/>
              <w:right w:val="none" w:sz="0"/>
            </w:tcBorders>
            <w:tcMar>
              <w:top w:type="dxa" w:w="120"/>
              <w:left w:type="dxa" w:w="0"/>
              <w:bottom w:type="dxa" w:w="120"/>
              <w:right w:type="dxa" w:w="0"/>
            </w:tcMar>
          </w:tcPr>
          <w:p>
            <w:r>
              <w:rPr>
                <w:rFonts w:ascii="Courier New" w:cs="Courier New" w:eastAsia="Courier New" w:hAnsi="Courier New"/>
                <w:b/>
                <w:bCs/>
                <w:color w:val="E63946"/>
                <w:sz w:val="28"/>
                <w:szCs w:val="28"/>
              </w:rPr>
              <w:t xml:space="preserve">05</w:t>
            </w:r>
          </w:p>
        </w:tc>
        <w:tc>
          <w:tcPr>
            <w:tcW w:type="dxa" w:w="8226"/>
            <w:tcBorders>
              <w:top w:val="none" w:sz="0"/>
              <w:left w:val="none" w:sz="0"/>
              <w:bottom w:val="single" w:color="E5E7EB" w:sz="1"/>
              <w:right w:val="none" w:sz="0"/>
            </w:tcBorders>
            <w:tcMar>
              <w:top w:type="dxa" w:w="120"/>
              <w:left w:type="dxa" w:w="80"/>
              <w:bottom w:type="dxa" w:w="120"/>
              <w:right w:type="dxa" w:w="0"/>
            </w:tcMar>
          </w:tcPr>
          <w:p>
            <w:pPr>
              <w:spacing w:after="80"/>
            </w:pPr>
            <w:r>
              <w:rPr>
                <w:rFonts w:ascii="Arial" w:cs="Arial" w:eastAsia="Arial" w:hAnsi="Arial"/>
                <w:b/>
                <w:bCs/>
                <w:color w:val="0D1117"/>
                <w:sz w:val="22"/>
                <w:szCs w:val="22"/>
              </w:rPr>
              <w:t xml:space="preserve">Every Number Has a Source</w:t>
            </w:r>
          </w:p>
          <w:p>
            <w:pPr>
              <w:spacing w:line="300"/>
            </w:pPr>
            <w:r>
              <w:rPr>
                <w:rFonts w:ascii="Arial" w:cs="Arial" w:eastAsia="Arial" w:hAnsi="Arial"/>
                <w:color w:val="374151"/>
                <w:sz w:val="20"/>
                <w:szCs w:val="20"/>
              </w:rPr>
              <w:t xml:space="preserve">Visible, linked, dated. Rendered in IBM Plex Mono at a smaller size in Mid Grey. This is non-negotiable. It is the foundation of trust.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sz="0"/>
              <w:left w:val="none" w:sz="0"/>
              <w:bottom w:val="none" w:sz="0"/>
              <w:right w:val="none" w:sz="0"/>
            </w:tcBorders>
            <w:tcMar>
              <w:top w:type="dxa" w:w="120"/>
              <w:left w:type="dxa" w:w="0"/>
              <w:bottom w:type="dxa" w:w="120"/>
              <w:right w:type="dxa" w:w="0"/>
            </w:tcMar>
          </w:tcPr>
          <w:p>
            <w:r>
              <w:rPr>
                <w:rFonts w:ascii="Courier New" w:cs="Courier New" w:eastAsia="Courier New" w:hAnsi="Courier New"/>
                <w:b/>
                <w:bCs/>
                <w:color w:val="E63946"/>
                <w:sz w:val="28"/>
                <w:szCs w:val="28"/>
              </w:rPr>
              <w:t xml:space="preserve">06</w:t>
            </w:r>
          </w:p>
        </w:tc>
        <w:tc>
          <w:tcPr>
            <w:tcW w:type="dxa" w:w="8226"/>
            <w:tcBorders>
              <w:top w:val="none" w:sz="0"/>
              <w:left w:val="none" w:sz="0"/>
              <w:bottom w:val="single" w:color="E5E7EB" w:sz="1"/>
              <w:right w:val="none" w:sz="0"/>
            </w:tcBorders>
            <w:tcMar>
              <w:top w:type="dxa" w:w="120"/>
              <w:left w:type="dxa" w:w="80"/>
              <w:bottom w:type="dxa" w:w="120"/>
              <w:right w:type="dxa" w:w="0"/>
            </w:tcMar>
          </w:tcPr>
          <w:p>
            <w:pPr>
              <w:spacing w:after="80"/>
            </w:pPr>
            <w:r>
              <w:rPr>
                <w:rFonts w:ascii="Arial" w:cs="Arial" w:eastAsia="Arial" w:hAnsi="Arial"/>
                <w:b/>
                <w:bCs/>
                <w:color w:val="0D1117"/>
                <w:sz w:val="22"/>
                <w:szCs w:val="22"/>
              </w:rPr>
              <w:t xml:space="preserve">Colour Means Something</w:t>
            </w:r>
          </w:p>
          <w:p>
            <w:pPr>
              <w:spacing w:line="300"/>
            </w:pPr>
            <w:r>
              <w:rPr>
                <w:rFonts w:ascii="Arial" w:cs="Arial" w:eastAsia="Arial" w:hAnsi="Arial"/>
                <w:color w:val="374151"/>
                <w:sz w:val="20"/>
                <w:szCs w:val="20"/>
              </w:rPr>
              <w:t xml:space="preserve">Colour is never decorative. On data pages, the only colours with meaning are the signal colours (red, amber, green) and WIAH Blue for interactive elements. Everything else is greyscale. This discipline makes the signal colours powerful when they appear.</w:t>
            </w:r>
          </w:p>
        </w:tc>
      </w:tr>
    </w:tbl>
    <w:p>
      <w:pPr>
        <w:sectPr>
          <w:headerReference w:type="default" r:id="rId17"/>
          <w:footerReference w:type="default" r:id="rId18"/>
          <w:pgSz w:w="11906" w:h="16838" w:orient="portrait"/>
          <w:pgMar w:top="1440" w:right="1440" w:bottom="1440" w:left="1440" w:header="708" w:footer="708" w:gutter="0"/>
          <w:pgNumType/>
          <w:docGrid w:linePitch="360"/>
        </w:sectPr>
      </w:pPr>
    </w:p>
    <w:p>
      <w:pPr>
        <w:spacing w:after="200" w:before="100"/>
      </w:pPr>
      <w:r>
        <w:rPr>
          <w:rFonts w:ascii="Arial" w:cs="Arial" w:eastAsia="Arial" w:hAnsi="Arial"/>
          <w:b/>
          <w:bCs/>
          <w:color w:val="0D1117"/>
          <w:sz w:val="28"/>
          <w:szCs w:val="28"/>
        </w:rPr>
        <w:t xml:space="preserve">07. CHARTS &amp; DATA VISUALISATION</w:t>
      </w:r>
    </w:p>
    <w:p>
      <w:pPr>
        <w:spacing w:after="160" w:before="0" w:line="320"/>
        <w:jc w:val="left"/>
      </w:pPr>
      <w:r>
        <w:rPr>
          <w:rFonts w:ascii="Arial" w:cs="Arial" w:eastAsia="Arial" w:hAnsi="Arial"/>
          <w:color w:val="374151"/>
          <w:sz w:val="22"/>
          <w:szCs w:val="22"/>
        </w:rPr>
        <w:t xml:space="preserve">Charts are the core product. They must be beautiful, precise, and honest. Every chart should feel like it belongs in a high-end publication — but never at the expense of accuracy or accessibility.</w:t>
      </w:r>
    </w:p>
    <w:p>
      <w:pPr>
        <w:spacing w:after="0" w:before="100"/>
      </w:pPr>
    </w:p>
    <w:p>
      <w:pPr>
        <w:spacing w:after="200" w:before="100"/>
      </w:pPr>
      <w:r>
        <w:rPr>
          <w:rFonts w:ascii="Arial" w:cs="Arial" w:eastAsia="Arial" w:hAnsi="Arial"/>
          <w:b/>
          <w:bCs/>
          <w:color w:val="0D1117"/>
          <w:sz w:val="24"/>
          <w:szCs w:val="24"/>
        </w:rPr>
        <w:t xml:space="preserve">Chart Anatomy</w:t>
      </w:r>
    </w:p>
    <w:p>
      <w:pPr>
        <w:spacing w:after="80" w:before="40" w:line="300"/>
      </w:pPr>
      <w:r>
        <w:rPr>
          <w:rFonts w:ascii="Arial" w:cs="Arial" w:eastAsia="Arial" w:hAnsi="Arial"/>
          <w:b/>
          <w:bCs/>
          <w:color w:val="0D1117"/>
          <w:sz w:val="20"/>
          <w:szCs w:val="20"/>
        </w:rPr>
        <w:t xml:space="preserve">Title  </w:t>
      </w:r>
      <w:r>
        <w:rPr>
          <w:rFonts w:ascii="Arial" w:cs="Arial" w:eastAsia="Arial" w:hAnsi="Arial"/>
          <w:color w:val="374151"/>
          <w:sz w:val="20"/>
          <w:szCs w:val="20"/>
        </w:rPr>
        <w:t xml:space="preserve">Outfit Bold, 18–20px, WIAH Dark. A plain statement of what the chart shows: “GP appointment wait times, 2015–2026.”</w:t>
      </w:r>
    </w:p>
    <w:p>
      <w:pPr>
        <w:spacing w:after="80" w:before="40" w:line="300"/>
      </w:pPr>
      <w:r>
        <w:rPr>
          <w:rFonts w:ascii="Arial" w:cs="Arial" w:eastAsia="Arial" w:hAnsi="Arial"/>
          <w:b/>
          <w:bCs/>
          <w:color w:val="0D1117"/>
          <w:sz w:val="20"/>
          <w:szCs w:val="20"/>
        </w:rPr>
        <w:t xml:space="preserve">Subtitle  </w:t>
      </w:r>
      <w:r>
        <w:rPr>
          <w:rFonts w:ascii="Arial" w:cs="Arial" w:eastAsia="Arial" w:hAnsi="Arial"/>
          <w:color w:val="374151"/>
          <w:sz w:val="20"/>
          <w:szCs w:val="20"/>
        </w:rPr>
        <w:t xml:space="preserve">Outfit Regular, 14px, Mid Grey. One sentence of context: “Average days from booking to appointment, England.”</w:t>
      </w:r>
    </w:p>
    <w:p>
      <w:pPr>
        <w:spacing w:after="80" w:before="40" w:line="300"/>
      </w:pPr>
      <w:r>
        <w:rPr>
          <w:rFonts w:ascii="Arial" w:cs="Arial" w:eastAsia="Arial" w:hAnsi="Arial"/>
          <w:b/>
          <w:bCs/>
          <w:color w:val="0D1117"/>
          <w:sz w:val="20"/>
          <w:szCs w:val="20"/>
        </w:rPr>
        <w:t xml:space="preserve">Lines / Bars  </w:t>
      </w:r>
      <w:r>
        <w:rPr>
          <w:rFonts w:ascii="Arial" w:cs="Arial" w:eastAsia="Arial" w:hAnsi="Arial"/>
          <w:color w:val="374151"/>
          <w:sz w:val="20"/>
          <w:szCs w:val="20"/>
        </w:rPr>
        <w:t xml:space="preserve">2px stroke weight for lines. WIAH Dark for single series. Signal colours only for directional meaning. Never more than 4 series on one chart.</w:t>
      </w:r>
    </w:p>
    <w:p>
      <w:pPr>
        <w:spacing w:after="80" w:before="40" w:line="300"/>
      </w:pPr>
      <w:r>
        <w:rPr>
          <w:rFonts w:ascii="Arial" w:cs="Arial" w:eastAsia="Arial" w:hAnsi="Arial"/>
          <w:b/>
          <w:bCs/>
          <w:color w:val="0D1117"/>
          <w:sz w:val="20"/>
          <w:szCs w:val="20"/>
        </w:rPr>
        <w:t xml:space="preserve">Grid  </w:t>
      </w:r>
      <w:r>
        <w:rPr>
          <w:rFonts w:ascii="Arial" w:cs="Arial" w:eastAsia="Arial" w:hAnsi="Arial"/>
          <w:color w:val="374151"/>
          <w:sz w:val="20"/>
          <w:szCs w:val="20"/>
        </w:rPr>
        <w:t xml:space="preserve">Horizontal only. 1px, #E5E7EB. No vertical grid lines. The grid is a subtle guide, not a cage.</w:t>
      </w:r>
    </w:p>
    <w:p>
      <w:pPr>
        <w:spacing w:after="80" w:before="40" w:line="300"/>
      </w:pPr>
      <w:r>
        <w:rPr>
          <w:rFonts w:ascii="Arial" w:cs="Arial" w:eastAsia="Arial" w:hAnsi="Arial"/>
          <w:b/>
          <w:bCs/>
          <w:color w:val="0D1117"/>
          <w:sz w:val="20"/>
          <w:szCs w:val="20"/>
        </w:rPr>
        <w:t xml:space="preserve">Axes  </w:t>
      </w:r>
      <w:r>
        <w:rPr>
          <w:rFonts w:ascii="Arial" w:cs="Arial" w:eastAsia="Arial" w:hAnsi="Arial"/>
          <w:color w:val="374151"/>
          <w:sz w:val="20"/>
          <w:szCs w:val="20"/>
        </w:rPr>
        <w:t xml:space="preserve">IBM Plex Mono, 11px, Mid Grey. Y-axis auto-scaled with 10% padding. X-axis labels at reasonable intervals (not every data point).</w:t>
      </w:r>
    </w:p>
    <w:p>
      <w:pPr>
        <w:spacing w:after="80" w:before="40" w:line="300"/>
      </w:pPr>
      <w:r>
        <w:rPr>
          <w:rFonts w:ascii="Arial" w:cs="Arial" w:eastAsia="Arial" w:hAnsi="Arial"/>
          <w:b/>
          <w:bCs/>
          <w:color w:val="0D1117"/>
          <w:sz w:val="20"/>
          <w:szCs w:val="20"/>
        </w:rPr>
        <w:t xml:space="preserve">Annotations  </w:t>
      </w:r>
      <w:r>
        <w:rPr>
          <w:rFonts w:ascii="Arial" w:cs="Arial" w:eastAsia="Arial" w:hAnsi="Arial"/>
          <w:color w:val="374151"/>
          <w:sz w:val="20"/>
          <w:szCs w:val="20"/>
        </w:rPr>
        <w:t xml:space="preserve">Small vertical lines at notable dates with IBM Plex Mono labels. Used for policy changes, methodology breaks, or events: “2018: GP contract reformed.”</w:t>
      </w:r>
    </w:p>
    <w:p>
      <w:pPr>
        <w:spacing w:after="80" w:before="40" w:line="300"/>
      </w:pPr>
      <w:r>
        <w:rPr>
          <w:rFonts w:ascii="Arial" w:cs="Arial" w:eastAsia="Arial" w:hAnsi="Arial"/>
          <w:b/>
          <w:bCs/>
          <w:color w:val="0D1117"/>
          <w:sz w:val="20"/>
          <w:szCs w:val="20"/>
        </w:rPr>
        <w:t xml:space="preserve">Tooltips  </w:t>
      </w:r>
      <w:r>
        <w:rPr>
          <w:rFonts w:ascii="Arial" w:cs="Arial" w:eastAsia="Arial" w:hAnsi="Arial"/>
          <w:color w:val="374151"/>
          <w:sz w:val="20"/>
          <w:szCs w:val="20"/>
        </w:rPr>
        <w:t xml:space="preserve">On hover: exact value, date, and comparison to previous period. Clean white card with subtle shadow. Data in IBM Plex Mono.</w:t>
      </w:r>
    </w:p>
    <w:p>
      <w:pPr>
        <w:spacing w:after="80" w:before="40" w:line="300"/>
      </w:pPr>
      <w:r>
        <w:rPr>
          <w:rFonts w:ascii="Arial" w:cs="Arial" w:eastAsia="Arial" w:hAnsi="Arial"/>
          <w:b/>
          <w:bCs/>
          <w:color w:val="0D1117"/>
          <w:sz w:val="20"/>
          <w:szCs w:val="20"/>
        </w:rPr>
        <w:t xml:space="preserve">Source line  </w:t>
      </w:r>
      <w:r>
        <w:rPr>
          <w:rFonts w:ascii="Arial" w:cs="Arial" w:eastAsia="Arial" w:hAnsi="Arial"/>
          <w:color w:val="374151"/>
          <w:sz w:val="20"/>
          <w:szCs w:val="20"/>
        </w:rPr>
        <w:t xml:space="preserve">IBM Plex Mono, 12px, Mid Grey. Below every chart: “Source: NHS Digital, [dataset name], [date]. Updated [frequency].” Linked to source.</w:t>
      </w:r>
    </w:p>
    <w:p>
      <w:pPr>
        <w:spacing w:after="0" w:before="200"/>
      </w:pPr>
    </w:p>
    <w:p>
      <w:pPr>
        <w:spacing w:after="200" w:before="100"/>
      </w:pPr>
      <w:r>
        <w:rPr>
          <w:rFonts w:ascii="Arial" w:cs="Arial" w:eastAsia="Arial" w:hAnsi="Arial"/>
          <w:b/>
          <w:bCs/>
          <w:color w:val="0D1117"/>
          <w:sz w:val="28"/>
          <w:szCs w:val="28"/>
        </w:rPr>
        <w:t xml:space="preserve">METRIC CARDS</w:t>
      </w:r>
    </w:p>
    <w:p>
      <w:pPr>
        <w:spacing w:after="160" w:before="0" w:line="320"/>
        <w:jc w:val="left"/>
      </w:pPr>
      <w:r>
        <w:rPr>
          <w:rFonts w:ascii="Arial" w:cs="Arial" w:eastAsia="Arial" w:hAnsi="Arial"/>
          <w:color w:val="374151"/>
          <w:sz w:val="22"/>
          <w:szCs w:val="22"/>
        </w:rPr>
        <w:t xml:space="preserve">The MetricCard is the most recognisable WIAH component. It shows a single headline number with context and direction. The anatomy is consistent across all topics: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5E7EB" w:sz="1"/>
              <w:left w:val="single" w:color="E5E7EB" w:sz="1"/>
              <w:bottom w:val="single" w:color="E5E7EB" w:sz="1"/>
              <w:right w:val="single" w:color="E5E7EB" w:sz="1"/>
            </w:tcBorders>
            <w:shd w:fill="FFFFFF" w:val="clear"/>
            <w:tcMar>
              <w:top w:type="dxa" w:w="200"/>
              <w:left w:type="dxa" w:w="300"/>
              <w:bottom w:type="dxa" w:w="200"/>
              <w:right w:type="dxa" w:w="300"/>
            </w:tcMar>
          </w:tcPr>
          <w:p>
            <w:pPr>
              <w:spacing w:after="40"/>
            </w:pPr>
            <w:r>
              <w:rPr>
                <w:rFonts w:ascii="Arial" w:cs="Arial" w:eastAsia="Arial" w:hAnsi="Arial"/>
                <w:color w:val="6B7280"/>
                <w:sz w:val="18"/>
                <w:szCs w:val="18"/>
              </w:rPr>
              <w:t xml:space="preserve">Average GP wait</w:t>
            </w:r>
          </w:p>
          <w:p>
            <w:pPr>
              <w:spacing w:after="40"/>
            </w:pPr>
            <w:r>
              <w:rPr>
                <w:rFonts w:ascii="Courier New" w:cs="Courier New" w:eastAsia="Courier New" w:hAnsi="Courier New"/>
                <w:b/>
                <w:bCs/>
                <w:color w:val="0D1117"/>
                <w:sz w:val="52"/>
                <w:szCs w:val="52"/>
              </w:rPr>
              <w:t xml:space="preserve">21.3 days</w:t>
            </w:r>
            <w:r>
              <w:rPr>
                <w:rFonts w:ascii="Arial" w:cs="Arial" w:eastAsia="Arial" w:hAnsi="Arial"/>
                <w:color w:val="E63946"/>
                <w:sz w:val="40"/>
                <w:szCs w:val="40"/>
              </w:rPr>
              <w:t xml:space="preserve">  ↑</w:t>
            </w:r>
          </w:p>
          <w:p>
            <w:pPr>
              <w:spacing w:after="20"/>
            </w:pPr>
            <w:r>
              <w:rPr>
                <w:rFonts w:ascii="Courier New" w:cs="Courier New" w:eastAsia="Courier New" w:hAnsi="Courier New"/>
                <w:color w:val="6B7280"/>
                <w:sz w:val="18"/>
                <w:szCs w:val="18"/>
              </w:rPr>
              <w:t xml:space="preserve">+4.2 days since 2019  •  Target: 14 days</w:t>
            </w:r>
          </w:p>
          <w:p>
            <w:pPr>
              <w:pBdr>
                <w:bottom w:val="single" w:color="E5E7EB" w:sz="1" w:space="1"/>
              </w:pBdr>
              <w:spacing w:after="80" w:before="100"/>
            </w:pPr>
            <w:r>
              <w:rPr>
                <w:rFonts w:ascii="Courier New" w:cs="Courier New" w:eastAsia="Courier New" w:hAnsi="Courier New"/>
                <w:color w:val="E63946"/>
                <w:sz w:val="20"/>
                <w:szCs w:val="20"/>
              </w:rPr>
              <w:t xml:space="preserve">▁▁▂▂▃▄▅▆▆▇▇█</w:t>
            </w:r>
          </w:p>
          <w:p>
            <w:pPr>
              <w:spacing w:before="80"/>
            </w:pPr>
            <w:r>
              <w:rPr>
                <w:rFonts w:ascii="Courier New" w:cs="Courier New" w:eastAsia="Courier New" w:hAnsi="Courier New"/>
                <w:color w:val="6B7280"/>
                <w:sz w:val="14"/>
                <w:szCs w:val="14"/>
              </w:rPr>
              <w:t xml:space="preserve">Source: NHS Digital, Jan 2026</w:t>
            </w:r>
          </w:p>
        </w:tc>
      </w:tr>
    </w:tbl>
    <w:p>
      <w:pPr>
        <w:spacing w:after="200" w:before="80"/>
        <w:jc w:val="center"/>
      </w:pPr>
      <w:r>
        <w:rPr>
          <w:rFonts w:ascii="Arial" w:cs="Arial" w:eastAsia="Arial" w:hAnsi="Arial"/>
          <w:color w:val="6B7280"/>
          <w:sz w:val="16"/>
          <w:szCs w:val="16"/>
        </w:rPr>
        <w:t xml:space="preserve">Example MetricCard component  —  direction polarity: up-is-bad</w:t>
      </w:r>
    </w:p>
    <w:p>
      <w:pPr>
        <w:sectPr>
          <w:headerReference w:type="default" r:id="rId19"/>
          <w:footerReference w:type="default" r:id="rId20"/>
          <w:pgSz w:w="11906" w:h="16838" w:orient="portrait"/>
          <w:pgMar w:top="1440" w:right="1440" w:bottom="1440" w:left="1440" w:header="708" w:footer="708" w:gutter="0"/>
          <w:pgNumType/>
          <w:docGrid w:linePitch="360"/>
        </w:sectPr>
      </w:pPr>
    </w:p>
    <w:p>
      <w:pPr>
        <w:spacing w:after="200" w:before="100"/>
      </w:pPr>
      <w:r>
        <w:rPr>
          <w:rFonts w:ascii="Arial" w:cs="Arial" w:eastAsia="Arial" w:hAnsi="Arial"/>
          <w:b/>
          <w:bCs/>
          <w:color w:val="0D1117"/>
          <w:sz w:val="28"/>
          <w:szCs w:val="28"/>
        </w:rPr>
        <w:t xml:space="preserve">08. SOCIAL &amp; SHARING</w:t>
      </w:r>
    </w:p>
    <w:p>
      <w:pPr>
        <w:spacing w:after="160" w:before="0" w:line="320"/>
        <w:jc w:val="left"/>
      </w:pPr>
      <w:r>
        <w:rPr>
          <w:rFonts w:ascii="Arial" w:cs="Arial" w:eastAsia="Arial" w:hAnsi="Arial"/>
          <w:color w:val="374151"/>
          <w:sz w:val="22"/>
          <w:szCs w:val="22"/>
        </w:rPr>
        <w:t xml:space="preserve">Shareability is core to WIAH’s growth strategy. Every chart, metric card, and postcode result should generate a compelling social media card when shared. The social presence must be instantly recognisable and consistently branded.</w:t>
      </w:r>
    </w:p>
    <w:p>
      <w:pPr>
        <w:spacing w:after="0" w:before="100"/>
      </w:pPr>
    </w:p>
    <w:p>
      <w:pPr>
        <w:spacing w:after="200" w:before="100"/>
      </w:pPr>
      <w:r>
        <w:rPr>
          <w:rFonts w:ascii="Arial" w:cs="Arial" w:eastAsia="Arial" w:hAnsi="Arial"/>
          <w:b/>
          <w:bCs/>
          <w:color w:val="0D1117"/>
          <w:sz w:val="24"/>
          <w:szCs w:val="24"/>
        </w:rPr>
        <w:t xml:space="preserve">Open Graph Cards</w:t>
      </w:r>
    </w:p>
    <w:p>
      <w:pPr>
        <w:spacing w:after="160" w:before="0" w:line="320"/>
        <w:jc w:val="left"/>
      </w:pPr>
      <w:r>
        <w:rPr>
          <w:rFonts w:ascii="Arial" w:cs="Arial" w:eastAsia="Arial" w:hAnsi="Arial"/>
          <w:color w:val="374151"/>
          <w:sz w:val="22"/>
          <w:szCs w:val="22"/>
        </w:rPr>
        <w:t xml:space="preserve">Auto-generated for every page. Dark background (#0D1117), with the WIAH wordmark top-left, the headline metric or chart in the centre, and the URL bottom-right. Dimensions: 1200×630px for standard OG, 1200×1200px for Twitter/X square format.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400" w:hRule="exact"/>
        </w:trPr>
        <w:tc>
          <w:tcPr>
            <w:tcW w:type="dxa" w:w="9026"/>
            <w:tcBorders>
              <w:top w:val="single" w:color="E5E7EB" w:sz="1"/>
              <w:left w:val="single" w:color="E5E7EB" w:sz="1"/>
              <w:bottom w:val="single" w:color="E5E7EB" w:sz="1"/>
              <w:right w:val="single" w:color="E5E7EB" w:sz="1"/>
            </w:tcBorders>
            <w:shd w:fill="0D1117" w:val="clear"/>
            <w:tcMar>
              <w:top w:type="dxa" w:w="200"/>
              <w:left w:type="dxa" w:w="300"/>
              <w:bottom w:type="dxa" w:w="200"/>
              <w:right w:type="dxa" w:w="300"/>
            </w:tcMar>
          </w:tcPr>
          <w:p>
            <w:pPr>
              <w:spacing w:after="100"/>
            </w:pPr>
            <w:r>
              <w:rPr>
                <w:rFonts w:ascii="Arial" w:cs="Arial" w:eastAsia="Arial" w:hAnsi="Arial"/>
                <w:b/>
                <w:bCs/>
                <w:color w:val="FFFFFF"/>
                <w:sz w:val="20"/>
                <w:szCs w:val="20"/>
              </w:rPr>
              <w:t xml:space="preserve">W I A H</w:t>
            </w:r>
          </w:p>
          <w:p>
            <w:pPr>
              <w:spacing w:after="60"/>
            </w:pPr>
            <w:r>
              <w:rPr>
                <w:rFonts w:ascii="Arial" w:cs="Arial" w:eastAsia="Arial" w:hAnsi="Arial"/>
                <w:b/>
                <w:bCs/>
                <w:color w:val="FFFFFF"/>
                <w:sz w:val="36"/>
                <w:szCs w:val="36"/>
              </w:rPr>
              <w:t xml:space="preserve">Can You Actually See a Doctor?</w:t>
            </w:r>
          </w:p>
          <w:p>
            <w:pPr>
              <w:spacing w:after="100"/>
            </w:pPr>
            <w:r>
              <w:rPr>
                <w:rFonts w:ascii="Arial" w:cs="Arial" w:eastAsia="Arial" w:hAnsi="Arial"/>
                <w:color w:val="6B7280"/>
                <w:sz w:val="24"/>
                <w:szCs w:val="24"/>
              </w:rPr>
              <w:t xml:space="preserve">Average wait: </w:t>
            </w:r>
            <w:r>
              <w:rPr>
                <w:rFonts w:ascii="Courier New" w:cs="Courier New" w:eastAsia="Courier New" w:hAnsi="Courier New"/>
                <w:b/>
                <w:bCs/>
                <w:color w:val="E63946"/>
                <w:sz w:val="36"/>
                <w:szCs w:val="36"/>
              </w:rPr>
              <w:t xml:space="preserve">21.3 days</w:t>
            </w:r>
            <w:r>
              <w:rPr>
                <w:rFonts w:ascii="Arial" w:cs="Arial" w:eastAsia="Arial" w:hAnsi="Arial"/>
                <w:color w:val="E63946"/>
                <w:sz w:val="32"/>
                <w:szCs w:val="32"/>
              </w:rPr>
              <w:t xml:space="preserve">  ↑</w:t>
            </w:r>
          </w:p>
          <w:p>
            <w:pPr>
              <w:spacing w:after="0" w:before="200"/>
            </w:pPr>
          </w:p>
          <w:p>
            <w:pPr>
              <w:jc w:val="right"/>
            </w:pPr>
            <w:r>
              <w:rPr>
                <w:rFonts w:ascii="Courier New" w:cs="Courier New" w:eastAsia="Courier New" w:hAnsi="Courier New"/>
                <w:color w:val="6B7280"/>
                <w:sz w:val="16"/>
                <w:szCs w:val="16"/>
              </w:rPr>
              <w:t xml:space="preserve">whatisactuallyhappening.uk</w:t>
            </w:r>
          </w:p>
        </w:tc>
      </w:tr>
    </w:tbl>
    <w:p>
      <w:pPr>
        <w:spacing w:after="300" w:before="80"/>
        <w:jc w:val="center"/>
      </w:pPr>
      <w:r>
        <w:rPr>
          <w:rFonts w:ascii="Arial" w:cs="Arial" w:eastAsia="Arial" w:hAnsi="Arial"/>
          <w:color w:val="6B7280"/>
          <w:sz w:val="16"/>
          <w:szCs w:val="16"/>
        </w:rPr>
        <w:t xml:space="preserve">Example Open Graph card  —  dark variant</w:t>
      </w:r>
    </w:p>
    <w:p>
      <w:pPr>
        <w:spacing w:after="200" w:before="100"/>
      </w:pPr>
      <w:r>
        <w:rPr>
          <w:rFonts w:ascii="Arial" w:cs="Arial" w:eastAsia="Arial" w:hAnsi="Arial"/>
          <w:b/>
          <w:bCs/>
          <w:color w:val="0D1117"/>
          <w:sz w:val="28"/>
          <w:szCs w:val="28"/>
        </w:rPr>
        <w:t xml:space="preserve">POSTCODE RESULTS SHARING</w:t>
      </w:r>
    </w:p>
    <w:p>
      <w:pPr>
        <w:spacing w:after="160" w:before="0" w:line="320"/>
        <w:jc w:val="left"/>
      </w:pPr>
      <w:r>
        <w:rPr>
          <w:rFonts w:ascii="Arial" w:cs="Arial" w:eastAsia="Arial" w:hAnsi="Arial"/>
          <w:color w:val="374151"/>
          <w:sz w:val="22"/>
          <w:szCs w:val="22"/>
        </w:rPr>
        <w:t xml:space="preserve">When a user enters their postcode and gets local results, the “Share this” button generates a pre-formatted post: “GP access in [my area] is X% below the national average. See the full picture at whatisactuallyhappening.uk”. The accompanying image card shows their area’s key metric against the national figure.</w:t>
      </w:r>
    </w:p>
    <w:p>
      <w:pPr>
        <w:spacing w:after="0" w:before="100"/>
      </w:pPr>
    </w:p>
    <w:p>
      <w:pPr>
        <w:spacing w:after="200" w:before="100"/>
      </w:pPr>
      <w:r>
        <w:rPr>
          <w:rFonts w:ascii="Arial" w:cs="Arial" w:eastAsia="Arial" w:hAnsi="Arial"/>
          <w:b/>
          <w:bCs/>
          <w:color w:val="0D1117"/>
          <w:sz w:val="28"/>
          <w:szCs w:val="28"/>
        </w:rPr>
        <w:t xml:space="preserve">SOCIAL VOICE</w:t>
      </w:r>
    </w:p>
    <w:p>
      <w:pPr>
        <w:spacing w:after="160" w:before="0" w:line="320"/>
        <w:jc w:val="left"/>
      </w:pPr>
      <w:r>
        <w:rPr>
          <w:rFonts w:ascii="Arial" w:cs="Arial" w:eastAsia="Arial" w:hAnsi="Arial"/>
          <w:color w:val="374151"/>
          <w:sz w:val="22"/>
          <w:szCs w:val="22"/>
        </w:rPr>
        <w:t xml:space="preserve">On social media, WIAH is slightly more provocative than on the main site. The format is: one striking finding, stated plainly, with a link. No hashtags, no thread-bait, no engagement farming. Let the data do the talking.</w:t>
      </w:r>
    </w:p>
    <w:p>
      <w:pPr>
        <w:spacing w:after="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264653" w:sz="6"/>
              <w:bottom w:val="none" w:sz="0"/>
              <w:right w:val="none" w:sz="0"/>
            </w:tcBorders>
            <w:tcMar>
              <w:top w:type="dxa" w:w="100"/>
              <w:left w:type="dxa" w:w="200"/>
              <w:bottom w:type="dxa" w:w="100"/>
              <w:right w:type="dxa" w:w="80"/>
            </w:tcMar>
          </w:tcPr>
          <w:p>
            <w:pPr>
              <w:spacing w:after="100" w:line="300"/>
            </w:pPr>
            <w:r>
              <w:rPr>
                <w:rFonts w:ascii="Arial" w:cs="Arial" w:eastAsia="Arial" w:hAnsi="Arial"/>
                <w:color w:val="0D1117"/>
                <w:sz w:val="20"/>
                <w:szCs w:val="20"/>
              </w:rPr>
              <w:t xml:space="preserve">In 2015, if you called 999 with a stroke, the ambulance arrived in 18 minutes on average. Today it’s 42 minutes. In parts of the South West it’s over an hour.</w:t>
            </w:r>
          </w:p>
          <w:p>
            <w:r>
              <w:rPr>
                <w:rFonts w:ascii="Courier New" w:cs="Courier New" w:eastAsia="Courier New" w:hAnsi="Courier New"/>
                <w:color w:val="264653"/>
                <w:sz w:val="18"/>
                <w:szCs w:val="18"/>
              </w:rPr>
              <w:t xml:space="preserve">whatisactuallyhappening.uk/ambulance</w:t>
            </w:r>
          </w:p>
        </w:tc>
      </w:tr>
    </w:tbl>
    <w:p>
      <w:pPr>
        <w:sectPr>
          <w:headerReference w:type="default" r:id="rId21"/>
          <w:footerReference w:type="default" r:id="rId22"/>
          <w:pgSz w:w="11906" w:h="16838" w:orient="portrait"/>
          <w:pgMar w:top="1440" w:right="1440" w:bottom="1440" w:left="1440" w:header="708" w:footer="708" w:gutter="0"/>
          <w:pgNumType/>
          <w:docGrid w:linePitch="360"/>
        </w:sectPr>
      </w:pPr>
    </w:p>
    <w:p>
      <w:pPr>
        <w:spacing w:after="200" w:before="100"/>
      </w:pPr>
      <w:r>
        <w:rPr>
          <w:rFonts w:ascii="Arial" w:cs="Arial" w:eastAsia="Arial" w:hAnsi="Arial"/>
          <w:b/>
          <w:bCs/>
          <w:color w:val="0D1117"/>
          <w:sz w:val="28"/>
          <w:szCs w:val="28"/>
        </w:rPr>
        <w:t xml:space="preserve">09. NAVIGATION &amp; INFORMATION ARCHITECTURE</w:t>
      </w:r>
    </w:p>
    <w:p>
      <w:pPr>
        <w:spacing w:after="160" w:before="0" w:line="320"/>
        <w:jc w:val="left"/>
      </w:pPr>
      <w:r>
        <w:rPr>
          <w:rFonts w:ascii="Arial" w:cs="Arial" w:eastAsia="Arial" w:hAnsi="Arial"/>
          <w:color w:val="374151"/>
          <w:sz w:val="22"/>
          <w:szCs w:val="22"/>
        </w:rPr>
        <w:t xml:space="preserve">The navigation model follows the brand’s core promise: “What is actually happening in...” followed by the thing you care about. This framing drives the entire information architecture.</w:t>
      </w:r>
    </w:p>
    <w:p>
      <w:pPr>
        <w:spacing w:after="0" w:before="100"/>
      </w:pPr>
    </w:p>
    <w:p>
      <w:pPr>
        <w:spacing w:after="200" w:before="100"/>
      </w:pPr>
      <w:r>
        <w:rPr>
          <w:rFonts w:ascii="Arial" w:cs="Arial" w:eastAsia="Arial" w:hAnsi="Arial"/>
          <w:b/>
          <w:bCs/>
          <w:color w:val="0D1117"/>
          <w:sz w:val="24"/>
          <w:szCs w:val="24"/>
        </w:rPr>
        <w:t xml:space="preserve">URL Structure</w:t>
      </w:r>
    </w:p>
    <w:p>
      <w:pPr>
        <w:spacing w:after="30" w:before="30"/>
      </w:pPr>
      <w:r>
        <w:rPr>
          <w:rFonts w:ascii="Courier New" w:cs="Courier New" w:eastAsia="Courier New" w:hAnsi="Courier New"/>
          <w:color w:val="264653"/>
          <w:sz w:val="20"/>
          <w:szCs w:val="20"/>
        </w:rPr>
        <w:t xml:space="preserve">whatisactuallyhappening.uk/prisons</w:t>
      </w:r>
    </w:p>
    <w:p>
      <w:pPr>
        <w:spacing w:after="30" w:before="30"/>
      </w:pPr>
      <w:r>
        <w:rPr>
          <w:rFonts w:ascii="Courier New" w:cs="Courier New" w:eastAsia="Courier New" w:hAnsi="Courier New"/>
          <w:color w:val="264653"/>
          <w:sz w:val="20"/>
          <w:szCs w:val="20"/>
        </w:rPr>
        <w:t xml:space="preserve">whatisactuallyhappening.uk/gp-access</w:t>
      </w:r>
    </w:p>
    <w:p>
      <w:pPr>
        <w:spacing w:after="30" w:before="30"/>
      </w:pPr>
      <w:r>
        <w:rPr>
          <w:rFonts w:ascii="Courier New" w:cs="Courier New" w:eastAsia="Courier New" w:hAnsi="Courier New"/>
          <w:color w:val="264653"/>
          <w:sz w:val="20"/>
          <w:szCs w:val="20"/>
        </w:rPr>
        <w:t xml:space="preserve">whatisactuallyhappening.uk/housing</w:t>
      </w:r>
    </w:p>
    <w:p>
      <w:pPr>
        <w:spacing w:after="30" w:before="30"/>
      </w:pPr>
      <w:r>
        <w:rPr>
          <w:rFonts w:ascii="Courier New" w:cs="Courier New" w:eastAsia="Courier New" w:hAnsi="Courier New"/>
          <w:color w:val="264653"/>
          <w:sz w:val="20"/>
          <w:szCs w:val="20"/>
        </w:rPr>
        <w:t xml:space="preserve">whatisactuallyhappening.uk/water</w:t>
      </w:r>
    </w:p>
    <w:p>
      <w:pPr>
        <w:spacing w:after="30" w:before="30"/>
      </w:pPr>
      <w:r>
        <w:rPr>
          <w:rFonts w:ascii="Courier New" w:cs="Courier New" w:eastAsia="Courier New" w:hAnsi="Courier New"/>
          <w:color w:val="264653"/>
          <w:sz w:val="20"/>
          <w:szCs w:val="20"/>
        </w:rPr>
        <w:t xml:space="preserve">whatisactuallyhappening.uk/ambulances</w:t>
      </w:r>
    </w:p>
    <w:p>
      <w:pPr>
        <w:spacing w:after="30" w:before="30"/>
      </w:pPr>
      <w:r>
        <w:rPr>
          <w:rFonts w:ascii="Courier New" w:cs="Courier New" w:eastAsia="Courier New" w:hAnsi="Courier New"/>
          <w:color w:val="264653"/>
          <w:sz w:val="20"/>
          <w:szCs w:val="20"/>
        </w:rPr>
        <w:t xml:space="preserve">whatisactuallyhappening.uk/crime</w:t>
      </w:r>
    </w:p>
    <w:p>
      <w:pPr>
        <w:spacing w:after="0" w:before="200"/>
      </w:pPr>
    </w:p>
    <w:p>
      <w:pPr>
        <w:spacing w:after="200" w:before="100"/>
      </w:pPr>
      <w:r>
        <w:rPr>
          <w:rFonts w:ascii="Arial" w:cs="Arial" w:eastAsia="Arial" w:hAnsi="Arial"/>
          <w:b/>
          <w:bCs/>
          <w:color w:val="0D1117"/>
          <w:sz w:val="24"/>
          <w:szCs w:val="24"/>
        </w:rPr>
        <w:t xml:space="preserve">Topic Page Structure</w:t>
      </w:r>
    </w:p>
    <w:p>
      <w:pPr>
        <w:spacing w:after="160" w:before="0" w:line="320"/>
        <w:jc w:val="left"/>
      </w:pPr>
      <w:r>
        <w:rPr>
          <w:rFonts w:ascii="Arial" w:cs="Arial" w:eastAsia="Arial" w:hAnsi="Arial"/>
          <w:color w:val="374151"/>
          <w:sz w:val="22"/>
          <w:szCs w:val="22"/>
        </w:rPr>
        <w:t xml:space="preserve">Each topic page follows a consistent structure. This predictability is part of the brand — once you’ve used one topic, you know how they all work:</w:t>
      </w:r>
    </w:p>
    <w:p>
      <w:pPr>
        <w:spacing w:after="60" w:before="40" w:line="300"/>
      </w:pPr>
      <w:r>
        <w:rPr>
          <w:rFonts w:ascii="Courier New" w:cs="Courier New" w:eastAsia="Courier New" w:hAnsi="Courier New"/>
          <w:b/>
          <w:bCs/>
          <w:color w:val="E63946"/>
          <w:sz w:val="20"/>
          <w:szCs w:val="20"/>
        </w:rPr>
        <w:t xml:space="preserve">1.  </w:t>
      </w:r>
      <w:r>
        <w:rPr>
          <w:rFonts w:ascii="Arial" w:cs="Arial" w:eastAsia="Arial" w:hAnsi="Arial"/>
          <w:color w:val="374151"/>
          <w:sz w:val="20"/>
          <w:szCs w:val="20"/>
        </w:rPr>
        <w:t xml:space="preserve">Hero question: “What is actually happening in [topic]?” with a one-sentence answer.</w:t>
      </w:r>
    </w:p>
    <w:p>
      <w:pPr>
        <w:spacing w:after="60" w:before="40" w:line="300"/>
      </w:pPr>
      <w:r>
        <w:rPr>
          <w:rFonts w:ascii="Courier New" w:cs="Courier New" w:eastAsia="Courier New" w:hAnsi="Courier New"/>
          <w:b/>
          <w:bCs/>
          <w:color w:val="E63946"/>
          <w:sz w:val="20"/>
          <w:szCs w:val="20"/>
        </w:rPr>
        <w:t xml:space="preserve">2.  </w:t>
      </w:r>
      <w:r>
        <w:rPr>
          <w:rFonts w:ascii="Arial" w:cs="Arial" w:eastAsia="Arial" w:hAnsi="Arial"/>
          <w:color w:val="374151"/>
          <w:sz w:val="20"/>
          <w:szCs w:val="20"/>
        </w:rPr>
        <w:t xml:space="preserve">Two or three MetricCards showing the headline numbers with direction-of-travel.</w:t>
      </w:r>
    </w:p>
    <w:p>
      <w:pPr>
        <w:spacing w:after="60" w:before="40" w:line="300"/>
      </w:pPr>
      <w:r>
        <w:rPr>
          <w:rFonts w:ascii="Courier New" w:cs="Courier New" w:eastAsia="Courier New" w:hAnsi="Courier New"/>
          <w:b/>
          <w:bCs/>
          <w:color w:val="E63946"/>
          <w:sz w:val="20"/>
          <w:szCs w:val="20"/>
        </w:rPr>
        <w:t xml:space="preserve">3.  </w:t>
      </w:r>
      <w:r>
        <w:rPr>
          <w:rFonts w:ascii="Arial" w:cs="Arial" w:eastAsia="Arial" w:hAnsi="Arial"/>
          <w:color w:val="374151"/>
          <w:sz w:val="20"/>
          <w:szCs w:val="20"/>
        </w:rPr>
        <w:t xml:space="preserve">Postcode lookup (where applicable): “Enter your postcode to see your area.”</w:t>
      </w:r>
    </w:p>
    <w:p>
      <w:pPr>
        <w:spacing w:after="60" w:before="40" w:line="300"/>
      </w:pPr>
      <w:r>
        <w:rPr>
          <w:rFonts w:ascii="Courier New" w:cs="Courier New" w:eastAsia="Courier New" w:hAnsi="Courier New"/>
          <w:b/>
          <w:bCs/>
          <w:color w:val="E63946"/>
          <w:sz w:val="20"/>
          <w:szCs w:val="20"/>
        </w:rPr>
        <w:t xml:space="preserve">4.  </w:t>
      </w:r>
      <w:r>
        <w:rPr>
          <w:rFonts w:ascii="Arial" w:cs="Arial" w:eastAsia="Arial" w:hAnsi="Arial"/>
          <w:color w:val="374151"/>
          <w:sz w:val="20"/>
          <w:szCs w:val="20"/>
        </w:rPr>
        <w:t xml:space="preserve">Visual stories: the two or three curated, data-driven charts that tell the story.</w:t>
      </w:r>
    </w:p>
    <w:p>
      <w:pPr>
        <w:spacing w:after="60" w:before="40" w:line="300"/>
      </w:pPr>
      <w:r>
        <w:rPr>
          <w:rFonts w:ascii="Courier New" w:cs="Courier New" w:eastAsia="Courier New" w:hAnsi="Courier New"/>
          <w:b/>
          <w:bCs/>
          <w:color w:val="E63946"/>
          <w:sz w:val="20"/>
          <w:szCs w:val="20"/>
        </w:rPr>
        <w:t xml:space="preserve">5.  </w:t>
      </w:r>
      <w:r>
        <w:rPr>
          <w:rFonts w:ascii="Arial" w:cs="Arial" w:eastAsia="Arial" w:hAnsi="Arial"/>
          <w:color w:val="374151"/>
          <w:sz w:val="20"/>
          <w:szCs w:val="20"/>
        </w:rPr>
        <w:t xml:space="preserve">Context: 500–800 words explaining what’s driving the trends, with evidence.</w:t>
      </w:r>
    </w:p>
    <w:p>
      <w:pPr>
        <w:spacing w:after="60" w:before="40" w:line="300"/>
      </w:pPr>
      <w:r>
        <w:rPr>
          <w:rFonts w:ascii="Courier New" w:cs="Courier New" w:eastAsia="Courier New" w:hAnsi="Courier New"/>
          <w:b/>
          <w:bCs/>
          <w:color w:val="E63946"/>
          <w:sz w:val="20"/>
          <w:szCs w:val="20"/>
        </w:rPr>
        <w:t xml:space="preserve">6.  </w:t>
      </w:r>
      <w:r>
        <w:rPr>
          <w:rFonts w:ascii="Arial" w:cs="Arial" w:eastAsia="Arial" w:hAnsi="Arial"/>
          <w:color w:val="374151"/>
          <w:sz w:val="20"/>
          <w:szCs w:val="20"/>
        </w:rPr>
        <w:t xml:space="preserve">Methodology: full transparency on sources, processing, and limitations.</w:t>
      </w:r>
    </w:p>
    <w:p>
      <w:pPr>
        <w:spacing w:after="0" w:before="200"/>
      </w:pPr>
    </w:p>
    <w:p>
      <w:pPr>
        <w:spacing w:after="200" w:before="100"/>
      </w:pPr>
      <w:r>
        <w:rPr>
          <w:rFonts w:ascii="Arial" w:cs="Arial" w:eastAsia="Arial" w:hAnsi="Arial"/>
          <w:b/>
          <w:bCs/>
          <w:color w:val="0D1117"/>
          <w:sz w:val="28"/>
          <w:szCs w:val="28"/>
        </w:rPr>
        <w:t xml:space="preserve">HOMEPAGE</w:t>
      </w:r>
    </w:p>
    <w:p>
      <w:pPr>
        <w:spacing w:after="160" w:before="0" w:line="320"/>
        <w:jc w:val="left"/>
      </w:pPr>
      <w:r>
        <w:rPr>
          <w:rFonts w:ascii="Arial" w:cs="Arial" w:eastAsia="Arial" w:hAnsi="Arial"/>
          <w:color w:val="374151"/>
          <w:sz w:val="22"/>
          <w:szCs w:val="22"/>
        </w:rPr>
        <w:t xml:space="preserve">The homepage is a curated grid of topics, each showing a headline metric with direction. The design reference is a premium weather app applied to the state of the nation: clean, scannable, calm. One glance tells you what’s getting better, what’s getting worse, and what’s holding steady.</w:t>
      </w:r>
    </w:p>
    <w:p>
      <w:pPr>
        <w:spacing w:after="160" w:before="0" w:line="320"/>
        <w:jc w:val="left"/>
      </w:pPr>
      <w:r>
        <w:rPr>
          <w:rFonts w:ascii="Arial" w:cs="Arial" w:eastAsia="Arial" w:hAnsi="Arial"/>
          <w:color w:val="374151"/>
          <w:sz w:val="22"/>
          <w:szCs w:val="22"/>
        </w:rPr>
        <w:t xml:space="preserve">The homepage should feel like opening a beautifully designed newspaper — not a spreadsheet. Each topic card is a doorway into a deeper story. The grid layout adapts from 1 column on mobile to 2–3 on desktop.</w:t>
      </w:r>
    </w:p>
    <w:p>
      <w:pPr>
        <w:spacing w:after="0" w:before="200"/>
      </w:pPr>
    </w:p>
    <w:p>
      <w:pPr>
        <w:spacing w:after="200" w:before="100"/>
      </w:pPr>
      <w:r>
        <w:rPr>
          <w:rFonts w:ascii="Arial" w:cs="Arial" w:eastAsia="Arial" w:hAnsi="Arial"/>
          <w:b/>
          <w:bCs/>
          <w:color w:val="0D1117"/>
          <w:sz w:val="28"/>
          <w:szCs w:val="28"/>
        </w:rPr>
        <w:t xml:space="preserve">THE 20 QUESTIONS</w:t>
      </w:r>
    </w:p>
    <w:p>
      <w:pPr>
        <w:spacing w:after="160" w:before="0" w:line="320"/>
        <w:jc w:val="left"/>
      </w:pPr>
      <w:r>
        <w:rPr>
          <w:rFonts w:ascii="Arial" w:cs="Arial" w:eastAsia="Arial" w:hAnsi="Arial"/>
          <w:color w:val="374151"/>
          <w:sz w:val="22"/>
          <w:szCs w:val="22"/>
        </w:rPr>
        <w:t xml:space="preserve">The long-term ambition is approximately 20 curated topics — the 20 things people in the UK actually care about, each answered with data. This is an editorial decision, not a completeness exercise. Topics are chosen based on: public interest (do people actually ask about this?), data availability (can we show something meaningful?), and visual storytelling potential (can we make it compelling?).</w:t>
      </w:r>
    </w:p>
    <w:p>
      <w:pPr>
        <w:spacing w:after="160" w:before="0" w:line="320"/>
        <w:jc w:val="left"/>
      </w:pPr>
      <w:r>
        <w:rPr>
          <w:rFonts w:ascii="Arial" w:cs="Arial" w:eastAsia="Arial" w:hAnsi="Arial"/>
          <w:color w:val="374151"/>
          <w:sz w:val="22"/>
          <w:szCs w:val="22"/>
        </w:rPr>
        <w:t xml:space="preserve">The current roadmap includes: GP access, housing affordability, water quality, ambulance response times, crime and justice, prisons, education, mental health access, air quality, and the cost of living. Each topic earns its place by answering a question people genuinely want answered.</w:t>
      </w:r>
    </w:p>
    <w:p>
      <w:pPr>
        <w:sectPr>
          <w:headerReference w:type="default" r:id="rId23"/>
          <w:footerReference w:type="default" r:id="rId24"/>
          <w:pgSz w:w="11906" w:h="16838" w:orient="portrait"/>
          <w:pgMar w:top="1440" w:right="1440" w:bottom="1440" w:left="1440" w:header="708" w:footer="708" w:gutter="0"/>
          <w:pgNumType/>
          <w:docGrid w:linePitch="360"/>
        </w:sectPr>
      </w:pPr>
    </w:p>
    <w:p>
      <w:pPr>
        <w:spacing w:after="0" w:before="2000"/>
      </w:pPr>
    </w:p>
    <w:p>
      <w:pPr>
        <w:spacing w:after="200"/>
        <w:jc w:val="center"/>
      </w:pPr>
      <w:r>
        <w:rPr>
          <w:rFonts w:ascii="Arial" w:cs="Arial" w:eastAsia="Arial" w:hAnsi="Arial"/>
          <w:b/>
          <w:bCs/>
          <w:color w:val="0D1117"/>
          <w:sz w:val="56"/>
          <w:szCs w:val="56"/>
        </w:rPr>
        <w:t xml:space="preserve">W I A H</w:t>
      </w:r>
    </w:p>
    <w:p>
      <w:pPr>
        <w:spacing w:after="400"/>
        <w:jc w:val="center"/>
      </w:pPr>
      <w:r>
        <w:rPr>
          <w:rFonts w:ascii="Arial" w:cs="Arial" w:eastAsia="Arial" w:hAnsi="Arial"/>
          <w:color w:val="6B7280"/>
          <w:sz w:val="20"/>
          <w:szCs w:val="20"/>
        </w:rPr>
        <w:t xml:space="preserve">WHAT IS ACTUALLY HAPPENING</w:t>
      </w:r>
    </w:p>
    <w:p>
      <w:pPr>
        <w:pBdr>
          <w:top w:val="single" w:color="E63946" w:sz="4" w:space="8"/>
        </w:pBdr>
        <w:spacing w:after="200" w:before="200"/>
        <w:jc w:val="center"/>
      </w:pPr>
    </w:p>
    <w:p>
      <w:pPr>
        <w:spacing w:after="100"/>
        <w:jc w:val="center"/>
      </w:pPr>
      <w:r>
        <w:rPr>
          <w:rFonts w:ascii="Arial" w:cs="Arial" w:eastAsia="Arial" w:hAnsi="Arial"/>
          <w:color w:val="6B7280"/>
          <w:sz w:val="22"/>
          <w:szCs w:val="22"/>
        </w:rPr>
        <w:t xml:space="preserve">Brand Guide v1.0</w:t>
      </w:r>
    </w:p>
    <w:p>
      <w:pPr>
        <w:spacing w:after="100"/>
        <w:jc w:val="center"/>
      </w:pPr>
      <w:r>
        <w:rPr>
          <w:rFonts w:ascii="Arial" w:cs="Arial" w:eastAsia="Arial" w:hAnsi="Arial"/>
          <w:color w:val="6B7280"/>
          <w:sz w:val="22"/>
          <w:szCs w:val="22"/>
        </w:rPr>
        <w:t xml:space="preserve">March 2026</w:t>
      </w:r>
    </w:p>
    <w:p>
      <w:pPr>
        <w:spacing w:after="0" w:before="600"/>
      </w:pPr>
    </w:p>
    <w:p>
      <w:pPr>
        <w:spacing w:after="100" w:line="300"/>
        <w:jc w:val="center"/>
      </w:pPr>
      <w:r>
        <w:rPr>
          <w:rFonts w:ascii="Arial" w:cs="Arial" w:eastAsia="Arial" w:hAnsi="Arial"/>
          <w:color w:val="6B7280"/>
          <w:sz w:val="20"/>
          <w:szCs w:val="20"/>
        </w:rPr>
        <w:t xml:space="preserve">This document defines the visual and verbal identity of WIAH.</w:t>
      </w:r>
    </w:p>
    <w:p>
      <w:pPr>
        <w:spacing w:line="300"/>
        <w:jc w:val="center"/>
      </w:pPr>
      <w:r>
        <w:rPr>
          <w:rFonts w:ascii="Arial" w:cs="Arial" w:eastAsia="Arial" w:hAnsi="Arial"/>
          <w:color w:val="6B7280"/>
          <w:sz w:val="20"/>
          <w:szCs w:val="20"/>
        </w:rPr>
        <w:t xml:space="preserve">For questions or brand asset requests, contact the project team.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1" w:space="4"/>
      </w:pBdr>
      <w:tabs>
        <w:tab w:val="right" w:pos="9026"/>
      </w:tabs>
    </w:pPr>
    <w:r>
      <w:rPr>
        <w:rFonts w:ascii="Arial" w:cs="Arial" w:eastAsia="Arial" w:hAnsi="Arial"/>
        <w:b/>
        <w:bCs/>
        <w:color w:val="6B7280"/>
        <w:sz w:val="16"/>
        <w:szCs w:val="16"/>
      </w:rPr>
      <w:t xml:space="preserve">WIAH</w:t>
    </w:r>
    <w:r>
      <w:rPr>
        <w:rFonts w:ascii="Arial" w:cs="Arial" w:eastAsia="Arial" w:hAnsi="Arial"/>
        <w:color w:val="6B7280"/>
        <w:sz w:val="16"/>
        <w:szCs w:val="16"/>
      </w:rPr>
      <w:t xml:space="preserve">	Brand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1" w:space="4"/>
      </w:pBdr>
      <w:tabs>
        <w:tab w:val="right" w:pos="9026"/>
      </w:tabs>
    </w:pPr>
    <w:r>
      <w:rPr>
        <w:rFonts w:ascii="Arial" w:cs="Arial" w:eastAsia="Arial" w:hAnsi="Arial"/>
        <w:b/>
        <w:bCs/>
        <w:color w:val="6B7280"/>
        <w:sz w:val="16"/>
        <w:szCs w:val="16"/>
      </w:rPr>
      <w:t xml:space="preserve">WIAH</w:t>
    </w:r>
    <w:r>
      <w:rPr>
        <w:rFonts w:ascii="Arial" w:cs="Arial" w:eastAsia="Arial" w:hAnsi="Arial"/>
        <w:color w:val="6B7280"/>
        <w:sz w:val="16"/>
        <w:szCs w:val="16"/>
      </w:rPr>
      <w:t xml:space="preserve">	Brand Guide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1" w:space="4"/>
      </w:pBdr>
      <w:tabs>
        <w:tab w:val="right" w:pos="9026"/>
      </w:tabs>
    </w:pPr>
    <w:r>
      <w:rPr>
        <w:rFonts w:ascii="Arial" w:cs="Arial" w:eastAsia="Arial" w:hAnsi="Arial"/>
        <w:b/>
        <w:bCs/>
        <w:color w:val="6B7280"/>
        <w:sz w:val="16"/>
        <w:szCs w:val="16"/>
      </w:rPr>
      <w:t xml:space="preserve">WIAH</w:t>
    </w:r>
    <w:r>
      <w:rPr>
        <w:rFonts w:ascii="Arial" w:cs="Arial" w:eastAsia="Arial" w:hAnsi="Arial"/>
        <w:color w:val="6B7280"/>
        <w:sz w:val="16"/>
        <w:szCs w:val="16"/>
      </w:rPr>
      <w:t xml:space="preserve">	Brand Guide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1" w:space="4"/>
      </w:pBdr>
      <w:tabs>
        <w:tab w:val="right" w:pos="9026"/>
      </w:tabs>
    </w:pPr>
    <w:r>
      <w:rPr>
        <w:rFonts w:ascii="Arial" w:cs="Arial" w:eastAsia="Arial" w:hAnsi="Arial"/>
        <w:b/>
        <w:bCs/>
        <w:color w:val="6B7280"/>
        <w:sz w:val="16"/>
        <w:szCs w:val="16"/>
      </w:rPr>
      <w:t xml:space="preserve">WIAH</w:t>
    </w:r>
    <w:r>
      <w:rPr>
        <w:rFonts w:ascii="Arial" w:cs="Arial" w:eastAsia="Arial" w:hAnsi="Arial"/>
        <w:color w:val="6B7280"/>
        <w:sz w:val="16"/>
        <w:szCs w:val="16"/>
      </w:rPr>
      <w:t xml:space="preserve">	Brand Guide</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1" w:space="4"/>
      </w:pBdr>
      <w:tabs>
        <w:tab w:val="right" w:pos="9026"/>
      </w:tabs>
    </w:pPr>
    <w:r>
      <w:rPr>
        <w:rFonts w:ascii="Arial" w:cs="Arial" w:eastAsia="Arial" w:hAnsi="Arial"/>
        <w:b/>
        <w:bCs/>
        <w:color w:val="6B7280"/>
        <w:sz w:val="16"/>
        <w:szCs w:val="16"/>
      </w:rPr>
      <w:t xml:space="preserve">WIAH</w:t>
    </w:r>
    <w:r>
      <w:rPr>
        <w:rFonts w:ascii="Arial" w:cs="Arial" w:eastAsia="Arial" w:hAnsi="Arial"/>
        <w:color w:val="6B7280"/>
        <w:sz w:val="16"/>
        <w:szCs w:val="16"/>
      </w:rPr>
      <w:t xml:space="preserve">	Brand Guide</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1" w:space="4"/>
      </w:pBdr>
      <w:tabs>
        <w:tab w:val="right" w:pos="9026"/>
      </w:tabs>
    </w:pPr>
    <w:r>
      <w:rPr>
        <w:rFonts w:ascii="Arial" w:cs="Arial" w:eastAsia="Arial" w:hAnsi="Arial"/>
        <w:b/>
        <w:bCs/>
        <w:color w:val="6B7280"/>
        <w:sz w:val="16"/>
        <w:szCs w:val="16"/>
      </w:rPr>
      <w:t xml:space="preserve">WIAH</w:t>
    </w:r>
    <w:r>
      <w:rPr>
        <w:rFonts w:ascii="Arial" w:cs="Arial" w:eastAsia="Arial" w:hAnsi="Arial"/>
        <w:color w:val="6B7280"/>
        <w:sz w:val="16"/>
        <w:szCs w:val="16"/>
      </w:rPr>
      <w:t xml:space="preserve">	Brand Guide</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1" w:space="4"/>
      </w:pBdr>
      <w:tabs>
        <w:tab w:val="right" w:pos="9026"/>
      </w:tabs>
    </w:pPr>
    <w:r>
      <w:rPr>
        <w:rFonts w:ascii="Arial" w:cs="Arial" w:eastAsia="Arial" w:hAnsi="Arial"/>
        <w:b/>
        <w:bCs/>
        <w:color w:val="6B7280"/>
        <w:sz w:val="16"/>
        <w:szCs w:val="16"/>
      </w:rPr>
      <w:t xml:space="preserve">WIAH</w:t>
    </w:r>
    <w:r>
      <w:rPr>
        <w:rFonts w:ascii="Arial" w:cs="Arial" w:eastAsia="Arial" w:hAnsi="Arial"/>
        <w:color w:val="6B7280"/>
        <w:sz w:val="16"/>
        <w:szCs w:val="16"/>
      </w:rPr>
      <w:t xml:space="preserve">	Brand Guide</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1" w:space="4"/>
      </w:pBdr>
      <w:tabs>
        <w:tab w:val="right" w:pos="9026"/>
      </w:tabs>
    </w:pPr>
    <w:r>
      <w:rPr>
        <w:rFonts w:ascii="Arial" w:cs="Arial" w:eastAsia="Arial" w:hAnsi="Arial"/>
        <w:b/>
        <w:bCs/>
        <w:color w:val="6B7280"/>
        <w:sz w:val="16"/>
        <w:szCs w:val="16"/>
      </w:rPr>
      <w:t xml:space="preserve">WIAH</w:t>
    </w:r>
    <w:r>
      <w:rPr>
        <w:rFonts w:ascii="Arial" w:cs="Arial" w:eastAsia="Arial" w:hAnsi="Arial"/>
        <w:color w:val="6B7280"/>
        <w:sz w:val="16"/>
        <w:szCs w:val="16"/>
      </w:rPr>
      <w:t xml:space="preserve">	Brand Guide</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1" w:space="4"/>
      </w:pBdr>
      <w:tabs>
        <w:tab w:val="right" w:pos="9026"/>
      </w:tabs>
    </w:pPr>
    <w:r>
      <w:rPr>
        <w:rFonts w:ascii="Arial" w:cs="Arial" w:eastAsia="Arial" w:hAnsi="Arial"/>
        <w:b/>
        <w:bCs/>
        <w:color w:val="6B7280"/>
        <w:sz w:val="16"/>
        <w:szCs w:val="16"/>
      </w:rPr>
      <w:t xml:space="preserve">WIAH</w:t>
    </w:r>
    <w:r>
      <w:rPr>
        <w:rFonts w:ascii="Arial" w:cs="Arial" w:eastAsia="Arial" w:hAnsi="Arial"/>
        <w:color w:val="6B7280"/>
        <w:sz w:val="16"/>
        <w:szCs w:val="16"/>
      </w:rPr>
      <w:t xml:space="preserve">	Brand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D1117"/>
      <w:sz w:val="48"/>
      <w:szCs w:val="48"/>
    </w:rPr>
  </w:style>
  <w:style w:type="paragraph" w:styleId="Heading2">
    <w:name w:val="Heading 2"/>
    <w:basedOn w:val="Normal"/>
    <w:next w:val="Normal"/>
    <w:qFormat/>
    <w:pPr>
      <w:spacing w:after="160" w:before="280"/>
      <w:outlineLvl w:val="1"/>
    </w:pPr>
    <w:rPr>
      <w:rFonts w:ascii="Arial" w:cs="Arial" w:eastAsia="Arial" w:hAnsi="Arial"/>
      <w:b/>
      <w:bCs/>
      <w:color w:val="0D1117"/>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2026-03-02T09:54:54.009Z</dcterms:created>
  <dcterms:modified xsi:type="dcterms:W3CDTF">2026-03-02T09:54:54.009Z</dcterms:modified>
</cp:coreProperties>
</file>

<file path=docProps/custom.xml><?xml version="1.0" encoding="utf-8"?>
<Properties xmlns="http://schemas.openxmlformats.org/officeDocument/2006/custom-properties" xmlns:vt="http://schemas.openxmlformats.org/officeDocument/2006/docPropsVTypes"/>
</file>