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Коммерческое предложение</w:t>
      </w:r>
    </w:p>
    <w:p>
      <w:r>
        <w:t>Уважаемые господа!</w:t>
      </w:r>
    </w:p>
    <w:p>
      <w:r>
        <w:t>Компания ООО «Пумори-инжиниринг инвест» предлагает Вам на рассмотрение предварительное технико-коммерческое предложение на поставку оборудования: Токарный станок с ЧПУ, модель HT2, DRC (КНР).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Пункт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Гарантия:</w:t>
            </w:r>
          </w:p>
        </w:tc>
        <w:tc>
          <w:tcPr>
            <w:tcW w:type="dxa" w:w="4320"/>
          </w:tcPr>
          <w:p>
            <w:r>
              <w:t>12 месяцев с момента ввода в эксплуатацию, но не более 14 месяцев с момента отгрузки</w:t>
            </w:r>
          </w:p>
        </w:tc>
      </w:tr>
      <w:tr>
        <w:tc>
          <w:tcPr>
            <w:tcW w:type="dxa" w:w="4320"/>
          </w:tcPr>
          <w:p>
            <w:r>
              <w:t>Пуско-наладочные работы:</w:t>
            </w:r>
          </w:p>
        </w:tc>
        <w:tc>
          <w:tcPr>
            <w:tcW w:type="dxa" w:w="4320"/>
          </w:tcPr>
          <w:p>
            <w:r>
              <w:t>Включены в стоимость</w:t>
            </w:r>
          </w:p>
        </w:tc>
      </w:tr>
      <w:tr>
        <w:tc>
          <w:tcPr>
            <w:tcW w:type="dxa" w:w="4320"/>
          </w:tcPr>
          <w:p>
            <w:r>
              <w:t>Срок изготовления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Срок доставки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Условия оплаты: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Условия поставки:</w:t>
            </w:r>
          </w:p>
        </w:tc>
        <w:tc>
          <w:tcPr>
            <w:tcW w:type="dxa" w:w="4320"/>
          </w:tcPr>
          <w:p>
            <w:r>
              <w:t>DDP – склад Покупателя, включая: страхование, таможенное оформление, НДС 20%</w:t>
            </w:r>
          </w:p>
        </w:tc>
      </w:tr>
    </w:tbl>
    <w:p>
      <w:pPr>
        <w:pStyle w:val="Heading2"/>
      </w:pPr>
      <w:r>
        <w:t>Введение о компании</w:t>
      </w:r>
    </w:p>
    <w:p>
      <w:r>
        <w:t>Требуется уточнение</w:t>
      </w:r>
    </w:p>
    <w:p>
      <w:pPr>
        <w:pStyle w:val="Heading2"/>
      </w:pPr>
      <w:r>
        <w:t>Общая информация о станке</w:t>
      </w:r>
    </w:p>
    <w:p>
      <w:r>
        <w:t>Требуется уточнение</w:t>
      </w:r>
    </w:p>
    <w:p>
      <w:pPr>
        <w:pStyle w:val="Heading2"/>
      </w:pPr>
      <w:r>
        <w:t>Информация по основным узлам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Наименование</w:t>
            </w:r>
          </w:p>
        </w:tc>
        <w:tc>
          <w:tcPr>
            <w:tcW w:type="dxa" w:w="2880"/>
          </w:tcPr>
          <w:p>
            <w:r>
              <w:t>Производитель</w:t>
            </w:r>
          </w:p>
        </w:tc>
        <w:tc>
          <w:tcPr>
            <w:tcW w:type="dxa" w:w="2880"/>
          </w:tcPr>
          <w:p>
            <w:r>
              <w:t>Страна</w:t>
            </w:r>
          </w:p>
        </w:tc>
      </w:tr>
      <w:tr>
        <w:tc>
          <w:tcPr>
            <w:tcW w:type="dxa" w:w="2880"/>
          </w:tcPr>
          <w:p>
            <w:r>
              <w:t>Система ЧПУ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Сервопривод и двигатель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Подшипник шпинделя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Револьверная головка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Шариковый ходовой винт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Подшипник ходового винта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Направляющая качения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Патрон и цилиндр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Гидравлическая станция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Смазочный насос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Насос охлаждения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Теплообменник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Основные электрические детали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Цепной конвейер для стружки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</w:tbl>
    <w:p>
      <w:pPr>
        <w:pStyle w:val="Heading2"/>
      </w:pPr>
      <w:r>
        <w:t>Технические характеристики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Ед. изм.</w:t>
            </w:r>
          </w:p>
        </w:tc>
        <w:tc>
          <w:tcPr>
            <w:tcW w:type="dxa" w:w="2880"/>
          </w:tcPr>
          <w:p>
            <w:r>
              <w:t>Значение</w:t>
            </w:r>
          </w:p>
        </w:tc>
      </w:tr>
      <w:tr>
        <w:tc>
          <w:tcPr>
            <w:tcW w:type="dxa" w:w="2880"/>
          </w:tcPr>
          <w:p>
            <w:r>
              <w:t>Головка шпинделя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Макс.скорость шпинделя</w:t>
            </w:r>
          </w:p>
        </w:tc>
        <w:tc>
          <w:tcPr>
            <w:tcW w:type="dxa" w:w="2880"/>
          </w:tcPr>
          <w:p>
            <w:r>
              <w:t>rpm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Мощность шпинделя</w:t>
            </w:r>
          </w:p>
        </w:tc>
        <w:tc>
          <w:tcPr>
            <w:tcW w:type="dxa" w:w="2880"/>
          </w:tcPr>
          <w:p>
            <w:r>
              <w:t>kW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Макс. крутящий момент</w:t>
            </w:r>
          </w:p>
        </w:tc>
        <w:tc>
          <w:tcPr>
            <w:tcW w:type="dxa" w:w="2880"/>
          </w:tcPr>
          <w:p>
            <w:r>
              <w:t>Nm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Диаметр патрона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Диаметр отверстия шпинделя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Макс. диаметр стержня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Смазка подшипника шпинделя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Смазка направляющей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8640"/>
            <w:gridSpan w:val="3"/>
          </w:tcPr>
          <w:p>
            <w:r>
              <w:t>Рабочая зона</w:t>
            </w:r>
          </w:p>
        </w:tc>
      </w:tr>
      <w:tr>
        <w:tc>
          <w:tcPr>
            <w:tcW w:type="dxa" w:w="2880"/>
          </w:tcPr>
          <w:p>
            <w:r>
              <w:t>Максимальное вращение над станиной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Максимальное вращение над суппортом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Максимальный диаметр обработки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Рекомендуемый макс. диаметр обработки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Перемещение по оси Z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Перемещение по оси X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8640"/>
            <w:gridSpan w:val="3"/>
          </w:tcPr>
          <w:p>
            <w:r>
              <w:t>Подача</w:t>
            </w:r>
          </w:p>
        </w:tc>
      </w:tr>
      <w:tr>
        <w:tc>
          <w:tcPr>
            <w:tcW w:type="dxa" w:w="2880"/>
          </w:tcPr>
          <w:p>
            <w:r>
              <w:t>Быстрое перемещение по оси Z</w:t>
            </w:r>
          </w:p>
        </w:tc>
        <w:tc>
          <w:tcPr>
            <w:tcW w:type="dxa" w:w="2880"/>
          </w:tcPr>
          <w:p>
            <w:r>
              <w:t>m/min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Быстрое перемещение по оси X</w:t>
            </w:r>
          </w:p>
        </w:tc>
        <w:tc>
          <w:tcPr>
            <w:tcW w:type="dxa" w:w="2880"/>
          </w:tcPr>
          <w:p>
            <w:r>
              <w:t>m/min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8640"/>
            <w:gridSpan w:val="3"/>
          </w:tcPr>
          <w:p>
            <w:r>
              <w:t>Система проверки</w:t>
            </w:r>
          </w:p>
        </w:tc>
      </w:tr>
      <w:tr>
        <w:tc>
          <w:tcPr>
            <w:tcW w:type="dxa" w:w="2880"/>
          </w:tcPr>
          <w:p>
            <w:r>
              <w:t>Макс. Точность позиционирования (X / Z); VDI 3441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Точность повторяемости (X / Z); VDI 3441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8640"/>
            <w:gridSpan w:val="3"/>
          </w:tcPr>
          <w:p>
            <w:r>
              <w:t>Инструменты</w:t>
            </w:r>
          </w:p>
        </w:tc>
      </w:tr>
      <w:tr>
        <w:tc>
          <w:tcPr>
            <w:tcW w:type="dxa" w:w="2880"/>
          </w:tcPr>
          <w:p>
            <w:r>
              <w:t>Револьверная головка</w:t>
            </w:r>
          </w:p>
        </w:tc>
        <w:tc>
          <w:tcPr>
            <w:tcW w:type="dxa" w:w="2880"/>
          </w:tcPr>
          <w:p>
            <w:r>
              <w:t>Поз.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Диаметр инструмента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Время индексации 30° с фиксацией</w:t>
            </w:r>
          </w:p>
        </w:tc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Время индексации 30° без блокировки</w:t>
            </w:r>
          </w:p>
        </w:tc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8640"/>
            <w:gridSpan w:val="3"/>
          </w:tcPr>
          <w:p>
            <w:r>
              <w:t>Электрические параметры</w:t>
            </w:r>
          </w:p>
        </w:tc>
      </w:tr>
      <w:tr>
        <w:tc>
          <w:tcPr>
            <w:tcW w:type="dxa" w:w="2880"/>
          </w:tcPr>
          <w:p>
            <w:r>
              <w:t>Электронапряжение</w:t>
            </w:r>
          </w:p>
        </w:tc>
        <w:tc>
          <w:tcPr>
            <w:tcW w:type="dxa" w:w="2880"/>
          </w:tcPr>
          <w:p>
            <w:r>
              <w:t>V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Частота</w:t>
            </w:r>
          </w:p>
        </w:tc>
        <w:tc>
          <w:tcPr>
            <w:tcW w:type="dxa" w:w="2880"/>
          </w:tcPr>
          <w:p>
            <w:r>
              <w:t>Hz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Макс.мощность монтажа</w:t>
            </w:r>
          </w:p>
        </w:tc>
        <w:tc>
          <w:tcPr>
            <w:tcW w:type="dxa" w:w="2880"/>
          </w:tcPr>
          <w:p>
            <w:r>
              <w:t>KVA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Предохранитель согласно VDE 0100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8640"/>
            <w:gridSpan w:val="3"/>
          </w:tcPr>
          <w:p>
            <w:r>
              <w:t>Бак-хранилище масляной охлаждающей жидкости</w:t>
            </w:r>
          </w:p>
        </w:tc>
      </w:tr>
      <w:tr>
        <w:tc>
          <w:tcPr>
            <w:tcW w:type="dxa" w:w="2880"/>
          </w:tcPr>
          <w:p>
            <w:r>
              <w:t>Объем бака охлаждающей жидкости</w:t>
            </w:r>
          </w:p>
        </w:tc>
        <w:tc>
          <w:tcPr>
            <w:tcW w:type="dxa" w:w="2880"/>
          </w:tcPr>
          <w:p>
            <w:r>
              <w:t>l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Производительность конвейера для стружки</w:t>
            </w:r>
          </w:p>
        </w:tc>
        <w:tc>
          <w:tcPr>
            <w:tcW w:type="dxa" w:w="2880"/>
          </w:tcPr>
          <w:p>
            <w:r>
              <w:t>l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Мощность насоса</w:t>
            </w:r>
          </w:p>
        </w:tc>
        <w:tc>
          <w:tcPr>
            <w:tcW w:type="dxa" w:w="2880"/>
          </w:tcPr>
          <w:p>
            <w:r>
              <w:t>Kw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Передача насоса бака-хранилища</w:t>
            </w:r>
          </w:p>
        </w:tc>
        <w:tc>
          <w:tcPr>
            <w:tcW w:type="dxa" w:w="2880"/>
          </w:tcPr>
          <w:p>
            <w:r>
              <w:t>l /min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8640"/>
            <w:gridSpan w:val="3"/>
          </w:tcPr>
          <w:p>
            <w:r>
              <w:t>Уровень шума</w:t>
            </w:r>
          </w:p>
        </w:tc>
      </w:tr>
      <w:tr>
        <w:tc>
          <w:tcPr>
            <w:tcW w:type="dxa" w:w="2880"/>
          </w:tcPr>
          <w:p>
            <w:r>
              <w:t>Уровень шума</w:t>
            </w:r>
          </w:p>
        </w:tc>
        <w:tc>
          <w:tcPr>
            <w:tcW w:type="dxa" w:w="2880"/>
          </w:tcPr>
          <w:p>
            <w:r>
              <w:t>dB (A)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Вес</w:t>
            </w:r>
          </w:p>
        </w:tc>
        <w:tc>
          <w:tcPr>
            <w:tcW w:type="dxa" w:w="2880"/>
          </w:tcPr>
          <w:p>
            <w:r>
              <w:t>kg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Давление воздуха + Расход воздуха</w:t>
            </w:r>
          </w:p>
        </w:tc>
        <w:tc>
          <w:tcPr>
            <w:tcW w:type="dxa" w:w="2880"/>
          </w:tcPr>
          <w:p>
            <w:r>
              <w:t>bar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Конус станины станка, материал</w:t>
            </w:r>
          </w:p>
        </w:tc>
        <w:tc>
          <w:tcPr>
            <w:tcW w:type="dxa" w:w="2880"/>
          </w:tcPr>
          <w:p>
            <w:r>
              <w:t>°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Размер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</w:tbl>
    <w:p>
      <w:pPr>
        <w:pStyle w:val="Heading2"/>
      </w:pPr>
      <w:r>
        <w:t>Стандартная комплектация</w:t>
      </w:r>
    </w:p>
    <w:p>
      <w:pPr>
        <w:pStyle w:val="ListBullet"/>
      </w:pPr>
      <w:r>
        <w:t>TECHNICAL PARAMETER,STANDARD CONFIGURATION,OPTIONS</w:t>
      </w:r>
    </w:p>
    <w:p>
      <w:pPr>
        <w:pStyle w:val="ListBullet"/>
      </w:pPr>
      <w:r>
        <w:t>Standard tool amo</w:t>
      </w:r>
    </w:p>
    <w:p>
      <w:pPr>
        <w:pStyle w:val="ListBullet"/>
      </w:pPr>
      <w:r>
        <w:t>nt  for ATC is</w:t>
      </w:r>
    </w:p>
    <w:p>
      <w:pPr>
        <w:pStyle w:val="ListBullet"/>
      </w:pPr>
      <w:r>
        <w:t>4(can choose 3</w:t>
      </w:r>
    </w:p>
    <w:p>
      <w:pPr>
        <w:pStyle w:val="ListBullet"/>
      </w:pPr>
      <w:r>
        <w:t>as option),it can</w:t>
      </w:r>
    </w:p>
    <w:p>
      <w:pPr>
        <w:pStyle w:val="ListBullet"/>
      </w:pPr>
      <w:r>
        <w:t>STANDARD CONFIGURATION标准配置 丨</w:t>
      </w:r>
    </w:p>
    <w:p>
      <w:pPr>
        <w:pStyle w:val="ListBullet"/>
      </w:pPr>
      <w:r>
        <w:t>STANDARD CONFIGURATION</w:t>
      </w:r>
    </w:p>
    <w:p>
      <w:pPr>
        <w:pStyle w:val="ListBullet"/>
      </w:pPr>
      <w:r>
        <w:t>Standardized machine delivery and after-sales service process</w:t>
      </w:r>
    </w:p>
    <w:p>
      <w:pPr>
        <w:pStyle w:val="Heading2"/>
      </w:pPr>
      <w:r>
        <w:t>Возможные опции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No.</w:t>
            </w:r>
          </w:p>
        </w:tc>
        <w:tc>
          <w:tcPr>
            <w:tcW w:type="dxa" w:w="2880"/>
          </w:tcPr>
          <w:p>
            <w:r>
              <w:t>Опции</w:t>
            </w:r>
          </w:p>
        </w:tc>
        <w:tc>
          <w:tcPr>
            <w:tcW w:type="dxa" w:w="2880"/>
          </w:tcPr>
          <w:p>
            <w:r>
              <w:t>Цена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TECHNICAL PARAMETER,STANDARD CONFIGURATION,OPTIONS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Standard tool amo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nt  for ATC is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4(can choose 3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as option),it can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OPTIONS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</w:tbl>
    <w:p>
      <w:pPr>
        <w:pStyle w:val="Heading2"/>
      </w:pPr>
      <w:r>
        <w:t>Прайс-лист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No.</w:t>
            </w:r>
          </w:p>
        </w:tc>
        <w:tc>
          <w:tcPr>
            <w:tcW w:type="dxa" w:w="1440"/>
          </w:tcPr>
          <w:p>
            <w:r>
              <w:t>Наименование</w:t>
            </w:r>
          </w:p>
        </w:tc>
        <w:tc>
          <w:tcPr>
            <w:tcW w:type="dxa" w:w="1440"/>
          </w:tcPr>
          <w:p>
            <w:r>
              <w:t>Цена за единицу  (юаней)</w:t>
            </w:r>
          </w:p>
        </w:tc>
        <w:tc>
          <w:tcPr>
            <w:tcW w:type="dxa" w:w="1440"/>
          </w:tcPr>
          <w:p>
            <w:r>
              <w:t>Кол.</w:t>
            </w:r>
          </w:p>
        </w:tc>
        <w:tc>
          <w:tcPr>
            <w:tcW w:type="dxa" w:w="1440"/>
          </w:tcPr>
          <w:p>
            <w:r>
              <w:t>Сумма</w:t>
            </w:r>
          </w:p>
        </w:tc>
        <w:tc>
          <w:tcPr>
            <w:tcW w:type="dxa" w:w="1440"/>
          </w:tcPr>
          <w:p>
            <w:r>
              <w:t>√/×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