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5FAD"/>
          <w:sz w:val="18"/>
          <w:szCs w:val="18"/>
        </w:rPr>
        <w:t xml:space="preserve">AI HACKATHON 2026  ·  DIU CPC × UPAY  ·  TRACK 05: MERCHANT &amp; AGENT INTELLIGENCE</w:t>
      </w:r>
    </w:p>
    <w:p>
      <w:pPr>
        <w:spacing w:after="120"/>
      </w:pPr>
      <w:r>
        <w:rPr>
          <w:rFonts w:ascii="Arial" w:cs="Arial" w:eastAsia="Arial" w:hAnsi="Arial"/>
          <w:b/>
          <w:bCs/>
          <w:color w:val="1A1A1A"/>
          <w:sz w:val="88"/>
          <w:szCs w:val="88"/>
        </w:rPr>
        <w:t xml:space="preserve">FloatWise</w:t>
      </w:r>
    </w:p>
    <w:p>
      <w:pPr>
        <w:spacing w:after="360"/>
      </w:pPr>
      <w:r>
        <w:rPr>
          <w:rFonts w:ascii="Arial" w:cs="Arial" w:eastAsia="Arial" w:hAnsi="Arial"/>
          <w:color w:val="33475B"/>
          <w:sz w:val="40"/>
          <w:szCs w:val="40"/>
        </w:rPr>
        <w:t xml:space="preserve">AI agent-liquidity forecaster for upay</w:t>
      </w:r>
    </w:p>
    <w:p>
      <w:pPr>
        <w:spacing w:after="120"/>
      </w:pPr>
      <w:r>
        <w:rPr>
          <w:color w:val="5A5A55"/>
          <w:sz w:val="24"/>
          <w:szCs w:val="24"/>
        </w:rPr>
        <w:t xml:space="preserve">Project report: the problem, the solution, the architecture, the technical workflow, the execution and the results.</w:t>
      </w:r>
    </w:p>
    <w:p>
      <w:pPr>
        <w:spacing w:after="60" w:before="1600"/>
      </w:pPr>
      <w:r>
        <w:rPr>
          <w:color w:val="5A5A55"/>
          <w:sz w:val="20"/>
          <w:szCs w:val="20"/>
        </w:rPr>
        <w:t xml:space="preserve">Model version </w:t>
      </w:r>
      <w:r>
        <w:rPr>
          <w:b/>
          <w:bCs/>
          <w:color w:val="5A5A55"/>
          <w:sz w:val="20"/>
          <w:szCs w:val="20"/>
        </w:rPr>
        <w:t xml:space="preserve">fw-c078f4bb</w:t>
      </w:r>
      <w:r>
        <w:rPr>
          <w:color w:val="5A5A55"/>
          <w:sz w:val="20"/>
          <w:szCs w:val="20"/>
        </w:rPr>
        <w:t xml:space="preserve">  ·  Test period 1 January – 30 June 2026  ·  Demo date 15 March 2026</w:t>
      </w:r>
    </w:p>
    <w:p>
      <w:pPr>
        <w:spacing w:after="60"/>
      </w:pPr>
      <w:r>
        <w:rPr>
          <w:color w:val="5A5A55"/>
          <w:sz w:val="20"/>
          <w:szCs w:val="20"/>
        </w:rPr>
        <w:t xml:space="preserve">Repository: </w:t>
      </w:r>
      <w:hyperlink w:history="1" r:id="rIdk2tzbmwa2utnuhzu30iix">
        <w:r>
          <w:rPr>
            <w:rStyle w:val="Hyperlink"/>
            <w:sz w:val="20"/>
            <w:szCs w:val="20"/>
          </w:rPr>
          <w:t xml:space="preserve">github.com/redwanhasan980/DIU_AI_Hackathon</w:t>
        </w:r>
      </w:hyperlink>
    </w:p>
    <w:p>
      <w:pPr>
        <w:spacing w:after="60"/>
      </w:pPr>
      <w:r>
        <w:rPr>
          <w:i/>
          <w:iCs/>
          <w:color w:val="5A5A55"/>
          <w:sz w:val="20"/>
          <w:szCs w:val="20"/>
        </w:rPr>
        <w:t xml:space="preserve">All data in this project is synthetic. Every number in this report is produced by code and read from </w:t>
      </w:r>
      <w:r>
        <w:rPr>
          <w:rFonts w:ascii="Consolas" w:cs="Consolas" w:eastAsia="Consolas" w:hAnsi="Consolas"/>
          <w:i/>
          <w:iCs/>
          <w:color w:val="5A5A55"/>
          <w:sz w:val="20"/>
          <w:szCs w:val="20"/>
        </w:rPr>
        <w:t xml:space="preserve">artifacts/*.json</w:t>
      </w:r>
      <w:r>
        <w:rPr>
          <w:i/>
          <w:iCs/>
          <w:color w:val="5A5A55"/>
          <w:sz w:val="20"/>
          <w:szCs w:val="20"/>
        </w:rPr>
        <w:t xml:space="preserve">.</w:t>
      </w:r>
    </w:p>
    <w:p>
      <w:r>
        <w:br w:type="page"/>
      </w:r>
    </w:p>
    <w:p>
      <w:pPr>
        <w:spacing w:after="240"/>
      </w:pPr>
      <w:r>
        <w:rPr>
          <w:rFonts w:ascii="Arial" w:cs="Arial" w:eastAsia="Arial" w:hAnsi="Arial"/>
          <w:b/>
          <w:bCs/>
          <w:color w:val="1F3B57"/>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88"/>
      </w:pPr>
      <w:r>
        <w:t xml:space="preserve">Mobile financial services (MFS) agents in Bangladesh run out of </w:t>
      </w:r>
      <w:r>
        <w:rPr>
          <w:b/>
          <w:bCs/>
        </w:rPr>
        <w:t xml:space="preserve">cash</w:t>
      </w:r>
      <w:r>
        <w:t xml:space="preserve"> (so they cannot pay cash-outs) or </w:t>
      </w:r>
      <w:r>
        <w:rPr>
          <w:b/>
          <w:bCs/>
        </w:rPr>
        <w:t xml:space="preserve">e-float</w:t>
      </w:r>
      <w:r>
        <w:t xml:space="preserve"> (so they cannot accept cash-ins) on exactly the days when customers need them most: before Eid, on garment salary days, during remittance surges and on government allowance (G2P) days. The customer hears “cash nai, pore ashen” (“no cash, come back later”). upay loses the fee, the agent loses commission and the customer may switch wallets.</w:t>
      </w:r>
    </w:p>
    <w:p>
      <w:pPr>
        <w:spacing w:after="120" w:line="288"/>
      </w:pPr>
      <w:r>
        <w:rPr>
          <w:b/>
          <w:bCs/>
        </w:rPr>
        <w:t xml:space="preserve">FloatWise</w:t>
      </w:r>
      <w:r>
        <w:t xml:space="preserve"> forecasts every agent's cash-out and cash-in for the next 7 days, turns the forecast into a stockout risk and an exact top-up amount, plans the field officers' (DSOs') visits within their limits, explains each recommendation in Bangla or English, and leaves every decision to a person. A six-month backtest against today's rule of thumb measures the impact.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−47.5%</w:t>
            </w:r>
          </w:p>
          <w:p>
            <w:r>
              <w:rPr>
                <w:color w:val="5A5A55"/>
                <w:sz w:val="18"/>
                <w:szCs w:val="18"/>
              </w:rPr>
              <w:t xml:space="preserve">stockout agent-days</w:t>
            </w:r>
          </w:p>
        </w:tc>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−53.7%</w:t>
            </w:r>
          </w:p>
          <w:p>
            <w:r>
              <w:rPr>
                <w:color w:val="5A5A55"/>
                <w:sz w:val="18"/>
                <w:szCs w:val="18"/>
              </w:rPr>
              <w:t xml:space="preserve">upay fee revenue lost</w:t>
            </w:r>
          </w:p>
        </w:tc>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−53%</w:t>
            </w:r>
          </w:p>
          <w:p>
            <w:r>
              <w:rPr>
                <w:color w:val="5A5A55"/>
                <w:sz w:val="18"/>
                <w:szCs w:val="18"/>
              </w:rPr>
              <w:t xml:space="preserve">forecast error vs same day last week</w:t>
            </w:r>
          </w:p>
        </w:tc>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Tk 9.3 Cr</w:t>
            </w:r>
          </w:p>
          <w:p>
            <w:r>
              <w:rPr>
                <w:color w:val="5A5A55"/>
                <w:sz w:val="18"/>
                <w:szCs w:val="18"/>
              </w:rPr>
              <w:t xml:space="preserve">upay fees recovered per month at network scale</w:t>
            </w:r>
          </w:p>
        </w:tc>
      </w:tr>
    </w:tbl>
    <w:p>
      <w:pPr>
        <w:spacing w:after="60"/>
      </w:pPr>
    </w:p>
    <w:p>
      <w:pPr>
        <w:pStyle w:val="Heading2"/>
      </w:pPr>
      <w:r>
        <w:t xml:space="preserve">Headline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026"/>
        <w:gridCol w:w="1700"/>
      </w:tblGrid>
      <w:tr>
        <w:trPr>
          <w:tblHeader/>
        </w:trPr>
        <w:tc>
          <w:tcPr>
            <w:tcW w:type="dxa" w:w="33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Result</w:t>
            </w:r>
          </w:p>
        </w:tc>
        <w:tc>
          <w:tcPr>
            <w:tcW w:type="dxa" w:w="40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Value</w:t>
            </w:r>
          </w:p>
        </w:tc>
        <w:tc>
          <w:tcPr>
            <w:tcW w:type="dxa" w:w="17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Source</w:t>
            </w:r>
          </w:p>
        </w:tc>
      </w:tr>
      <w:t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Stockout agent-days, 500 agents, Jan–Jun 2026</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6,973 → 3,664 (−47.5%)</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simulation_default.json</w:t>
            </w:r>
          </w:p>
        </w:tc>
      </w:tr>
      <w:tr>
        <w:tc>
          <w:tcPr>
            <w:tcW w:type="dxa" w:w="3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Failed cash-out value</w:t>
            </w:r>
          </w:p>
        </w:tc>
        <w:tc>
          <w:tcPr>
            <w:tcW w:type="dxa" w:w="40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Tk 52.2 crore → Tk 27.8 crore (−46.7%)</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simulation_default.json</w:t>
            </w:r>
          </w:p>
        </w:tc>
      </w:tr>
      <w:t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upay fee revenue lost</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33.81 lakh → Tk 15.64 lakh (−53.7%)</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simulation_default.json</w:t>
            </w:r>
          </w:p>
        </w:tc>
      </w:tr>
      <w:tr>
        <w:tc>
          <w:tcPr>
            <w:tcW w:type="dxa" w:w="3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Cost: average cash held / DSO trips</w:t>
            </w:r>
          </w:p>
        </w:tc>
        <w:tc>
          <w:tcPr>
            <w:tcW w:type="dxa" w:w="40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+2.3% / +4.1%</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simulation_default.json</w:t>
            </w:r>
          </w:p>
        </w:tc>
      </w:tr>
      <w:t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Cash-out forecast error (WAPE), overall</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18.7% vs 39.8% for same day last week</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metrics.json</w:t>
            </w:r>
          </w:p>
        </w:tc>
      </w:tr>
      <w:tr>
        <w:tc>
          <w:tcPr>
            <w:tcW w:type="dxa" w:w="3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Cash-out forecast error on Eid and event days</w:t>
            </w:r>
          </w:p>
        </w:tc>
        <w:tc>
          <w:tcPr>
            <w:tcW w:type="dxa" w:w="40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21.2% vs 58.9% (−64%)</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metrics.json</w:t>
            </w:r>
          </w:p>
        </w:tc>
      </w:tr>
      <w:t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At upay's ~1,54,000 agents, per month</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9.3 crore fee, Tk 6.4 crore commission, 1,68,938 stockout-days avoided, 2,69,962 customers kept</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simulation_default.json</w:t>
            </w:r>
          </w:p>
        </w:tc>
      </w:tr>
      <w:tr>
        <w:tc>
          <w:tcPr>
            <w:tcW w:type="dxa" w:w="3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Fairness</w:t>
            </w:r>
          </w:p>
        </w:tc>
        <w:tc>
          <w:tcPr>
            <w:tcW w:type="dxa" w:w="40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Every area type and both rural and urban improve on forecast and on stockouts</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fairness.json</w:t>
            </w:r>
          </w:p>
        </w:tc>
      </w:tr>
      <w:tr>
        <w:tc>
          <w:tcPr>
            <w:tcW w:type="dxa" w:w="3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Quality</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89 automated tests, 21-step browser walk-through, CI on Linux and Windows, deterministic rebuild</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repo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F3FA" w:sz="4"/>
              <w:left w:val="single" w:color="1F5FAD" w:sz="24"/>
              <w:bottom w:val="single" w:color="EEF3FA" w:sz="4"/>
              <w:right w:val="single" w:color="EEF3FA" w:sz="4"/>
            </w:tcBorders>
            <w:shd w:fill="EEF3FA" w:color="auto" w:val="clear"/>
            <w:tcMar>
              <w:top w:type="dxa" w:w="140"/>
              <w:left w:type="dxa" w:w="220"/>
              <w:bottom w:type="dxa" w:w="140"/>
              <w:right w:type="dxa" w:w="220"/>
            </w:tcMar>
          </w:tcPr>
          <w:p>
            <w:pPr>
              <w:spacing w:after="60" w:line="276"/>
            </w:pPr>
            <w:r>
              <w:rPr>
                <w:b/>
                <w:bCs/>
              </w:rPr>
              <w:t xml:space="preserve">Design principle.</w:t>
            </w:r>
            <w:r>
              <w:t xml:space="preserve"> Machine learning predicts demand. Deterministic, tested code decides amounts. The language model only explains, behind a numeric guardrail. A person approves every action; no money ever moves automatically.</w:t>
            </w:r>
          </w:p>
        </w:tc>
      </w:tr>
    </w:tbl>
    <w:p>
      <w:pPr>
        <w:pStyle w:val="Heading1"/>
        <w:pageBreakBefore/>
      </w:pPr>
      <w:r>
        <w:t xml:space="preserve">2. The problem</w:t>
      </w:r>
    </w:p>
    <w:p>
      <w:pPr>
        <w:pStyle w:val="Heading2"/>
      </w:pPr>
      <w:r>
        <w:t xml:space="preserve">2.1 Context</w:t>
      </w:r>
    </w:p>
    <w:p>
      <w:pPr>
        <w:spacing w:after="120" w:line="288"/>
      </w:pPr>
      <w:r>
        <w:t xml:space="preserve">upay serves customers through a network of roughly 1,54,000 retail agents (end of 2023). Each agent holds a fixed total float split between physical </w:t>
      </w:r>
      <w:r>
        <w:rPr>
          <w:b/>
          <w:bCs/>
        </w:rPr>
        <w:t xml:space="preserve">cash</w:t>
      </w:r>
      <w:r>
        <w:t xml:space="preserve"> in the drawer and </w:t>
      </w:r>
      <w:r>
        <w:rPr>
          <w:b/>
          <w:bCs/>
        </w:rPr>
        <w:t xml:space="preserve">e-float</w:t>
      </w:r>
      <w:r>
        <w:t xml:space="preserve"> in the agent wallet. A cash-out converts the agent's cash into e-float; a cash-in does the opposite. When either side reaches zero, one type of transaction stops.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Failure mode</w:t>
            </w:r>
          </w:p>
        </w:tc>
        <w:tc>
          <w:tcPr>
            <w:tcW w:type="dxa" w:w="3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What happens</w:t>
            </w:r>
          </w:p>
        </w:tc>
        <w:tc>
          <w:tcPr>
            <w:tcW w:type="dxa" w:w="36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Typical trigger</w:t>
            </w:r>
          </w:p>
        </w:tc>
      </w:tr>
      <w:tr>
        <w:tc>
          <w:tcPr>
            <w:tcW w:type="dxa" w:w="1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 stockout</w:t>
            </w:r>
          </w:p>
        </w:tc>
        <w:tc>
          <w:tcPr>
            <w:tcW w:type="dxa" w:w="3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cannot pay a cash-out; customer is turned away</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Pre-Eid remittance arrivals, garment salary days, G2P allowance days</w:t>
            </w:r>
          </w:p>
        </w:tc>
      </w:tr>
      <w:tr>
        <w:tc>
          <w:tcPr>
            <w:tcW w:type="dxa" w:w="1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E-float stockout</w:t>
            </w:r>
          </w:p>
        </w:tc>
        <w:tc>
          <w:tcPr>
            <w:tcW w:type="dxa" w:w="3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 cannot accept a cash-in; sender goes elsewhere</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Urban pre-Eid rush to send money home, market days</w:t>
            </w:r>
          </w:p>
        </w:tc>
      </w:tr>
    </w:tbl>
    <w:p>
      <w:pPr>
        <w:spacing w:after="60"/>
      </w:pPr>
    </w:p>
    <w:p>
      <w:pPr>
        <w:pStyle w:val="Heading2"/>
      </w:pPr>
      <w:r>
        <w:t xml:space="preserve">2.2 Who loses on a failed cash-out</w:t>
      </w:r>
    </w:p>
    <w:p>
      <w:pPr>
        <w:pStyle w:val="ListParagraph"/>
        <w:numPr>
          <w:ilvl w:val="0"/>
          <w:numId w:val="2"/>
        </w:numPr>
        <w:spacing w:after="60" w:line="276"/>
      </w:pPr>
      <w:r>
        <w:rPr>
          <w:b/>
          <w:bCs/>
        </w:rPr>
        <w:t xml:space="preserve">The customer</w:t>
      </w:r>
      <w:r>
        <w:t xml:space="preserve"> cannot withdraw salary or remittance on the day it is needed and may move to another wallet.</w:t>
      </w:r>
    </w:p>
    <w:p>
      <w:pPr>
        <w:pStyle w:val="ListParagraph"/>
        <w:numPr>
          <w:ilvl w:val="0"/>
          <w:numId w:val="2"/>
        </w:numPr>
        <w:spacing w:after="60" w:line="276"/>
      </w:pPr>
      <w:r>
        <w:rPr>
          <w:b/>
          <w:bCs/>
        </w:rPr>
        <w:t xml:space="preserve">The agent</w:t>
      </w:r>
      <w:r>
        <w:t xml:space="preserve"> loses the 0.41% commission on every failed cash-in and cash-out, on the busiest days of the year.</w:t>
      </w:r>
    </w:p>
    <w:p>
      <w:pPr>
        <w:pStyle w:val="ListParagraph"/>
        <w:numPr>
          <w:ilvl w:val="0"/>
          <w:numId w:val="2"/>
        </w:numPr>
        <w:spacing w:after="60" w:line="276"/>
      </w:pPr>
      <w:r>
        <w:rPr>
          <w:b/>
          <w:bCs/>
        </w:rPr>
        <w:t xml:space="preserve">upay</w:t>
      </w:r>
      <w:r>
        <w:t xml:space="preserve"> loses its cash-out fee (1.0–1.4% by wallet type) net of the 0.51% channel commission, and risks losing the customer.</w:t>
      </w:r>
    </w:p>
    <w:p>
      <w:pPr>
        <w:pStyle w:val="ListParagraph"/>
        <w:numPr>
          <w:ilvl w:val="0"/>
          <w:numId w:val="2"/>
        </w:numPr>
        <w:spacing w:after="60" w:line="276"/>
      </w:pPr>
      <w:r>
        <w:rPr>
          <w:b/>
          <w:bCs/>
        </w:rPr>
        <w:t xml:space="preserve">The distributor and DSO</w:t>
      </w:r>
      <w:r>
        <w:t xml:space="preserve"> lose 0.10% distributor commission and spend the day firefighting with unplanned trips.</w:t>
      </w:r>
    </w:p>
    <w:p>
      <w:pPr>
        <w:spacing w:after="120" w:line="288"/>
      </w:pPr>
      <w:r>
        <w:t xml:space="preserve">In the six-month backtest of 500 synthetic agents, today's rule of thumb failed </w:t>
      </w:r>
      <w:r>
        <w:rPr>
          <w:b/>
          <w:bCs/>
        </w:rPr>
        <w:t xml:space="preserve">2,15,101 cash-outs worth Tk 52.2 crore</w:t>
      </w:r>
      <w:r>
        <w:t xml:space="preserve">.</w:t>
      </w:r>
    </w:p>
    <w:p>
      <w:pPr>
        <w:pStyle w:val="Heading2"/>
      </w:pPr>
      <w:r>
        <w:t xml:space="preserve">2.3 How big and how seasonal</w:t>
      </w:r>
    </w:p>
    <w:p>
      <w:pPr>
        <w:spacing w:after="120" w:line="288"/>
      </w:pPr>
      <w:r>
        <w:t xml:space="preserve">Under today's rule, </w:t>
      </w:r>
      <w:r>
        <w:rPr>
          <w:b/>
          <w:bCs/>
        </w:rPr>
        <w:t xml:space="preserve">30%</w:t>
      </w:r>
      <w:r>
        <w:t xml:space="preserve"> of agent-days stock out in the week before Eid-ul-Fitr, against </w:t>
      </w:r>
      <w:r>
        <w:rPr>
          <w:b/>
          <w:bCs/>
        </w:rPr>
        <w:t xml:space="preserve">1.6%</w:t>
      </w:r>
      <w:r>
        <w:t xml:space="preserve"> on a normal day. The pain is concentrated in a few predictable windows, which is exactly what a forecaster can exploit.</w:t>
      </w:r>
    </w:p>
    <w:p>
      <w:pPr>
        <w:keepNext/>
        <w:spacing w:after="60" w:before="120"/>
        <w:jc w:val="center"/>
      </w:pPr>
      <w:r>
        <w:drawing>
          <wp:inline distT="0" distB="0" distL="0" distR="0">
            <wp:extent cx="4953000" cy="2314575"/>
            <wp:effectExtent t="0" r="0" b="0" l="0"/>
            <wp:docPr id="1" name="fig1" descr="Stockout rate under today's rule by type of day (synthetic network, full datas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14575"/>
                    </a:xfrm>
                    <a:prstGeom prst="rect">
                      <a:avLst/>
                    </a:prstGeom>
                  </pic:spPr>
                </pic:pic>
              </a:graphicData>
            </a:graphic>
          </wp:inline>
        </w:drawing>
      </w:r>
    </w:p>
    <w:p>
      <w:pPr>
        <w:spacing w:after="200"/>
        <w:jc w:val="center"/>
      </w:pPr>
      <w:r>
        <w:rPr>
          <w:b/>
          <w:bCs/>
          <w:color w:val="5A5A55"/>
          <w:sz w:val="18"/>
          <w:szCs w:val="18"/>
        </w:rPr>
        <w:t xml:space="preserve">Figure 1. </w:t>
      </w:r>
      <w:r>
        <w:rPr>
          <w:i/>
          <w:iCs/>
          <w:color w:val="5A5A55"/>
          <w:sz w:val="18"/>
          <w:szCs w:val="18"/>
        </w:rPr>
        <w:t xml:space="preserve">Stockout rate under today's rule by type of day (synthetic network, full dataset).</w:t>
      </w:r>
    </w:p>
    <w:p>
      <w:pPr>
        <w:pStyle w:val="Heading2"/>
      </w:pPr>
      <w:r>
        <w:t xml:space="preserve">2.4 Why today's rule of thumb fails</w:t>
      </w:r>
    </w:p>
    <w:p>
      <w:pPr>
        <w:spacing w:after="120" w:line="288"/>
      </w:pPr>
      <w:r>
        <w:t xml:space="preserve">Agents and DSOs top up to about 1.5× the last 7 days' average when the balance falls below 0.6× of that target. An average only sees the past. Eid moves about 11 days earlier every year, and salary and allowance days follow the calendar, not the average. For the demo agent the average keeps climbing during the pre-Eid rush and peaks on Eid day, after demand has already fallen by about three-quarters.</w:t>
      </w:r>
    </w:p>
    <w:p>
      <w:pPr>
        <w:keepNext/>
        <w:spacing w:after="60" w:before="120"/>
        <w:jc w:val="center"/>
      </w:pPr>
      <w:r>
        <w:drawing>
          <wp:inline distT="0" distB="0" distL="0" distR="0">
            <wp:extent cx="5715000" cy="2466975"/>
            <wp:effectExtent t="0" r="0" b="0" l="0"/>
            <wp:docPr id="1" name="fig2" descr="Demo agent AG00471: daily cash-out against the trailing 7-day average used by today's ru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66975"/>
                    </a:xfrm>
                    <a:prstGeom prst="rect">
                      <a:avLst/>
                    </a:prstGeom>
                  </pic:spPr>
                </pic:pic>
              </a:graphicData>
            </a:graphic>
          </wp:inline>
        </w:drawing>
      </w:r>
    </w:p>
    <w:p>
      <w:pPr>
        <w:spacing w:after="200"/>
        <w:jc w:val="center"/>
      </w:pPr>
      <w:r>
        <w:rPr>
          <w:b/>
          <w:bCs/>
          <w:color w:val="5A5A55"/>
          <w:sz w:val="18"/>
          <w:szCs w:val="18"/>
        </w:rPr>
        <w:t xml:space="preserve">Figure 2. </w:t>
      </w:r>
      <w:r>
        <w:rPr>
          <w:i/>
          <w:iCs/>
          <w:color w:val="5A5A55"/>
          <w:sz w:val="18"/>
          <w:szCs w:val="18"/>
        </w:rPr>
        <w:t xml:space="preserve">Demo agent AG00471: daily cash-out against the trailing 7-day average used by today's rule.</w:t>
      </w:r>
    </w:p>
    <w:p>
      <w:pPr>
        <w:pStyle w:val="Heading2"/>
      </w:pPr>
      <w:r>
        <w:t xml:space="preserve">2.5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F3FA" w:sz="4"/>
              <w:left w:val="single" w:color="1F5FAD" w:sz="24"/>
              <w:bottom w:val="single" w:color="EEF3FA" w:sz="4"/>
              <w:right w:val="single" w:color="EEF3FA" w:sz="4"/>
            </w:tcBorders>
            <w:shd w:fill="EEF3FA" w:color="auto" w:val="clear"/>
            <w:tcMar>
              <w:top w:type="dxa" w:w="140"/>
              <w:left w:type="dxa" w:w="220"/>
              <w:bottom w:type="dxa" w:w="140"/>
              <w:right w:type="dxa" w:w="220"/>
            </w:tcMar>
          </w:tcPr>
          <w:p>
            <w:pPr>
              <w:spacing w:after="60" w:line="276"/>
            </w:pPr>
            <w:r>
              <w:rPr>
                <w:b/>
                <w:bCs/>
              </w:rPr>
              <w:t xml:space="preserve">For</w:t>
            </w:r>
            <w:r>
              <w:t xml:space="preserve"> upay operations, distributors, DSOs and agents, </w:t>
            </w:r>
            <w:r>
              <w:rPr>
                <w:b/>
                <w:bCs/>
              </w:rPr>
              <w:t xml:space="preserve">who</w:t>
            </w:r>
            <w:r>
              <w:t xml:space="preserve"> cannot see tomorrow's cash and e-float needs, FloatWise </w:t>
            </w:r>
            <w:r>
              <w:rPr>
                <w:b/>
                <w:bCs/>
              </w:rPr>
              <w:t xml:space="preserve">is</w:t>
            </w:r>
            <w:r>
              <w:t xml:space="preserve"> an AI liquidity forecaster </w:t>
            </w:r>
            <w:r>
              <w:rPr>
                <w:b/>
                <w:bCs/>
              </w:rPr>
              <w:t xml:space="preserve">that</w:t>
            </w:r>
            <w:r>
              <w:t xml:space="preserve"> predicts each agent's 1–7-day demand, sizes the top-up and plans DSO visits, </w:t>
            </w:r>
            <w:r>
              <w:rPr>
                <w:b/>
                <w:bCs/>
              </w:rPr>
              <w:t xml:space="preserve">unlike</w:t>
            </w:r>
            <w:r>
              <w:t xml:space="preserve"> a backward-looking 7-day average, </w:t>
            </w:r>
            <w:r>
              <w:rPr>
                <w:b/>
                <w:bCs/>
              </w:rPr>
              <w:t xml:space="preserve">because</w:t>
            </w:r>
            <w:r>
              <w:t xml:space="preserve"> it learns the Bangladesh calendar (Eid, salary, remittance, allowance days) and reports its uncertainty.</w:t>
            </w:r>
          </w:p>
        </w:tc>
      </w:tr>
    </w:tbl>
    <w:p>
      <w:pPr>
        <w:pStyle w:val="Heading1"/>
        <w:pageBreakBefore/>
      </w:pPr>
      <w:r>
        <w:t xml:space="preserve">3. The solution</w:t>
      </w:r>
    </w:p>
    <w:p>
      <w:pPr>
        <w:pStyle w:val="Heading2"/>
      </w:pPr>
      <w:r>
        <w:t xml:space="preserve">3.1 What FloatWise does</w:t>
      </w:r>
    </w:p>
    <w:p>
      <w:pPr>
        <w:pStyle w:val="ListParagraph"/>
        <w:numPr>
          <w:ilvl w:val="0"/>
          <w:numId w:val="3"/>
        </w:numPr>
        <w:spacing w:after="60" w:line="276"/>
      </w:pPr>
      <w:r>
        <w:rPr>
          <w:b/>
          <w:bCs/>
        </w:rPr>
        <w:t xml:space="preserve">Forecast.</w:t>
      </w:r>
      <w:r>
        <w:t xml:space="preserve"> Every agent's cash-out and cash-in for the next 1–7 days as quantiles (P10, P50, P90).</w:t>
      </w:r>
    </w:p>
    <w:p>
      <w:pPr>
        <w:pStyle w:val="ListParagraph"/>
        <w:numPr>
          <w:ilvl w:val="0"/>
          <w:numId w:val="3"/>
        </w:numPr>
        <w:spacing w:after="60" w:line="276"/>
      </w:pPr>
      <w:r>
        <w:rPr>
          <w:b/>
          <w:bCs/>
        </w:rPr>
        <w:t xml:space="preserve">Assess risk.</w:t>
      </w:r>
      <w:r>
        <w:t xml:space="preserve"> Convert the forecast into the chance of running out of cash or e-float tomorrow and over the next 7 days.</w:t>
      </w:r>
    </w:p>
    <w:p>
      <w:pPr>
        <w:pStyle w:val="ListParagraph"/>
        <w:numPr>
          <w:ilvl w:val="0"/>
          <w:numId w:val="3"/>
        </w:numPr>
        <w:spacing w:after="60" w:line="276"/>
      </w:pPr>
      <w:r>
        <w:rPr>
          <w:b/>
          <w:bCs/>
        </w:rPr>
        <w:t xml:space="preserve">Recommend.</w:t>
      </w:r>
      <w:r>
        <w:t xml:space="preserve"> TOP_UP_CASH, TOP_UP_EFLOAT, NO_ACTION or NEEDS_EXTRA_FLOAT, with an exact amount rounded up to Tk 1,000 and reason codes.</w:t>
      </w:r>
    </w:p>
    <w:p>
      <w:pPr>
        <w:pStyle w:val="ListParagraph"/>
        <w:numPr>
          <w:ilvl w:val="0"/>
          <w:numId w:val="3"/>
        </w:numPr>
        <w:spacing w:after="60" w:line="276"/>
      </w:pPr>
      <w:r>
        <w:rPr>
          <w:b/>
          <w:bCs/>
        </w:rPr>
        <w:t xml:space="preserve">Plan.</w:t>
      </w:r>
      <w:r>
        <w:t xml:space="preserve"> Rank DSO visits by taka at risk within the visit limit (10) and the cash bag (Tk 10 lakh); unvisited agents get the advice in the app.</w:t>
      </w:r>
    </w:p>
    <w:p>
      <w:pPr>
        <w:pStyle w:val="ListParagraph"/>
        <w:numPr>
          <w:ilvl w:val="0"/>
          <w:numId w:val="3"/>
        </w:numPr>
        <w:spacing w:after="60" w:line="276"/>
      </w:pPr>
      <w:r>
        <w:rPr>
          <w:b/>
          <w:bCs/>
        </w:rPr>
        <w:t xml:space="preserve">Explain and approve.</w:t>
      </w:r>
      <w:r>
        <w:t xml:space="preserve"> SHAP drivers plus a Bangla or English explanation; a person approves, modifies or rejects.</w:t>
      </w:r>
    </w:p>
    <w:p>
      <w:pPr>
        <w:pStyle w:val="ListParagraph"/>
        <w:numPr>
          <w:ilvl w:val="0"/>
          <w:numId w:val="3"/>
        </w:numPr>
        <w:spacing w:after="60" w:line="276"/>
      </w:pPr>
      <w:r>
        <w:rPr>
          <w:b/>
          <w:bCs/>
        </w:rPr>
        <w:t xml:space="preserve">Prove.</w:t>
      </w:r>
      <w:r>
        <w:t xml:space="preserve"> Backtest FloatWise against today's rule on six months of true demand, including Eid-ul-Fitr and Eid-ul-Adha 2026.</w:t>
      </w:r>
    </w:p>
    <w:p>
      <w:pPr>
        <w:pStyle w:val="Heading2"/>
      </w:pPr>
      <w:r>
        <w:t xml:space="preserve">3.2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rPr>
          <w:tblHeader/>
        </w:trPr>
        <w:tc>
          <w:tcPr>
            <w:tcW w:type="dxa" w:w="25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Persona</w:t>
            </w:r>
          </w:p>
        </w:tc>
        <w:tc>
          <w:tcPr>
            <w:tcW w:type="dxa" w:w="40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Needs</w:t>
            </w:r>
          </w:p>
        </w:tc>
        <w:tc>
          <w:tcPr>
            <w:tcW w:type="dxa" w:w="25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FloatWise screen</w:t>
            </w:r>
          </w:p>
        </w:tc>
      </w:tr>
      <w:t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Operations lead (upay / distributor)</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Where is the network at risk, how much cash and e-float to move, is it working?</w:t>
            </w:r>
          </w:p>
        </w:tc>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Network map, Impact, Model &amp; fairness</w:t>
            </w:r>
          </w:p>
        </w:tc>
      </w:tr>
      <w:tr>
        <w:tc>
          <w:tcPr>
            <w:tcW w:type="dxa" w:w="2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 (field officer)</w:t>
            </w:r>
          </w:p>
        </w:tc>
        <w:tc>
          <w:tcPr>
            <w:tcW w:type="dxa" w:w="40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Which agents to visit today with a limited bag</w:t>
            </w:r>
          </w:p>
        </w:tc>
        <w:tc>
          <w:tcPr>
            <w:tcW w:type="dxa" w:w="2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 plan</w:t>
            </w:r>
          </w:p>
        </w:tc>
      </w:tr>
      <w:t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w:t>
            </w:r>
          </w:p>
        </w:tc>
        <w:tc>
          <w:tcPr>
            <w:tcW w:type="dxa" w:w="40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How much cash to keep tomorrow and why, in Bangla</w:t>
            </w:r>
          </w:p>
        </w:tc>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mobile card</w:t>
            </w:r>
          </w:p>
        </w:tc>
      </w:tr>
      <w:tr>
        <w:tc>
          <w:tcPr>
            <w:tcW w:type="dxa" w:w="2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Risk / compliance</w:t>
            </w:r>
          </w:p>
        </w:tc>
        <w:tc>
          <w:tcPr>
            <w:tcW w:type="dxa" w:w="40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Is it fair, explainable and human-controlled?</w:t>
            </w:r>
          </w:p>
        </w:tc>
        <w:tc>
          <w:tcPr>
            <w:tcW w:type="dxa" w:w="2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Model &amp; fairness, Decisions log</w:t>
            </w:r>
          </w:p>
        </w:tc>
      </w:tr>
    </w:tbl>
    <w:p>
      <w:pPr>
        <w:spacing w:after="60"/>
      </w:pPr>
    </w:p>
    <w:p>
      <w:pPr>
        <w:pStyle w:val="Heading2"/>
      </w:pPr>
      <w:r>
        <w:t xml:space="preserve">3.3 A day with FloatWise</w:t>
      </w:r>
    </w:p>
    <w:p>
      <w:pPr>
        <w:keepNext/>
        <w:spacing w:after="60" w:before="120"/>
        <w:jc w:val="center"/>
      </w:pPr>
      <w:r>
        <w:drawing>
          <wp:inline distT="0" distB="0" distL="0" distR="0">
            <wp:extent cx="5715000" cy="1581150"/>
            <wp:effectExtent t="0" r="0" b="0" l="0"/>
            <wp:docPr id="1" name="fig3" descr="The daily operating loop."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b/>
          <w:bCs/>
          <w:color w:val="5A5A55"/>
          <w:sz w:val="18"/>
          <w:szCs w:val="18"/>
        </w:rPr>
        <w:t xml:space="preserve">Figure 3. </w:t>
      </w:r>
      <w:r>
        <w:rPr>
          <w:i/>
          <w:iCs/>
          <w:color w:val="5A5A55"/>
          <w:sz w:val="18"/>
          <w:szCs w:val="18"/>
        </w:rPr>
        <w:t xml:space="preserve">The daily operating loop.</w:t>
      </w:r>
    </w:p>
    <w:p>
      <w:pPr>
        <w:pStyle w:val="Heading2"/>
      </w:pPr>
      <w:r>
        <w:t xml:space="preserve">3.4 Worked example: AG00471, five days before Eid</w:t>
      </w:r>
    </w:p>
    <w:p>
      <w:pPr>
        <w:spacing w:after="120" w:line="288"/>
      </w:pPr>
      <w:r>
        <w:t xml:space="preserve">Rahmania Bhandar (AG00471) is a rural remittance shop in Beanibazar, Sylhet. At close on 15 March 2026 it holds </w:t>
      </w:r>
      <w:r>
        <w:rPr>
          <w:b/>
          <w:bCs/>
        </w:rPr>
        <w:t xml:space="preserve">Tk 18,501</w:t>
      </w:r>
      <w:r>
        <w:t xml:space="preserve"> in cash. FloatWise forecasts </w:t>
      </w:r>
      <w:r>
        <w:rPr>
          <w:b/>
          <w:bCs/>
        </w:rPr>
        <w:t xml:space="preserve">Tk 2,60,567</w:t>
      </w:r>
      <w:r>
        <w:t xml:space="preserve"> of cash-out for 16 March (P10 Tk 2,14,385 – P90 Tk 3,03,469), a 100% chance of running out. It recommends </w:t>
      </w:r>
      <w:r>
        <w:rPr>
          <w:b/>
          <w:bCs/>
        </w:rPr>
        <w:t xml:space="preserve">TOP_UP_CASH Tk 2,66,000 before opening</w:t>
      </w:r>
      <w:r>
        <w:t xml:space="preserve">, limited by the agent's total float of Tk 2,88,000. The main SHAP drivers are days to Eid (+Tk 95,410) and Ramadan (+Tk 13,725). True demand fell inside the P10–P90 range on 6 of the 7 forecast days.</w:t>
      </w:r>
    </w:p>
    <w:p>
      <w:pPr>
        <w:keepNext/>
        <w:spacing w:after="60" w:before="120"/>
        <w:jc w:val="center"/>
      </w:pPr>
      <w:r>
        <w:drawing>
          <wp:inline distT="0" distB="0" distL="0" distR="0">
            <wp:extent cx="5715000" cy="2628900"/>
            <wp:effectExtent t="0" r="0" b="0" l="0"/>
            <wp:docPr id="1" name="fig4" descr="Forecast made on 15 March against what really happen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b/>
          <w:bCs/>
          <w:color w:val="5A5A55"/>
          <w:sz w:val="18"/>
          <w:szCs w:val="18"/>
        </w:rPr>
        <w:t xml:space="preserve">Figure 4. </w:t>
      </w:r>
      <w:r>
        <w:rPr>
          <w:i/>
          <w:iCs/>
          <w:color w:val="5A5A55"/>
          <w:sz w:val="18"/>
          <w:szCs w:val="18"/>
        </w:rPr>
        <w:t xml:space="preserve">Forecast made on 15 March against what really happened.</w:t>
      </w:r>
    </w:p>
    <w:p>
      <w:pPr>
        <w:pStyle w:val="Heading1"/>
        <w:pageBreakBefore/>
      </w:pPr>
      <w:r>
        <w:t xml:space="preserve">4. System architecture</w:t>
      </w:r>
    </w:p>
    <w:p>
      <w:pPr>
        <w:spacing w:after="120" w:line="288"/>
      </w:pPr>
      <w:r>
        <w:t xml:space="preserve">FloatWise is a layered Python backend with a React frontend. Lower layers never import higher ones, and all business rules live in one place (</w:t>
      </w:r>
      <w:r>
        <w:rPr>
          <w:rFonts w:ascii="Consolas" w:cs="Consolas" w:eastAsia="Consolas" w:hAnsi="Consolas"/>
          <w:color w:val="7A2E0E"/>
          <w:sz w:val="19"/>
          <w:szCs w:val="19"/>
        </w:rPr>
        <w:t xml:space="preserve">engine/</w:t>
      </w:r>
      <w:r>
        <w:t xml:space="preserve">).</w:t>
      </w:r>
    </w:p>
    <w:p>
      <w:pPr>
        <w:keepNext/>
        <w:spacing w:after="60" w:before="120"/>
        <w:jc w:val="center"/>
      </w:pPr>
      <w:r>
        <w:drawing>
          <wp:inline distT="0" distB="0" distL="0" distR="0">
            <wp:extent cx="5715000" cy="2762250"/>
            <wp:effectExtent t="0" r="0" b="0" l="0"/>
            <wp:docPr id="1" name="fig5" descr="Layers and data fl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b/>
          <w:bCs/>
          <w:color w:val="5A5A55"/>
          <w:sz w:val="18"/>
          <w:szCs w:val="18"/>
        </w:rPr>
        <w:t xml:space="preserve">Figure 5. </w:t>
      </w:r>
      <w:r>
        <w:rPr>
          <w:i/>
          <w:iCs/>
          <w:color w:val="5A5A55"/>
          <w:sz w:val="18"/>
          <w:szCs w:val="18"/>
        </w:rPr>
        <w:t xml:space="preserve">Layers and data flow.</w:t>
      </w:r>
    </w:p>
    <w:p>
      <w:pPr>
        <w:pStyle w:val="Heading2"/>
      </w:pPr>
      <w:r>
        <w:t xml:space="preserve">4.1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Layer</w:t>
            </w:r>
          </w:p>
        </w:tc>
        <w:tc>
          <w:tcPr>
            <w:tcW w:type="dxa" w:w="39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Responsibility</w:t>
            </w:r>
          </w:p>
        </w:tc>
        <w:tc>
          <w:tcPr>
            <w:tcW w:type="dxa" w:w="36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Key modules</w:t>
            </w:r>
          </w:p>
        </w:tc>
      </w:tr>
      <w:tr>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data/</w:t>
            </w:r>
          </w:p>
        </w:tc>
        <w:tc>
          <w:tcPr>
            <w:tcW w:type="dxa" w:w="3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Bangladesh calendar, 500 agents, true demand, shocks, censored ledger under today's rule</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calendar_bd.py, agents.py, demand.py, shocks.py, simulate_status_quo.py, generate.py</w:t>
            </w:r>
          </w:p>
        </w:tc>
      </w:tr>
      <w:tr>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features/</w:t>
            </w:r>
          </w:p>
        </w:tc>
        <w:tc>
          <w:tcPr>
            <w:tcW w:type="dxa" w:w="3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Origin × horizon panel with 40 leakage-safe features</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build.py</w:t>
            </w:r>
          </w:p>
        </w:tc>
      </w:tr>
      <w:tr>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models/</w:t>
            </w:r>
          </w:p>
        </w:tc>
        <w:tc>
          <w:tcPr>
            <w:tcW w:type="dxa" w:w="3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Baselines, LightGBM quantile training, evaluation, batch prediction</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baselines.py, train.py, evaluate.py, predict.py</w:t>
            </w:r>
          </w:p>
        </w:tc>
      </w:tr>
      <w:tr>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engine/</w:t>
            </w:r>
          </w:p>
        </w:tc>
        <w:tc>
          <w:tcPr>
            <w:tcW w:type="dxa" w:w="3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Stockout probability, recommendation, DSO allocation (all business rules)</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risk.py, recommend.py, allocate.py</w:t>
            </w:r>
          </w:p>
        </w:tc>
      </w:tr>
      <w:tr>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simulation/</w:t>
            </w:r>
          </w:p>
        </w:tc>
        <w:tc>
          <w:tcPr>
            <w:tcW w:type="dxa" w:w="3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Day-by-day backtest of status quo vs FloatWise on true demand</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backtest.py</w:t>
            </w:r>
          </w:p>
        </w:tc>
      </w:tr>
      <w:tr>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explain/</w:t>
            </w:r>
          </w:p>
        </w:tc>
        <w:tc>
          <w:tcPr>
            <w:tcW w:type="dxa" w:w="3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TreeSHAP drivers, Bangla/English templates, Claude narrative with guardrail</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shap_explain.py, templates.py, llm.py, labels.py</w:t>
            </w:r>
          </w:p>
        </w:tc>
      </w:tr>
      <w:tr>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api/</w:t>
            </w:r>
          </w:p>
        </w:tc>
        <w:tc>
          <w:tcPr>
            <w:tcW w:type="dxa" w:w="3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FastAPI service over precomputed artifacts; also serves the built web app</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main.py, store.py</w:t>
            </w:r>
          </w:p>
        </w:tc>
      </w:tr>
      <w:tr>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frontend/</w:t>
            </w:r>
          </w:p>
        </w:tc>
        <w:tc>
          <w:tcPr>
            <w:tcW w:type="dxa" w:w="3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React + TypeScript single-page app with offline fixtures</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pages/, components/, api/, i18n/, fixtures/</w:t>
            </w:r>
          </w:p>
        </w:tc>
      </w:tr>
    </w:tbl>
    <w:p>
      <w:pPr>
        <w:spacing w:after="60"/>
      </w:pPr>
    </w:p>
    <w:p>
      <w:pPr>
        <w:pStyle w:val="Heading2"/>
      </w:pPr>
      <w:r>
        <w:t xml:space="preserve">4.2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Area</w:t>
            </w:r>
          </w:p>
        </w:tc>
        <w:tc>
          <w:tcPr>
            <w:tcW w:type="dxa" w:w="66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Technology</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Language and runtime</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Python 3.11+, Node.js 20+</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Data and ML</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pandas 3.0, NumPy 2.4, PyArrow (Parquet), LightGBM 4.7 (quantile objective), scikit-learn 1.9</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Explainability and LLM</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LightGBM TreeSHAP (pred_contrib); Anthropic Claude SDK (model from LLM_MODEL env var)</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API</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FastAPI 0.142, pydantic 2.13, Uvicorn</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Frontend</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React 19, TypeScript 5.9 (strict), Vite 8, Tailwind CSS 4, Recharts 3, react-leaflet 5 with an offline Bangladesh outline</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Quality</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pytest (89 tests), ruff, tsc, eslint, Playwright browser walk-through, GitHub Actions (Linux + Windows)</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Tooling</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run.py cross-platform launcher, Makefile, config.yaml for every assumption</w:t>
            </w:r>
          </w:p>
        </w:tc>
      </w:tr>
    </w:tbl>
    <w:p>
      <w:pPr>
        <w:spacing w:after="60"/>
      </w:pPr>
    </w:p>
    <w:p>
      <w:pPr>
        <w:pStyle w:val="Heading2"/>
      </w:pPr>
      <w:r>
        <w:t xml:space="preserve">4.3 Data contracts</w:t>
      </w:r>
    </w:p>
    <w:p>
      <w:pPr>
        <w:spacing w:after="120" w:line="288"/>
      </w:pPr>
      <w:r>
        <w:t xml:space="preserve">The pydantic schemas in </w:t>
      </w:r>
      <w:r>
        <w:rPr>
          <w:rFonts w:ascii="Consolas" w:cs="Consolas" w:eastAsia="Consolas" w:hAnsi="Consolas"/>
          <w:color w:val="7A2E0E"/>
          <w:sz w:val="19"/>
          <w:szCs w:val="19"/>
        </w:rPr>
        <w:t xml:space="preserve">backend/floatwise/schemas.py</w:t>
      </w:r>
      <w:r>
        <w:t xml:space="preserve"> are mirrored one-to-one in </w:t>
      </w:r>
      <w:r>
        <w:rPr>
          <w:rFonts w:ascii="Consolas" w:cs="Consolas" w:eastAsia="Consolas" w:hAnsi="Consolas"/>
          <w:color w:val="7A2E0E"/>
          <w:sz w:val="19"/>
          <w:szCs w:val="19"/>
        </w:rPr>
        <w:t xml:space="preserve">frontend/src/api/types.ts</w:t>
      </w:r>
      <w:r>
        <w:t xml:space="preserve">. Any contract change updates the SRS, both schema files and the frontend fixtures in the same commit. Money is always an integer number of taka.</w:t>
      </w:r>
    </w:p>
    <w:p>
      <w:pPr>
        <w:pStyle w:val="Heading2"/>
      </w:pPr>
      <w:r>
        <w:t xml:space="preserve">4.4 Precomputation</w:t>
      </w:r>
    </w:p>
    <w:p>
      <w:pPr>
        <w:spacing w:after="120" w:line="288"/>
      </w:pPr>
      <w:r>
        <w:t xml:space="preserve">Forecasts for the test period are generated once into </w:t>
      </w:r>
      <w:r>
        <w:rPr>
          <w:rFonts w:ascii="Consolas" w:cs="Consolas" w:eastAsia="Consolas" w:hAnsi="Consolas"/>
          <w:color w:val="7A2E0E"/>
          <w:sz w:val="19"/>
          <w:szCs w:val="19"/>
        </w:rPr>
        <w:t xml:space="preserve">artifacts/forecasts.parquet</w:t>
      </w:r>
      <w:r>
        <w:t xml:space="preserve">. The API reads them, so every GET responds in under 300 ms and the demo runs without internet. The artifacts are deterministic: rebuilding from the same seed reproduces model </w:t>
      </w:r>
      <w:r>
        <w:rPr>
          <w:rFonts w:ascii="Consolas" w:cs="Consolas" w:eastAsia="Consolas" w:hAnsi="Consolas"/>
          <w:color w:val="7A2E0E"/>
          <w:sz w:val="19"/>
          <w:szCs w:val="19"/>
        </w:rPr>
        <w:t xml:space="preserve">fw-c078f4bb</w:t>
      </w:r>
      <w:r>
        <w:t xml:space="preserve"> and every number byte for byte.</w:t>
      </w:r>
    </w:p>
    <w:p>
      <w:pPr>
        <w:pStyle w:val="Heading1"/>
        <w:pageBreakBefore/>
      </w:pPr>
      <w:r>
        <w:t xml:space="preserve">5. Synthetic data</w:t>
      </w:r>
    </w:p>
    <w:p>
      <w:pPr>
        <w:spacing w:after="120" w:line="288"/>
      </w:pPr>
      <w:r>
        <w:t xml:space="preserve">No real customer, agent or transaction data is used. The generator is deterministic from a seed in </w:t>
      </w:r>
      <w:r>
        <w:rPr>
          <w:rFonts w:ascii="Consolas" w:cs="Consolas" w:eastAsia="Consolas" w:hAnsi="Consolas"/>
          <w:color w:val="7A2E0E"/>
          <w:sz w:val="19"/>
          <w:szCs w:val="19"/>
        </w:rPr>
        <w:t xml:space="preserve">config.yaml</w:t>
      </w:r>
      <w:r>
        <w:t xml:space="preserve">, and every assumption is documented in </w:t>
      </w:r>
      <w:r>
        <w:rPr>
          <w:rFonts w:ascii="Consolas" w:cs="Consolas" w:eastAsia="Consolas" w:hAnsi="Consolas"/>
          <w:color w:val="7A2E0E"/>
          <w:sz w:val="19"/>
          <w:szCs w:val="19"/>
        </w:rPr>
        <w:t xml:space="preserve">docs/DATA_ASSUMPTIONS.md</w:t>
      </w:r>
      <w:r>
        <w:t xml:space="preserve">.</w:t>
      </w:r>
    </w:p>
    <w:p>
      <w:pPr>
        <w:pStyle w:val="Heading2"/>
      </w:pPr>
      <w:r>
        <w:t xml:space="preserve">5.1 Scale and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Item</w:t>
            </w:r>
          </w:p>
        </w:tc>
        <w:tc>
          <w:tcPr>
            <w:tcW w:type="dxa" w:w="64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Value</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Period</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 January 2024 → 30 June 2026 (daily)</w:t>
            </w:r>
          </w:p>
        </w:tc>
      </w:tr>
      <w:tr>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Agents</w:t>
            </w:r>
          </w:p>
        </w:tc>
        <w:tc>
          <w:tcPr>
            <w:tcW w:type="dxa" w:w="64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500 across 15 districts, about 25 per DSO, 5 DSOs per distributor</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Train / validation / test</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 30 June 2025 / 1 July – 31 December 2025 / 1 January – 30 June 2026</w:t>
            </w:r>
          </w:p>
        </w:tc>
      </w:tr>
      <w:tr>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Eid-ul-Fitr</w:t>
            </w:r>
          </w:p>
        </w:tc>
        <w:tc>
          <w:tcPr>
            <w:tcW w:type="dxa" w:w="64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11 April 2024, 31 March 2025, 20 March 2026</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Eid-ul-Adha</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17 June 2024, 7 June 2025, 27 May 2026</w:t>
            </w:r>
          </w:p>
        </w:tc>
      </w:tr>
    </w:tbl>
    <w:p>
      <w:pPr>
        <w:spacing w:after="60"/>
      </w:pPr>
    </w:p>
    <w:p>
      <w:pPr>
        <w:pStyle w:val="Heading2"/>
      </w:pPr>
      <w:r>
        <w:t xml:space="preserve">5.2 Generation model</w:t>
      </w:r>
    </w:p>
    <w:p>
      <w:pPr>
        <w:spacing w:after="120" w:line="288"/>
      </w:pPr>
      <w:r>
        <w:t xml:space="preserve">True daily demand is a product of interpretable multipliers: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F7F5" w:sz="4"/>
              <w:left w:val="single" w:color="5A5A55" w:sz="24"/>
              <w:bottom w:val="single" w:color="F7F7F5" w:sz="4"/>
              <w:right w:val="single" w:color="F7F7F5" w:sz="4"/>
            </w:tcBorders>
            <w:shd w:fill="F7F7F5" w:color="auto" w:val="clear"/>
            <w:tcMar>
              <w:top w:type="dxa" w:w="140"/>
              <w:left w:type="dxa" w:w="220"/>
              <w:bottom w:type="dxa" w:w="140"/>
              <w:right w:type="dxa" w:w="220"/>
            </w:tcMar>
          </w:tcPr>
          <w:p>
            <w:pPr>
              <w:spacing w:after="60" w:line="276"/>
            </w:pPr>
            <w:r>
              <w:rPr>
                <w:rFonts w:ascii="Consolas" w:cs="Consolas" w:eastAsia="Consolas" w:hAnsi="Consolas"/>
                <w:color w:val="7A2E0E"/>
                <w:sz w:val="19"/>
                <w:szCs w:val="19"/>
              </w:rPr>
              <w:t xml:space="preserve">demand_CO(agent, d) = base[archetype] × size[agent] × weekday × salary(day index) × eid(days to/after Eid) × ramadan × boishakh × g2p × shock(district, d) × trend(d) × lognormal noise</w:t>
            </w:r>
          </w:p>
          <w:p>
            <w:pPr>
              <w:spacing w:after="60" w:line="276"/>
            </w:pPr>
            <w:r>
              <w:t xml:space="preserve">Cash-in follows the same pattern with its own multipliers. The ledger then plays today's rule of thumb against this demand; on stockout days the observed volume is </w:t>
            </w:r>
            <w:r>
              <w:rPr>
                <w:b/>
                <w:bCs/>
              </w:rPr>
              <w:t xml:space="preserve">censored</w:t>
            </w:r>
            <w:r>
              <w:t xml:space="preserve"> (lower than true demand), just as in real data.</w:t>
            </w:r>
          </w:p>
        </w:tc>
      </w:tr>
    </w:tbl>
    <w:p>
      <w:pPr>
        <w:spacing w:after="60"/>
      </w:pPr>
    </w:p>
    <w:p>
      <w:pPr>
        <w:pStyle w:val="Heading2"/>
      </w:pPr>
      <w:r>
        <w:t xml:space="preserve">5.3 Agent archetypes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326"/>
      </w:tblGrid>
      <w:tr>
        <w:trPr>
          <w:tblHeader/>
        </w:trPr>
        <w:tc>
          <w:tcPr>
            <w:tcW w:type="dxa" w:w="23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Archetype</w:t>
            </w:r>
          </w:p>
        </w:tc>
        <w:tc>
          <w:tcPr>
            <w:tcW w:type="dxa" w:w="17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Base cash-out / day</w:t>
            </w:r>
          </w:p>
        </w:tc>
        <w:tc>
          <w:tcPr>
            <w:tcW w:type="dxa" w:w="17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Base cash-in / day</w:t>
            </w:r>
          </w:p>
        </w:tc>
        <w:tc>
          <w:tcPr>
            <w:tcW w:type="dxa" w:w="33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Signature</w:t>
            </w:r>
          </w:p>
        </w:tc>
      </w:tr>
      <w:t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urban_residential (125)</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1,50,000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1,80,000</w:t>
            </w:r>
          </w:p>
        </w:tc>
        <w:tc>
          <w:tcPr>
            <w:tcW w:type="dxa" w:w="33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Cash-in spike before Eid → e-float stockouts</w:t>
            </w:r>
          </w:p>
        </w:tc>
      </w:tr>
      <w:tr>
        <w:tc>
          <w:tcPr>
            <w:tcW w:type="dxa" w:w="2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garment_belt (100)</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Tk 2,50,000</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Tk 1,00,000</w:t>
            </w:r>
          </w:p>
        </w:tc>
        <w:tc>
          <w:tcPr>
            <w:tcW w:type="dxa" w:w="33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Cash-out spike on salary days 1–10 and the Eid bonus</w:t>
            </w:r>
          </w:p>
        </w:tc>
      </w:tr>
      <w:t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rural_remittance (150)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80,000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40,000</w:t>
            </w:r>
          </w:p>
        </w:tc>
        <w:tc>
          <w:tcPr>
            <w:tcW w:type="dxa" w:w="33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Cash-out ×2–3 before Eid as remittance arrives; G2P days</w:t>
            </w:r>
          </w:p>
        </w:tc>
      </w:tr>
      <w:tr>
        <w:tc>
          <w:tcPr>
            <w:tcW w:type="dxa" w:w="2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market_hub (75)</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Tk 3,00,000</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Tk 3,00,000</w:t>
            </w:r>
          </w:p>
        </w:tc>
        <w:tc>
          <w:tcPr>
            <w:tcW w:type="dxa" w:w="33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High volume both ways; Boishakh and pre-Eid shopping</w:t>
            </w:r>
          </w:p>
        </w:tc>
      </w:tr>
      <w:t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university_area (50)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60,000</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Tk 50,000</w:t>
            </w:r>
          </w:p>
        </w:tc>
        <w:tc>
          <w:tcPr>
            <w:tcW w:type="dxa" w:w="33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Month-start cash-in from families; vacations</w:t>
            </w:r>
          </w:p>
        </w:tc>
      </w:tr>
    </w:tbl>
    <w:p>
      <w:pPr>
        <w:spacing w:after="60"/>
      </w:pPr>
    </w:p>
    <w:p>
      <w:pPr>
        <w:keepNext/>
        <w:spacing w:after="60" w:before="120"/>
        <w:jc w:val="center"/>
      </w:pPr>
      <w:r>
        <w:drawing>
          <wp:inline distT="0" distB="0" distL="0" distR="0">
            <wp:extent cx="4953000" cy="2314575"/>
            <wp:effectExtent t="0" r="0" b="0" l="0"/>
            <wp:docPr id="1" name="fig6" descr="Eid spike by area type in the generated dat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14575"/>
                    </a:xfrm>
                    <a:prstGeom prst="rect">
                      <a:avLst/>
                    </a:prstGeom>
                  </pic:spPr>
                </pic:pic>
              </a:graphicData>
            </a:graphic>
          </wp:inline>
        </w:drawing>
      </w:r>
    </w:p>
    <w:p>
      <w:pPr>
        <w:spacing w:after="200"/>
        <w:jc w:val="center"/>
      </w:pPr>
      <w:r>
        <w:rPr>
          <w:b/>
          <w:bCs/>
          <w:color w:val="5A5A55"/>
          <w:sz w:val="18"/>
          <w:szCs w:val="18"/>
        </w:rPr>
        <w:t xml:space="preserve">Figure 6. </w:t>
      </w:r>
      <w:r>
        <w:rPr>
          <w:i/>
          <w:iCs/>
          <w:color w:val="5A5A55"/>
          <w:sz w:val="18"/>
          <w:szCs w:val="18"/>
        </w:rPr>
        <w:t xml:space="preserve">Eid spike by area type in the generated data.</w:t>
      </w:r>
    </w:p>
    <w:p>
      <w:pPr>
        <w:keepNext/>
        <w:spacing w:after="60" w:before="120"/>
        <w:jc w:val="center"/>
      </w:pPr>
      <w:r>
        <w:drawing>
          <wp:inline distT="0" distB="0" distL="0" distR="0">
            <wp:extent cx="4572000" cy="2133600"/>
            <wp:effectExtent t="0" r="0" b="0" l="0"/>
            <wp:docPr id="1" name="fig7" descr="Salary-day cycle for garment-belt agen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133600"/>
                    </a:xfrm>
                    <a:prstGeom prst="rect">
                      <a:avLst/>
                    </a:prstGeom>
                  </pic:spPr>
                </pic:pic>
              </a:graphicData>
            </a:graphic>
          </wp:inline>
        </w:drawing>
      </w:r>
    </w:p>
    <w:p>
      <w:pPr>
        <w:spacing w:after="200"/>
        <w:jc w:val="center"/>
      </w:pPr>
      <w:r>
        <w:rPr>
          <w:b/>
          <w:bCs/>
          <w:color w:val="5A5A55"/>
          <w:sz w:val="18"/>
          <w:szCs w:val="18"/>
        </w:rPr>
        <w:t xml:space="preserve">Figure 7. </w:t>
      </w:r>
      <w:r>
        <w:rPr>
          <w:i/>
          <w:iCs/>
          <w:color w:val="5A5A55"/>
          <w:sz w:val="18"/>
          <w:szCs w:val="18"/>
        </w:rPr>
        <w:t xml:space="preserve">Salary-day cycle for garment-belt agents.</w:t>
      </w:r>
    </w:p>
    <w:p>
      <w:pPr>
        <w:pStyle w:val="Heading2"/>
      </w:pPr>
      <w:r>
        <w:t xml:space="preserve">5.4 Alignment with upay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upay reality (public)</w:t>
            </w:r>
          </w:p>
        </w:tc>
        <w:tc>
          <w:tcPr>
            <w:tcW w:type="dxa" w:w="4513"/>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In FloatWise</w:t>
            </w:r>
          </w:p>
        </w:tc>
      </w:tr>
      <w:tr>
        <w:tc>
          <w:tcPr>
            <w:tcW w:type="dxa" w:w="4513"/>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cash-out fee by wallet: primary 1.4%, salary 1.0%, remittance 1.0%, disbursement 0.7%</w:t>
            </w:r>
          </w:p>
        </w:tc>
        <w:tc>
          <w:tcPr>
            <w:tcW w:type="dxa" w:w="4513"/>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Fee per area type by wallet mix (garment → salary wallet, rural → remittance/G2P blend)</w:t>
            </w:r>
          </w:p>
        </w:tc>
      </w:tr>
      <w:tr>
        <w:tc>
          <w:tcPr>
            <w:tcW w:type="dxa" w:w="4513"/>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 commission 0.41%, distributor 0.10% per cash-in / cash-out</w:t>
            </w:r>
          </w:p>
        </w:tc>
        <w:tc>
          <w:tcPr>
            <w:tcW w:type="dxa" w:w="4513"/>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Commission lost on failed transactions; upay keeps fee − 0.51%</w:t>
            </w:r>
          </w:p>
        </w:tc>
      </w:tr>
      <w:tr>
        <w:tc>
          <w:tcPr>
            <w:tcW w:type="dxa" w:w="4513"/>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Salary disbursement, inward remittance, G2P allowances</w:t>
            </w:r>
          </w:p>
        </w:tc>
        <w:tc>
          <w:tcPr>
            <w:tcW w:type="dxa" w:w="4513"/>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Garment salary days, pre-Eid remittance surge, quarterly allowance days</w:t>
            </w:r>
          </w:p>
        </w:tc>
      </w:tr>
      <w:tr>
        <w:tc>
          <w:tcPr>
            <w:tcW w:type="dxa" w:w="4513"/>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Distributor → DSO → agent network, ~1,54,000 agents</w:t>
            </w:r>
          </w:p>
        </w:tc>
        <w:tc>
          <w:tcPr>
            <w:tcW w:type="dxa" w:w="4513"/>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500 agents, 15 districts; impact scaled to 1,54,000</w:t>
            </w:r>
          </w:p>
        </w:tc>
      </w:tr>
      <w:tr>
        <w:tc>
          <w:tcPr>
            <w:tcW w:type="dxa" w:w="4513"/>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Customer cash-out limit Tk 25,000 per transaction</w:t>
            </w:r>
          </w:p>
        </w:tc>
        <w:tc>
          <w:tcPr>
            <w:tcW w:type="dxa" w:w="4513"/>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Synthetic ticket sizes Tk 1,500–3,000</w:t>
            </w:r>
          </w:p>
        </w:tc>
      </w:tr>
    </w:tbl>
    <w:p>
      <w:pPr>
        <w:spacing w:after="60"/>
      </w:pPr>
    </w:p>
    <w:p>
      <w:pPr>
        <w:pStyle w:val="Heading2"/>
      </w:pPr>
      <w:r>
        <w:t xml:space="preserve">5.5 Data quality checks</w:t>
      </w:r>
    </w:p>
    <w:p>
      <w:pPr>
        <w:spacing w:after="120" w:line="288"/>
      </w:pPr>
      <w:r>
        <w:rPr>
          <w:rFonts w:ascii="Consolas" w:cs="Consolas" w:eastAsia="Consolas" w:hAnsi="Consolas"/>
          <w:color w:val="7A2E0E"/>
          <w:sz w:val="19"/>
          <w:szCs w:val="19"/>
        </w:rPr>
        <w:t xml:space="preserve">tests/test_data_quality.py</w:t>
      </w:r>
      <w:r>
        <w:t xml:space="preserve"> checks that the same seed gives identical files, that cash + e-float equals the agent's float every day, that no balance goes negative, that served volume never exceeds true demand, that stockouts concentrate on event days, and that the Eid, salary and G2P signatures appear where expected.</w:t>
      </w:r>
    </w:p>
    <w:p>
      <w:pPr>
        <w:pStyle w:val="Heading1"/>
        <w:pageBreakBefore/>
      </w:pPr>
      <w:r>
        <w:t xml:space="preserve">6. Forecasting model</w:t>
      </w:r>
    </w:p>
    <w:p>
      <w:pPr>
        <w:pStyle w:val="Heading2"/>
      </w:pPr>
      <w:r>
        <w:t xml:space="preserve">6.1 Targets and models</w:t>
      </w:r>
    </w:p>
    <w:p>
      <w:pPr>
        <w:pStyle w:val="ListParagraph"/>
        <w:numPr>
          <w:ilvl w:val="0"/>
          <w:numId w:val="2"/>
        </w:numPr>
        <w:spacing w:after="60" w:line="276"/>
      </w:pPr>
      <w:r>
        <w:t xml:space="preserve">Two targets (cash-out, cash-in) × three quantiles (P10, P50, P90) = six global </w:t>
      </w:r>
      <w:r>
        <w:rPr>
          <w:b/>
          <w:bCs/>
        </w:rPr>
        <w:t xml:space="preserve">LightGBM</w:t>
      </w:r>
      <w:r>
        <w:t xml:space="preserve"> models with the quantile objective.</w:t>
      </w:r>
    </w:p>
    <w:p>
      <w:pPr>
        <w:pStyle w:val="ListParagraph"/>
        <w:numPr>
          <w:ilvl w:val="0"/>
          <w:numId w:val="2"/>
        </w:numPr>
        <w:spacing w:after="60" w:line="276"/>
      </w:pPr>
      <w:r>
        <w:t xml:space="preserve">Direct multi-horizon: the horizon h = 1..7 is a feature, so one model covers the whole week.</w:t>
      </w:r>
    </w:p>
    <w:p>
      <w:pPr>
        <w:pStyle w:val="ListParagraph"/>
        <w:numPr>
          <w:ilvl w:val="0"/>
          <w:numId w:val="2"/>
        </w:numPr>
        <w:spacing w:after="60" w:line="276"/>
      </w:pPr>
      <w:r>
        <w:t xml:space="preserve">The target is the ratio of demand to the agent's trailing 28-day mean, so one model learns multipliers across agents of very different size.</w:t>
      </w:r>
    </w:p>
    <w:p>
      <w:pPr>
        <w:pStyle w:val="ListParagraph"/>
        <w:numPr>
          <w:ilvl w:val="0"/>
          <w:numId w:val="2"/>
        </w:numPr>
        <w:spacing w:after="60" w:line="276"/>
      </w:pPr>
      <w:r>
        <w:t xml:space="preserve">Crossing quantiles are re-ordered (rearrangement) so that P10 ≤ P50 ≤ P90 always holds.</w:t>
      </w:r>
    </w:p>
    <w:p>
      <w:pPr>
        <w:pStyle w:val="Heading2"/>
      </w:pPr>
      <w:r>
        <w:t xml:space="preserve">6.2 Features (known at the forecast origin)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Group</w:t>
            </w:r>
          </w:p>
        </w:tc>
        <w:tc>
          <w:tcPr>
            <w:tcW w:type="dxa" w:w="67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Features</w:t>
            </w:r>
          </w:p>
        </w:tc>
      </w:tr>
      <w:t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Horizon</w:t>
            </w:r>
          </w:p>
        </w:tc>
        <w:tc>
          <w:tcPr>
            <w:tcW w:type="dxa" w:w="67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w:t>
            </w:r>
          </w:p>
        </w:tc>
      </w:tr>
      <w:tr>
        <w:tc>
          <w:tcPr>
            <w:tcW w:type="dxa" w:w="2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Target-date calendar</w:t>
            </w:r>
          </w:p>
        </w:tc>
        <w:tc>
          <w:tcPr>
            <w:tcW w:type="dxa" w:w="67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weekday, Friday, days to Eid-ul-Fitr / Eid-ul-Adha, days after Eid, Ramadan, salary-day index and window, Boishakh, holiday, G2P day index</w:t>
            </w:r>
          </w:p>
        </w:tc>
      </w:tr>
      <w:t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Lags (≤ origin)</w:t>
            </w:r>
          </w:p>
        </w:tc>
        <w:tc>
          <w:tcPr>
            <w:tcW w:type="dxa" w:w="67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last value, lags 1/6/13, rolling mean/std 7/14/28, rolling max 28</w:t>
            </w:r>
          </w:p>
        </w:tc>
      </w:tr>
      <w:tr>
        <w:tc>
          <w:tcPr>
            <w:tcW w:type="dxa" w:w="2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Event memory</w:t>
            </w:r>
          </w:p>
        </w:tc>
        <w:tc>
          <w:tcPr>
            <w:tcW w:type="dxa" w:w="67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agent's multiplier around the previous Eid</w:t>
            </w:r>
          </w:p>
        </w:tc>
      </w:tr>
      <w:tr>
        <w:tc>
          <w:tcPr>
            <w:tcW w:type="dxa" w:w="23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static</w:t>
            </w:r>
          </w:p>
        </w:tc>
        <w:tc>
          <w:tcPr>
            <w:tcW w:type="dxa" w:w="67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archetype, float capacity, district, DSO density</w:t>
            </w:r>
          </w:p>
        </w:tc>
      </w:tr>
      <w:tr>
        <w:tc>
          <w:tcPr>
            <w:tcW w:type="dxa" w:w="23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Censoring</w:t>
            </w:r>
          </w:p>
        </w:tc>
        <w:tc>
          <w:tcPr>
            <w:tcW w:type="dxa" w:w="67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stockout count in the last 7 days</w:t>
            </w:r>
          </w:p>
        </w:tc>
      </w:tr>
    </w:tbl>
    <w:p>
      <w:pPr>
        <w:spacing w:after="60"/>
      </w:pPr>
    </w:p>
    <w:p>
      <w:pPr>
        <w:spacing w:after="120" w:line="288"/>
      </w:pPr>
      <w:r>
        <w:rPr>
          <w:b/>
          <w:bCs/>
        </w:rPr>
        <w:t xml:space="preserve">No leakage:</w:t>
      </w:r>
      <w:r>
        <w:t xml:space="preserve"> a feature for origin t may use data up to t only; calendar features of the target date are allowed because they are known in advance. </w:t>
      </w:r>
      <w:r>
        <w:rPr>
          <w:rFonts w:ascii="Consolas" w:cs="Consolas" w:eastAsia="Consolas" w:hAnsi="Consolas"/>
          <w:color w:val="7A2E0E"/>
          <w:sz w:val="19"/>
          <w:szCs w:val="19"/>
        </w:rPr>
        <w:t xml:space="preserve">tests/test_no_leakage.py</w:t>
      </w:r>
      <w:r>
        <w:t xml:space="preserve"> enforces this by perturbing future data and checking that features do not change.</w:t>
      </w:r>
    </w:p>
    <w:p>
      <w:pPr>
        <w:pStyle w:val="Heading2"/>
      </w:pPr>
      <w:r>
        <w:t xml:space="preserve">6.3 Baselines and acceptance</w:t>
      </w:r>
    </w:p>
    <w:p>
      <w:pPr>
        <w:spacing w:after="120" w:line="288"/>
      </w:pPr>
      <w:r>
        <w:t xml:space="preserve">Every model is compared with two baselines: </w:t>
      </w:r>
      <w:r>
        <w:rPr>
          <w:b/>
          <w:bCs/>
        </w:rPr>
        <w:t xml:space="preserve">same day last week</w:t>
      </w:r>
      <w:r>
        <w:t xml:space="preserve"> (seasonal naive) and the </w:t>
      </w:r>
      <w:r>
        <w:rPr>
          <w:b/>
          <w:bCs/>
        </w:rPr>
        <w:t xml:space="preserve">trailing 7-day mean</w:t>
      </w:r>
      <w:r>
        <w:t xml:space="preserve"> (today's rule). All four acceptance checks pass.</w:t>
      </w:r>
    </w:p>
    <w:p>
      <w:pPr>
        <w:keepNext/>
        <w:spacing w:after="60" w:before="120"/>
        <w:jc w:val="center"/>
      </w:pPr>
      <w:r>
        <w:drawing>
          <wp:inline distT="0" distB="0" distL="0" distR="0">
            <wp:extent cx="5715000" cy="2695575"/>
            <wp:effectExtent t="0" r="0" b="0" l="0"/>
            <wp:docPr id="1" name="fig8" descr="Cash-out WAPE on the test period, measured against true (uncensored) deman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b/>
          <w:bCs/>
          <w:color w:val="5A5A55"/>
          <w:sz w:val="18"/>
          <w:szCs w:val="18"/>
        </w:rPr>
        <w:t xml:space="preserve">Figure 8. </w:t>
      </w:r>
      <w:r>
        <w:rPr>
          <w:i/>
          <w:iCs/>
          <w:color w:val="5A5A55"/>
          <w:sz w:val="18"/>
          <w:szCs w:val="18"/>
        </w:rPr>
        <w:t xml:space="preserve">Cash-out WAPE on the test period, measured against true (uncensored)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26"/>
      </w:tblGrid>
      <w:tr>
        <w:trPr>
          <w:tblHeader/>
        </w:trPr>
        <w:tc>
          <w:tcPr>
            <w:tcW w:type="dxa" w:w="38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Acceptance check (SRS §6.4)</w:t>
            </w:r>
          </w:p>
        </w:tc>
        <w:tc>
          <w:tcPr>
            <w:tcW w:type="dxa" w:w="1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Target</w:t>
            </w:r>
          </w:p>
        </w:tc>
        <w:tc>
          <w:tcPr>
            <w:tcW w:type="dxa" w:w="36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Result</w:t>
            </w:r>
          </w:p>
        </w:tc>
      </w:tr>
      <w:tr>
        <w:tc>
          <w:tcPr>
            <w:tcW w:type="dxa" w:w="3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Overall improvement vs same day last week</w:t>
            </w:r>
          </w:p>
        </w:tc>
        <w:tc>
          <w:tcPr>
            <w:tcW w:type="dxa" w:w="1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 20%</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53% (18.7% vs 39.8%)</w:t>
            </w:r>
          </w:p>
        </w:tc>
      </w:tr>
      <w:tr>
        <w:tc>
          <w:tcPr>
            <w:tcW w:type="dxa" w:w="3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Event-day improvement</w:t>
            </w:r>
          </w:p>
        </w:tc>
        <w:tc>
          <w:tcPr>
            <w:tcW w:type="dxa" w:w="1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 35%</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64% (21.2% vs 58.9%)</w:t>
            </w:r>
          </w:p>
        </w:tc>
      </w:tr>
      <w:tr>
        <w:tc>
          <w:tcPr>
            <w:tcW w:type="dxa" w:w="3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P10–P90 coverage</w:t>
            </w:r>
          </w:p>
        </w:tc>
        <w:tc>
          <w:tcPr>
            <w:tcW w:type="dxa" w:w="1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72–88%</w:t>
            </w:r>
          </w:p>
        </w:tc>
        <w:tc>
          <w:tcPr>
            <w:tcW w:type="dxa" w:w="3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75% overall (60% on event days, reported as a limit)</w:t>
            </w:r>
          </w:p>
        </w:tc>
      </w:tr>
      <w:tr>
        <w:tc>
          <w:tcPr>
            <w:tcW w:type="dxa" w:w="3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No archetype worse than the baseline</w:t>
            </w:r>
          </w:p>
        </w:tc>
        <w:tc>
          <w:tcPr>
            <w:tcW w:type="dxa" w:w="1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all five</w:t>
            </w:r>
          </w:p>
        </w:tc>
        <w:tc>
          <w:tcPr>
            <w:tcW w:type="dxa" w:w="3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all five better</w:t>
            </w:r>
          </w:p>
        </w:tc>
      </w:tr>
    </w:tbl>
    <w:p>
      <w:pPr>
        <w:pStyle w:val="Heading1"/>
        <w:pageBreakBefore/>
      </w:pPr>
      <w:r>
        <w:t xml:space="preserve">7. Decision engine</w:t>
      </w:r>
    </w:p>
    <w:p>
      <w:pPr>
        <w:spacing w:after="120" w:line="288"/>
      </w:pPr>
      <w:r>
        <w:t xml:space="preserve">The engine is deterministic, unit-tested code. It turns quantile forecasts and balances into actions and amounts.</w:t>
      </w:r>
    </w:p>
    <w:p>
      <w:pPr>
        <w:pStyle w:val="Heading2"/>
      </w:pPr>
      <w:r>
        <w:t xml:space="preserve">7.1 Stockout probability</w:t>
      </w:r>
    </w:p>
    <w:p>
      <w:pPr>
        <w:spacing w:after="120" w:line="288"/>
      </w:pPr>
      <w:r>
        <w:t xml:space="preserve">A piecewise-linear distribution is built from P10, P50 and P90 with explicit tails. The effective opening cash is </w:t>
      </w:r>
      <w:r>
        <w:rPr>
          <w:rFonts w:ascii="Consolas" w:cs="Consolas" w:eastAsia="Consolas" w:hAnsi="Consolas"/>
          <w:color w:val="7A2E0E"/>
          <w:sz w:val="19"/>
          <w:szCs w:val="19"/>
        </w:rPr>
        <w:t xml:space="preserve">open_cash + α × CI_P50</w:t>
      </w:r>
      <w:r>
        <w:t xml:space="preserve"> (α = 0.5 for same-day inflows). Its position in the cash-out distribution gives </w:t>
      </w:r>
      <w:r>
        <w:rPr>
          <w:rFonts w:ascii="Consolas" w:cs="Consolas" w:eastAsia="Consolas" w:hAnsi="Consolas"/>
          <w:color w:val="7A2E0E"/>
          <w:sz w:val="19"/>
          <w:szCs w:val="19"/>
        </w:rPr>
        <w:t xml:space="preserve">p_cash_stockout</w:t>
      </w:r>
      <w:r>
        <w:t xml:space="preserve">; the e-float side is symmetric. Risk bands: high ≥ 0.5, medium ≥ θ, else low.</w:t>
      </w:r>
    </w:p>
    <w:p>
      <w:pPr>
        <w:pStyle w:val="Heading2"/>
      </w:pPr>
      <w:r>
        <w:t xml:space="preserve">7.2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F7F5" w:sz="4"/>
              <w:left w:val="single" w:color="5A5A55" w:sz="24"/>
              <w:bottom w:val="single" w:color="F7F7F5" w:sz="4"/>
              <w:right w:val="single" w:color="F7F7F5" w:sz="4"/>
            </w:tcBorders>
            <w:shd w:fill="F7F7F5" w:color="auto" w:val="clear"/>
            <w:tcMar>
              <w:top w:type="dxa" w:w="140"/>
              <w:left w:type="dxa" w:w="220"/>
              <w:bottom w:type="dxa" w:w="140"/>
              <w:right w:type="dxa" w:w="220"/>
            </w:tcMar>
          </w:tcPr>
          <w:p>
            <w:pPr>
              <w:spacing w:after="60" w:line="276"/>
            </w:pPr>
            <w:r>
              <w:rPr>
                <w:rFonts w:ascii="Consolas" w:cs="Consolas" w:eastAsia="Consolas" w:hAnsi="Consolas"/>
                <w:color w:val="7A2E0E"/>
                <w:sz w:val="19"/>
                <w:szCs w:val="19"/>
              </w:rPr>
              <w:t xml:space="preserve">target_cash(s) = ceil_1000( CO_q(s) − α·CI_P50 + Tk 5,000 buffer )</w:t>
            </w:r>
            <w:r>
              <w:t xml:space="preserve">, and symmetrically for e-float.</w:t>
            </w:r>
          </w:p>
          <w:p>
            <w:pPr>
              <w:spacing w:after="60" w:line="276"/>
            </w:pPr>
            <w:r>
              <w:t xml:space="preserve">If cash and e-float targets fit within the agent's total float: top up the risky side to its target.</w:t>
            </w:r>
          </w:p>
          <w:p>
            <w:pPr>
              <w:spacing w:after="60" w:line="276"/>
            </w:pPr>
            <w:r>
              <w:t xml:space="preserve">If they do not fit: apply the best pro-rata split of the float.</w:t>
            </w:r>
          </w:p>
          <w:p>
            <w:pPr>
              <w:spacing w:after="60" w:line="276"/>
            </w:pPr>
            <w:r>
              <w:t xml:space="preserve">If even the P90-level needs exceed the float: </w:t>
            </w:r>
            <w:r>
              <w:rPr>
                <w:b/>
                <w:bCs/>
              </w:rPr>
              <w:t xml:space="preserve">NEEDS_EXTRA_FLOAT</w:t>
            </w:r>
            <w:r>
              <w:t xml:space="preserve">, always escalated to a person.</w:t>
            </w:r>
          </w:p>
          <w:p>
            <w:pPr>
              <w:spacing w:after="60" w:line="276"/>
            </w:pPr>
            <w:r>
              <w:t xml:space="preserve">Otherwise: NO_ACTION. Defaults: service level s = 0.99 and risk threshold θ = 0.10, chosen on validation.</w:t>
            </w:r>
          </w:p>
        </w:tc>
      </w:tr>
    </w:tbl>
    <w:p>
      <w:pPr>
        <w:spacing w:after="60"/>
      </w:pPr>
    </w:p>
    <w:p>
      <w:pPr>
        <w:spacing w:after="120" w:line="288"/>
      </w:pPr>
      <w:r>
        <w:t xml:space="preserve">Each recommendation carries reason codes from the calendar and balances (for example </w:t>
      </w:r>
      <w:r>
        <w:rPr>
          <w:rFonts w:ascii="Consolas" w:cs="Consolas" w:eastAsia="Consolas" w:hAnsi="Consolas"/>
          <w:color w:val="7A2E0E"/>
          <w:sz w:val="19"/>
          <w:szCs w:val="19"/>
        </w:rPr>
        <w:t xml:space="preserve">EID_FITR_IN_5_DAYS</w:t>
      </w:r>
      <w:r>
        <w:t xml:space="preserve">, </w:t>
      </w:r>
      <w:r>
        <w:rPr>
          <w:rFonts w:ascii="Consolas" w:cs="Consolas" w:eastAsia="Consolas" w:hAnsi="Consolas"/>
          <w:color w:val="7A2E0E"/>
          <w:sz w:val="19"/>
          <w:szCs w:val="19"/>
        </w:rPr>
        <w:t xml:space="preserve">RAMADAN</w:t>
      </w:r>
      <w:r>
        <w:t xml:space="preserve">, </w:t>
      </w:r>
      <w:r>
        <w:rPr>
          <w:rFonts w:ascii="Consolas" w:cs="Consolas" w:eastAsia="Consolas" w:hAnsi="Consolas"/>
          <w:color w:val="7A2E0E"/>
          <w:sz w:val="19"/>
          <w:szCs w:val="19"/>
        </w:rPr>
        <w:t xml:space="preserve">SALARY_WINDOW</w:t>
      </w:r>
      <w:r>
        <w:t xml:space="preserve">, </w:t>
      </w:r>
      <w:r>
        <w:rPr>
          <w:rFonts w:ascii="Consolas" w:cs="Consolas" w:eastAsia="Consolas" w:hAnsi="Consolas"/>
          <w:color w:val="7A2E0E"/>
          <w:sz w:val="19"/>
          <w:szCs w:val="19"/>
        </w:rPr>
        <w:t xml:space="preserve">CASH_BELOW_NEED</w:t>
      </w:r>
      <w:r>
        <w:t xml:space="preserve">, </w:t>
      </w:r>
      <w:r>
        <w:rPr>
          <w:rFonts w:ascii="Consolas" w:cs="Consolas" w:eastAsia="Consolas" w:hAnsi="Consolas"/>
          <w:color w:val="7A2E0E"/>
          <w:sz w:val="19"/>
          <w:szCs w:val="19"/>
        </w:rPr>
        <w:t xml:space="preserve">RECENT_STOCKOUTS</w:t>
      </w:r>
      <w:r>
        <w:t xml:space="preserve">) and a 7-day outlook of risk and need.</w:t>
      </w:r>
    </w:p>
    <w:p>
      <w:pPr>
        <w:pStyle w:val="Heading2"/>
      </w:pPr>
      <w:r>
        <w:t xml:space="preserve">7.3 DSO allocation</w:t>
      </w:r>
    </w:p>
    <w:p>
      <w:pPr>
        <w:spacing w:after="120" w:line="288"/>
      </w:pPr>
      <w:r>
        <w:t xml:space="preserve">Candidates are a DSO's agents with a top-up action. Priority is the </w:t>
      </w:r>
      <w:r>
        <w:rPr>
          <w:b/>
          <w:bCs/>
        </w:rPr>
        <w:t xml:space="preserve">expected shortfall in taka</w:t>
      </w:r>
      <w:r>
        <w:t xml:space="preserve">, computed exactly from the forecast distribution. An exact knapsack optimiser picks the visits that cover the most taka at risk within 10 visits and a Tk 10 lakh cash bag; a greedy planner is kept for comparison. Agents not visited receive the advice in the app, and the backtest assumes 70% of them follow it.</w:t>
      </w:r>
    </w:p>
    <w:p>
      <w:pPr>
        <w:pStyle w:val="Heading2"/>
      </w:pPr>
      <w:r>
        <w:t xml:space="preserve">7.4 Business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Value</w:t>
            </w:r>
          </w:p>
        </w:tc>
        <w:tc>
          <w:tcPr>
            <w:tcW w:type="dxa" w:w="52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Setting</w:t>
            </w:r>
          </w:p>
        </w:tc>
      </w:tr>
      <w:tr>
        <w:tc>
          <w:tcPr>
            <w:tcW w:type="dxa" w:w="3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Cash-out fee</w:t>
            </w:r>
          </w:p>
        </w:tc>
        <w:tc>
          <w:tcPr>
            <w:tcW w:type="dxa" w:w="5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1.0–1.4% by area type (upay published tariffs by wallet)</w:t>
            </w:r>
          </w:p>
        </w:tc>
      </w:tr>
      <w:tr>
        <w:tc>
          <w:tcPr>
            <w:tcW w:type="dxa" w:w="3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Channel commission</w:t>
            </w:r>
          </w:p>
        </w:tc>
        <w:tc>
          <w:tcPr>
            <w:tcW w:type="dxa" w:w="5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 0.41% + distributor 0.10% = 0.51%</w:t>
            </w:r>
          </w:p>
        </w:tc>
      </w:tr>
      <w:tr>
        <w:tc>
          <w:tcPr>
            <w:tcW w:type="dxa" w:w="3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Customer churn after a failed cash-out</w:t>
            </w:r>
          </w:p>
        </w:tc>
        <w:tc>
          <w:tcPr>
            <w:tcW w:type="dxa" w:w="5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5% (assumption, labelled in the UI)</w:t>
            </w:r>
          </w:p>
        </w:tc>
      </w:tr>
      <w:tr>
        <w:tc>
          <w:tcPr>
            <w:tcW w:type="dxa" w:w="3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Opportunity cost of idle cash</w:t>
            </w:r>
          </w:p>
        </w:tc>
        <w:tc>
          <w:tcPr>
            <w:tcW w:type="dxa" w:w="5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10% a year (assumption)</w:t>
            </w:r>
          </w:p>
        </w:tc>
      </w:tr>
      <w:tr>
        <w:tc>
          <w:tcPr>
            <w:tcW w:type="dxa" w:w="3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Network scale-up</w:t>
            </w:r>
          </w:p>
        </w:tc>
        <w:tc>
          <w:tcPr>
            <w:tcW w:type="dxa" w:w="5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~1,54,000 upay agents</w:t>
            </w:r>
          </w:p>
        </w:tc>
      </w:tr>
    </w:tbl>
    <w:p>
      <w:pPr>
        <w:pStyle w:val="Heading1"/>
        <w:pageBreakBefore/>
      </w:pPr>
      <w:r>
        <w:t xml:space="preserve">8. Explainability and the language model</w:t>
      </w:r>
    </w:p>
    <w:p>
      <w:pPr>
        <w:pStyle w:val="ListParagraph"/>
        <w:numPr>
          <w:ilvl w:val="0"/>
          <w:numId w:val="2"/>
        </w:numPr>
        <w:spacing w:after="60" w:line="276"/>
      </w:pPr>
      <w:r>
        <w:rPr>
          <w:b/>
          <w:bCs/>
        </w:rPr>
        <w:t xml:space="preserve">Drivers:</w:t>
      </w:r>
      <w:r>
        <w:t xml:space="preserve"> LightGBM TreeSHAP contributions of the median model, converted to taka and shown as the top five drivers with plain labels in both languages.</w:t>
      </w:r>
    </w:p>
    <w:p>
      <w:pPr>
        <w:pStyle w:val="ListParagraph"/>
        <w:numPr>
          <w:ilvl w:val="0"/>
          <w:numId w:val="2"/>
        </w:numPr>
        <w:spacing w:after="60" w:line="276"/>
      </w:pPr>
      <w:r>
        <w:rPr>
          <w:b/>
          <w:bCs/>
        </w:rPr>
        <w:t xml:space="preserve">Narrative:</w:t>
      </w:r>
      <w:r>
        <w:t xml:space="preserve"> a deterministic Bangla or English template always exists. With an API key, Claude writes a friendlier explanation from structured JSON facts only (no free text from users).</w:t>
      </w:r>
    </w:p>
    <w:p>
      <w:pPr>
        <w:pStyle w:val="ListParagraph"/>
        <w:numPr>
          <w:ilvl w:val="0"/>
          <w:numId w:val="2"/>
        </w:numPr>
        <w:spacing w:after="60" w:line="276"/>
      </w:pPr>
      <w:r>
        <w:rPr>
          <w:b/>
          <w:bCs/>
        </w:rPr>
        <w:t xml:space="preserve">Numeric guardrail:</w:t>
      </w:r>
      <w:r>
        <w:t xml:space="preserve"> every number in the LLM's text must appear in the facts; otherwise, on refusal, timeout or error, the template is used. The explanation endpoint never fails.</w:t>
      </w:r>
    </w:p>
    <w:p>
      <w:pPr>
        <w:pStyle w:val="ListParagraph"/>
        <w:numPr>
          <w:ilvl w:val="0"/>
          <w:numId w:val="2"/>
        </w:numPr>
        <w:spacing w:after="60" w:line="276"/>
      </w:pPr>
      <w:r>
        <w:rPr>
          <w:b/>
          <w:bCs/>
        </w:rPr>
        <w:t xml:space="preserve">Caching:</w:t>
      </w:r>
      <w:r>
        <w:t xml:space="preserve"> narratives for the demo are pre-generated into </w:t>
      </w:r>
      <w:r>
        <w:rPr>
          <w:rFonts w:ascii="Consolas" w:cs="Consolas" w:eastAsia="Consolas" w:hAnsi="Consolas"/>
          <w:color w:val="7A2E0E"/>
          <w:sz w:val="19"/>
          <w:szCs w:val="19"/>
        </w:rPr>
        <w:t xml:space="preserve">artifacts/narratives_cache.json</w:t>
      </w:r>
      <w:r>
        <w:t xml:space="preserve">, so the demo works offline.</w:t>
      </w:r>
    </w:p>
    <w:p>
      <w:pPr>
        <w:pStyle w:val="ListParagraph"/>
        <w:numPr>
          <w:ilvl w:val="0"/>
          <w:numId w:val="2"/>
        </w:numPr>
        <w:spacing w:after="60" w:line="276"/>
      </w:pPr>
      <w:r>
        <w:rPr>
          <w:b/>
          <w:bCs/>
        </w:rPr>
        <w:t xml:space="preserve">Labelling:</w:t>
      </w:r>
      <w:r>
        <w:t xml:space="preserve"> the UI marks the text as AI-generated or template, and keeps predictions, assumptions and generated text visually distinct.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F3FA" w:sz="4"/>
              <w:left w:val="single" w:color="1F5FAD" w:sz="24"/>
              <w:bottom w:val="single" w:color="EEF3FA" w:sz="4"/>
              <w:right w:val="single" w:color="EEF3FA" w:sz="4"/>
            </w:tcBorders>
            <w:shd w:fill="EEF3FA" w:color="auto" w:val="clear"/>
            <w:tcMar>
              <w:top w:type="dxa" w:w="140"/>
              <w:left w:type="dxa" w:w="220"/>
              <w:bottom w:type="dxa" w:w="140"/>
              <w:right w:type="dxa" w:w="220"/>
            </w:tcMar>
          </w:tcPr>
          <w:p>
            <w:pPr>
              <w:spacing w:after="60" w:line="276"/>
            </w:pPr>
            <w:r>
              <w:rPr>
                <w:b/>
                <w:bCs/>
              </w:rPr>
              <w:t xml:space="preserve">The LLM never decides.</w:t>
            </w:r>
            <w:r>
              <w:t xml:space="preserve"> Amounts, risk and actions come only from </w:t>
            </w:r>
            <w:r>
              <w:rPr>
                <w:rFonts w:ascii="Consolas" w:cs="Consolas" w:eastAsia="Consolas" w:hAnsi="Consolas"/>
                <w:color w:val="7A2E0E"/>
                <w:sz w:val="19"/>
                <w:szCs w:val="19"/>
              </w:rPr>
              <w:t xml:space="preserve">engine/</w:t>
            </w:r>
            <w:r>
              <w:t xml:space="preserve">. The model explains them in the agent's language.</w:t>
            </w:r>
          </w:p>
        </w:tc>
      </w:tr>
    </w:tbl>
    <w:p>
      <w:pPr>
        <w:pStyle w:val="Heading1"/>
        <w:pageBreakBefore/>
      </w:pPr>
      <w:r>
        <w:t xml:space="preserve">9. API and user interface</w:t>
      </w:r>
    </w:p>
    <w:p>
      <w:pPr>
        <w:pStyle w:val="Heading2"/>
      </w:pPr>
      <w:r>
        <w:t xml:space="preserve">9.1 REST API (FastAPI, prefix /api/v1)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4926"/>
      </w:tblGrid>
      <w:tr>
        <w:trPr>
          <w:tblHeader/>
        </w:trPr>
        <w:tc>
          <w:tcPr>
            <w:tcW w:type="dxa" w:w="12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Method</w:t>
            </w:r>
          </w:p>
        </w:tc>
        <w:tc>
          <w:tcPr>
            <w:tcW w:type="dxa" w:w="29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Endpoint</w:t>
            </w:r>
          </w:p>
        </w:tc>
        <w:tc>
          <w:tcPr>
            <w:tcW w:type="dxa" w:w="49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Purpose</w:t>
            </w:r>
          </w:p>
        </w:tc>
      </w:tr>
      <w:tr>
        <w:tc>
          <w:tcPr>
            <w:tcW w:type="dxa" w:w="1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/health</w:t>
            </w:r>
          </w:p>
        </w:tc>
        <w:tc>
          <w:tcPr>
            <w:tcW w:type="dxa" w:w="49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Status, model version, data range, demo date, LLM availability</w:t>
            </w:r>
          </w:p>
        </w:tc>
      </w:tr>
      <w:tr>
        <w:tc>
          <w:tcPr>
            <w:tcW w:type="dxa" w:w="1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/agents, /agents/{id}</w:t>
            </w:r>
          </w:p>
        </w:tc>
        <w:tc>
          <w:tcPr>
            <w:tcW w:type="dxa" w:w="49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 list with risk and action; profile, balances and 28-day history</w:t>
            </w:r>
          </w:p>
        </w:tc>
      </w:tr>
      <w:tr>
        <w:tc>
          <w:tcPr>
            <w:tcW w:type="dxa" w:w="1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/agents/{id}/forecast</w:t>
            </w:r>
          </w:p>
        </w:tc>
        <w:tc>
          <w:tcPr>
            <w:tcW w:type="dxa" w:w="49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7-day cash-out / cash-in quantiles with actuals when available</w:t>
            </w:r>
          </w:p>
        </w:tc>
      </w:tr>
      <w:tr>
        <w:tc>
          <w:tcPr>
            <w:tcW w:type="dxa" w:w="1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/agents/{id}/recommendation</w:t>
            </w:r>
          </w:p>
        </w:tc>
        <w:tc>
          <w:tcPr>
            <w:tcW w:type="dxa" w:w="49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Action, amount, probabilities, reason codes, 7-day outlook</w:t>
            </w:r>
          </w:p>
        </w:tc>
      </w:tr>
      <w:tr>
        <w:tc>
          <w:tcPr>
            <w:tcW w:type="dxa" w:w="1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/agents/{id}/explanation</w:t>
            </w:r>
          </w:p>
        </w:tc>
        <w:tc>
          <w:tcPr>
            <w:tcW w:type="dxa" w:w="49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SHAP drivers and Bangla/English narrative</w:t>
            </w:r>
          </w:p>
        </w:tc>
      </w:tr>
      <w:tr>
        <w:tc>
          <w:tcPr>
            <w:tcW w:type="dxa" w:w="1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/dsos, /dso/{id}/plan</w:t>
            </w:r>
          </w:p>
        </w:tc>
        <w:tc>
          <w:tcPr>
            <w:tcW w:type="dxa" w:w="49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 list; visit plan under max_visits and max_cash</w:t>
            </w:r>
          </w:p>
        </w:tc>
      </w:tr>
      <w:tr>
        <w:tc>
          <w:tcPr>
            <w:tcW w:type="dxa" w:w="1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/network/summary</w:t>
            </w:r>
          </w:p>
        </w:tc>
        <w:tc>
          <w:tcPr>
            <w:tcW w:type="dxa" w:w="49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Risk bands, actions, districts, upcoming events</w:t>
            </w:r>
          </w:p>
        </w:tc>
      </w:tr>
      <w:tr>
        <w:tc>
          <w:tcPr>
            <w:tcW w:type="dxa" w:w="1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POST</w:t>
            </w:r>
          </w:p>
        </w:tc>
        <w:tc>
          <w:tcPr>
            <w:tcW w:type="dxa" w:w="2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/simulate</w:t>
            </w:r>
          </w:p>
        </w:tc>
        <w:tc>
          <w:tcPr>
            <w:tcW w:type="dxa" w:w="49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Backtest with custom policy parameters</w:t>
            </w:r>
          </w:p>
        </w:tc>
      </w:tr>
      <w:tr>
        <w:tc>
          <w:tcPr>
            <w:tcW w:type="dxa" w:w="1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GET</w:t>
            </w:r>
          </w:p>
        </w:tc>
        <w:tc>
          <w:tcPr>
            <w:tcW w:type="dxa" w:w="2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/metrics/model, /calendar</w:t>
            </w:r>
          </w:p>
        </w:tc>
        <w:tc>
          <w:tcPr>
            <w:tcW w:type="dxa" w:w="49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Evaluation, fairness, tuning, assumptions; events</w:t>
            </w:r>
          </w:p>
        </w:tc>
      </w:tr>
      <w:tr>
        <w:tc>
          <w:tcPr>
            <w:tcW w:type="dxa" w:w="1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POST / GET</w:t>
            </w:r>
          </w:p>
        </w:tc>
        <w:tc>
          <w:tcPr>
            <w:tcW w:type="dxa" w:w="2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/decisions, /decisions/summary</w:t>
            </w:r>
          </w:p>
        </w:tc>
        <w:tc>
          <w:tcPr>
            <w:tcW w:type="dxa" w:w="49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Approve / modify / reject log and feedback summary</w:t>
            </w:r>
          </w:p>
        </w:tc>
      </w:tr>
    </w:tbl>
    <w:p>
      <w:pPr>
        <w:spacing w:after="60"/>
      </w:pPr>
    </w:p>
    <w:p>
      <w:pPr>
        <w:spacing w:after="120" w:line="288"/>
      </w:pPr>
      <w:r>
        <w:t xml:space="preserve">Inputs are validated with pydantic, errors use one standard JSON format without stack traces, and CORS is restricted to the frontend origin.</w:t>
      </w:r>
    </w:p>
    <w:p>
      <w:pPr>
        <w:pStyle w:val="Heading2"/>
      </w:pPr>
      <w:r>
        <w:t xml:space="preserve">9.2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Screen</w:t>
            </w:r>
          </w:p>
        </w:tc>
        <w:tc>
          <w:tcPr>
            <w:tcW w:type="dxa" w:w="68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What it shows</w:t>
            </w:r>
          </w:p>
        </w:tc>
      </w:tr>
      <w:t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Network</w:t>
            </w:r>
          </w:p>
        </w:tc>
        <w:tc>
          <w:tcPr>
            <w:tcW w:type="dxa" w:w="6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Eid banner, KPI tiles, risk map of 500 agents, districts by risk</w:t>
            </w:r>
          </w:p>
        </w:tc>
      </w:tr>
      <w:tr>
        <w:tc>
          <w:tcPr>
            <w:tcW w:type="dxa" w:w="2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Risk list</w:t>
            </w:r>
          </w:p>
        </w:tc>
        <w:tc>
          <w:tcPr>
            <w:tcW w:type="dxa" w:w="6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Filterable list of agents by district, area type and risk</w:t>
            </w:r>
          </w:p>
        </w:tc>
      </w:tr>
      <w:t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detail</w:t>
            </w:r>
          </w:p>
        </w:tc>
        <w:tc>
          <w:tcPr>
            <w:tcW w:type="dxa" w:w="6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Recommendation, 7-day outlook, forecast vs true demand, drivers, explanation, approve/modify/reject</w:t>
            </w:r>
          </w:p>
        </w:tc>
      </w:tr>
      <w:tr>
        <w:tc>
          <w:tcPr>
            <w:tcW w:type="dxa" w:w="2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 plan</w:t>
            </w:r>
          </w:p>
        </w:tc>
        <w:tc>
          <w:tcPr>
            <w:tcW w:type="dxa" w:w="6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Visits ranked by taka at risk within the bag; excluded agents and why</w:t>
            </w:r>
          </w:p>
        </w:tc>
      </w:tr>
      <w:t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Impact</w:t>
            </w:r>
          </w:p>
        </w:tc>
        <w:tc>
          <w:tcPr>
            <w:tcW w:type="dxa" w:w="6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Backtest, upay fee revenue, network scale-up, live re-run with the service-level slider</w:t>
            </w:r>
          </w:p>
        </w:tc>
      </w:tr>
      <w:tr>
        <w:tc>
          <w:tcPr>
            <w:tcW w:type="dxa" w:w="2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Model &amp; fairness</w:t>
            </w:r>
          </w:p>
        </w:tc>
        <w:tc>
          <w:tcPr>
            <w:tcW w:type="dxa" w:w="6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Acceptance checks, error by slice, fairness table, policy tuning, assumptions</w:t>
            </w:r>
          </w:p>
        </w:tc>
      </w:tr>
      <w:tr>
        <w:tc>
          <w:tcPr>
            <w:tcW w:type="dxa" w:w="2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Decisions</w:t>
            </w:r>
          </w:p>
        </w:tc>
        <w:tc>
          <w:tcPr>
            <w:tcW w:type="dxa" w:w="6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Decision log and feedback summary</w:t>
            </w:r>
          </w:p>
        </w:tc>
      </w:tr>
      <w:tr>
        <w:tc>
          <w:tcPr>
            <w:tcW w:type="dxa" w:w="2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Agent mobile card</w:t>
            </w:r>
          </w:p>
        </w:tc>
        <w:tc>
          <w:tcPr>
            <w:tcW w:type="dxa" w:w="6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One clear Bangla action for the agent</w:t>
            </w:r>
          </w:p>
        </w:tc>
      </w:tr>
    </w:tbl>
    <w:p>
      <w:pPr>
        <w:spacing w:after="60"/>
      </w:pPr>
    </w:p>
    <w:p>
      <w:pPr>
        <w:keepNext/>
        <w:spacing w:after="60" w:before="120"/>
        <w:jc w:val="center"/>
      </w:pPr>
      <w:r>
        <w:drawing>
          <wp:inline distT="0" distB="0" distL="0" distR="0">
            <wp:extent cx="5334000" cy="3752850"/>
            <wp:effectExtent t="0" r="0" b="0" l="0"/>
            <wp:docPr id="1" name="fig9" descr="Network screen on 15 March 2026."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b/>
          <w:bCs/>
          <w:color w:val="5A5A55"/>
          <w:sz w:val="18"/>
          <w:szCs w:val="18"/>
        </w:rPr>
        <w:t xml:space="preserve">Figure 9. </w:t>
      </w:r>
      <w:r>
        <w:rPr>
          <w:i/>
          <w:iCs/>
          <w:color w:val="5A5A55"/>
          <w:sz w:val="18"/>
          <w:szCs w:val="18"/>
        </w:rPr>
        <w:t xml:space="preserve">Network screen on 15 March 2026.</w:t>
      </w:r>
    </w:p>
    <w:p>
      <w:pPr>
        <w:keepNext/>
        <w:spacing w:after="60" w:before="120"/>
        <w:jc w:val="center"/>
      </w:pPr>
      <w:r>
        <w:drawing>
          <wp:inline distT="0" distB="0" distL="0" distR="0">
            <wp:extent cx="5334000" cy="3000375"/>
            <wp:effectExtent t="0" r="0" b="0" l="0"/>
            <wp:docPr id="1" name="fig10" descr="Agent detail in Bangla (dark mod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b/>
          <w:bCs/>
          <w:color w:val="5A5A55"/>
          <w:sz w:val="18"/>
          <w:szCs w:val="18"/>
        </w:rPr>
        <w:t xml:space="preserve">Figure 10. </w:t>
      </w:r>
      <w:r>
        <w:rPr>
          <w:i/>
          <w:iCs/>
          <w:color w:val="5A5A55"/>
          <w:sz w:val="18"/>
          <w:szCs w:val="18"/>
        </w:rPr>
        <w:t xml:space="preserve">Agent detail in Bangla (dark mode).</w:t>
      </w:r>
    </w:p>
    <w:p>
      <w:pPr>
        <w:keepNext/>
        <w:spacing w:after="60" w:before="120"/>
        <w:jc w:val="center"/>
      </w:pPr>
      <w:r>
        <w:drawing>
          <wp:inline distT="0" distB="0" distL="0" distR="0">
            <wp:extent cx="5334000" cy="3752850"/>
            <wp:effectExtent t="0" r="0" b="0" l="0"/>
            <wp:docPr id="1" name="fig11" descr="DSO plan within the visit and cash-bag limi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b/>
          <w:bCs/>
          <w:color w:val="5A5A55"/>
          <w:sz w:val="18"/>
          <w:szCs w:val="18"/>
        </w:rPr>
        <w:t xml:space="preserve">Figure 11. </w:t>
      </w:r>
      <w:r>
        <w:rPr>
          <w:i/>
          <w:iCs/>
          <w:color w:val="5A5A55"/>
          <w:sz w:val="18"/>
          <w:szCs w:val="18"/>
        </w:rPr>
        <w:t xml:space="preserve">DSO plan within the visit and cash-bag limits.</w:t>
      </w:r>
    </w:p>
    <w:p>
      <w:pPr>
        <w:keepNext/>
        <w:spacing w:after="60" w:before="120"/>
        <w:jc w:val="center"/>
      </w:pPr>
      <w:r>
        <w:drawing>
          <wp:inline distT="0" distB="0" distL="0" distR="0">
            <wp:extent cx="1905000" cy="3905250"/>
            <wp:effectExtent t="0" r="0" b="0" l="0"/>
            <wp:docPr id="1" name="fig12" descr="Agent mobile card in Bangla."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3905250"/>
                    </a:xfrm>
                    <a:prstGeom prst="rect">
                      <a:avLst/>
                    </a:prstGeom>
                  </pic:spPr>
                </pic:pic>
              </a:graphicData>
            </a:graphic>
          </wp:inline>
        </w:drawing>
      </w:r>
    </w:p>
    <w:p>
      <w:pPr>
        <w:spacing w:after="200"/>
        <w:jc w:val="center"/>
      </w:pPr>
      <w:r>
        <w:rPr>
          <w:b/>
          <w:bCs/>
          <w:color w:val="5A5A55"/>
          <w:sz w:val="18"/>
          <w:szCs w:val="18"/>
        </w:rPr>
        <w:t xml:space="preserve">Figure 12. </w:t>
      </w:r>
      <w:r>
        <w:rPr>
          <w:i/>
          <w:iCs/>
          <w:color w:val="5A5A55"/>
          <w:sz w:val="18"/>
          <w:szCs w:val="18"/>
        </w:rPr>
        <w:t xml:space="preserve">Agent mobile card in Bangla.</w:t>
      </w:r>
    </w:p>
    <w:p>
      <w:pPr>
        <w:pStyle w:val="Heading1"/>
        <w:pageBreakBefore/>
      </w:pPr>
      <w:r>
        <w:t xml:space="preserve">10. Business impact</w:t>
      </w:r>
    </w:p>
    <w:p>
      <w:pPr>
        <w:spacing w:after="120" w:line="288"/>
      </w:pPr>
      <w:r>
        <w:t xml:space="preserve">The backtest replays January–June 2026 day by day on true demand. Both policies start from the same balances and float; only the timing and size of each top-up differ. The test period was never used for tuning.</w:t>
      </w:r>
    </w:p>
    <w:p>
      <w:pPr>
        <w:keepNext/>
        <w:spacing w:after="60" w:before="120"/>
        <w:jc w:val="center"/>
      </w:pPr>
      <w:r>
        <w:drawing>
          <wp:inline distT="0" distB="0" distL="0" distR="0">
            <wp:extent cx="5715000" cy="2495550"/>
            <wp:effectExtent t="0" r="0" b="0" l="0"/>
            <wp:docPr id="1" name="fig13" descr="Agents out of cash or e-float per da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b/>
          <w:bCs/>
          <w:color w:val="5A5A55"/>
          <w:sz w:val="18"/>
          <w:szCs w:val="18"/>
        </w:rPr>
        <w:t xml:space="preserve">Figure 13. </w:t>
      </w:r>
      <w:r>
        <w:rPr>
          <w:i/>
          <w:iCs/>
          <w:color w:val="5A5A55"/>
          <w:sz w:val="18"/>
          <w:szCs w:val="18"/>
        </w:rPr>
        <w:t xml:space="preserve">Agents out of cash or e-float per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626"/>
      </w:tblGrid>
      <w:tr>
        <w:trPr>
          <w:tblHeader/>
        </w:trPr>
        <w:tc>
          <w:tcPr>
            <w:tcW w:type="dxa" w:w="3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Metric (500 agents, 6 months)</w:t>
            </w:r>
          </w:p>
        </w:tc>
        <w:tc>
          <w:tcPr>
            <w:tcW w:type="dxa" w:w="19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right"/>
            </w:pPr>
            <w:r>
              <w:rPr>
                <w:b/>
                <w:bCs/>
                <w:color w:val="FFFFFF"/>
                <w:sz w:val="19"/>
                <w:szCs w:val="19"/>
              </w:rPr>
              <w:t xml:space="preserve">Today's rule</w:t>
            </w:r>
          </w:p>
        </w:tc>
        <w:tc>
          <w:tcPr>
            <w:tcW w:type="dxa" w:w="19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right"/>
            </w:pPr>
            <w:r>
              <w:rPr>
                <w:b/>
                <w:bCs/>
                <w:color w:val="FFFFFF"/>
                <w:sz w:val="19"/>
                <w:szCs w:val="19"/>
              </w:rPr>
              <w:t xml:space="preserve">FloatWise</w:t>
            </w:r>
          </w:p>
        </w:tc>
        <w:tc>
          <w:tcPr>
            <w:tcW w:type="dxa" w:w="16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right"/>
            </w:pPr>
            <w:r>
              <w:rPr>
                <w:b/>
                <w:bCs/>
                <w:color w:val="FFFFFF"/>
                <w:sz w:val="19"/>
                <w:szCs w:val="19"/>
              </w:rPr>
              <w:t xml:space="preserve">Change</w:t>
            </w:r>
          </w:p>
        </w:tc>
      </w:tr>
      <w:tr>
        <w:tc>
          <w:tcPr>
            <w:tcW w:type="dxa" w:w="3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Stockout agent-days</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6,973</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3,664</w:t>
            </w:r>
          </w:p>
        </w:tc>
        <w:tc>
          <w:tcPr>
            <w:tcW w:type="dxa" w:w="1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-47.5%</w:t>
            </w:r>
          </w:p>
        </w:tc>
      </w:tr>
      <w:tr>
        <w:tc>
          <w:tcPr>
            <w:tcW w:type="dxa" w:w="3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Failed cash-outs (count)</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2,15,101</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1,09,349</w:t>
            </w:r>
          </w:p>
        </w:tc>
        <w:tc>
          <w:tcPr>
            <w:tcW w:type="dxa" w:w="1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-49.2%</w:t>
            </w:r>
          </w:p>
        </w:tc>
      </w:tr>
      <w:tr>
        <w:tc>
          <w:tcPr>
            <w:tcW w:type="dxa" w:w="3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Failed cash-out value</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Tk 52.2 crore</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Tk 27.8 crore</w:t>
            </w:r>
          </w:p>
        </w:tc>
        <w:tc>
          <w:tcPr>
            <w:tcW w:type="dxa" w:w="1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-46.7%</w:t>
            </w:r>
          </w:p>
        </w:tc>
      </w:tr>
      <w:tr>
        <w:tc>
          <w:tcPr>
            <w:tcW w:type="dxa" w:w="3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upay fee revenue lost</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Tk 33.81 lakh</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Tk 15.64 lakh</w:t>
            </w:r>
          </w:p>
        </w:tc>
        <w:tc>
          <w:tcPr>
            <w:tcW w:type="dxa" w:w="1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-53.7%</w:t>
            </w:r>
          </w:p>
        </w:tc>
      </w:tr>
      <w:tr>
        <w:tc>
          <w:tcPr>
            <w:tcW w:type="dxa" w:w="3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 distributor commission lost</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Tk 27.13 lakh</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Tk 14.50 lakh</w:t>
            </w:r>
          </w:p>
        </w:tc>
        <w:tc>
          <w:tcPr>
            <w:tcW w:type="dxa" w:w="1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-46.6%</w:t>
            </w:r>
          </w:p>
        </w:tc>
      </w:tr>
      <w:tr>
        <w:tc>
          <w:tcPr>
            <w:tcW w:type="dxa" w:w="3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Customers at risk of leaving</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10,755</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5,467</w:t>
            </w:r>
          </w:p>
        </w:tc>
        <w:tc>
          <w:tcPr>
            <w:tcW w:type="dxa" w:w="1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-49.2%</w:t>
            </w:r>
          </w:p>
        </w:tc>
      </w:tr>
      <w:tr>
        <w:tc>
          <w:tcPr>
            <w:tcW w:type="dxa" w:w="3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Share of demand served</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98.7%</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99.3%</w:t>
            </w:r>
          </w:p>
        </w:tc>
        <w:tc>
          <w:tcPr>
            <w:tcW w:type="dxa" w:w="1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+0.59 pts</w:t>
            </w:r>
          </w:p>
        </w:tc>
      </w:tr>
      <w:tr>
        <w:tc>
          <w:tcPr>
            <w:tcW w:type="dxa" w:w="3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Average cash held per agent</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Tk 3.53 lakh</w:t>
            </w:r>
          </w:p>
        </w:tc>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Tk 3.61 lakh</w:t>
            </w:r>
          </w:p>
        </w:tc>
        <w:tc>
          <w:tcPr>
            <w:tcW w:type="dxa" w:w="1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+2.3%</w:t>
            </w:r>
          </w:p>
        </w:tc>
      </w:tr>
      <w:tr>
        <w:tc>
          <w:tcPr>
            <w:tcW w:type="dxa" w:w="3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DSO rebalancing trips</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49,813</w:t>
            </w:r>
          </w:p>
        </w:tc>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51,860</w:t>
            </w:r>
          </w:p>
        </w:tc>
        <w:tc>
          <w:tcPr>
            <w:tcW w:type="dxa" w:w="1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+4.1%</w:t>
            </w:r>
          </w:p>
        </w:tc>
      </w:tr>
    </w:tbl>
    <w:p>
      <w:pPr>
        <w:spacing w:after="60"/>
      </w:pPr>
    </w:p>
    <w:p>
      <w:pPr>
        <w:keepNext/>
        <w:spacing w:after="60" w:before="120"/>
        <w:jc w:val="center"/>
      </w:pPr>
      <w:r>
        <w:drawing>
          <wp:inline distT="0" distB="0" distL="0" distR="0">
            <wp:extent cx="5715000" cy="2428875"/>
            <wp:effectExtent t="0" r="0" b="0" l="0"/>
            <wp:docPr id="1" name="fig14" descr="Change against today's rule: losses fall by about half for a small cost in cash and tri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b/>
          <w:bCs/>
          <w:color w:val="5A5A55"/>
          <w:sz w:val="18"/>
          <w:szCs w:val="18"/>
        </w:rPr>
        <w:t xml:space="preserve">Figure 14. </w:t>
      </w:r>
      <w:r>
        <w:rPr>
          <w:i/>
          <w:iCs/>
          <w:color w:val="5A5A55"/>
          <w:sz w:val="18"/>
          <w:szCs w:val="18"/>
        </w:rPr>
        <w:t xml:space="preserve">Change against today's rule: losses fall by about half for a small cost in cash and trips.</w:t>
      </w:r>
    </w:p>
    <w:p>
      <w:pPr>
        <w:pStyle w:val="Heading2"/>
      </w:pPr>
      <w:r>
        <w:t xml:space="preserve">10.1 Unit economics per 1,000 agents per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600"/>
        <w:gridCol w:w="1526"/>
      </w:tblGrid>
      <w:tr>
        <w:trPr>
          <w:tblHeader/>
        </w:trPr>
        <w:tc>
          <w:tcPr>
            <w:tcW w:type="dxa" w:w="32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Gains</w:t>
            </w:r>
          </w:p>
        </w:tc>
        <w:tc>
          <w:tcPr>
            <w:tcW w:type="dxa" w:w="17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right"/>
            </w:pPr>
            <w:r>
              <w:rPr>
                <w:b/>
                <w:bCs/>
                <w:color w:val="FFFFFF"/>
                <w:sz w:val="19"/>
                <w:szCs w:val="19"/>
              </w:rPr>
              <w:t xml:space="preserve">Value</w:t>
            </w:r>
          </w:p>
        </w:tc>
        <w:tc>
          <w:tcPr>
            <w:tcW w:type="dxa" w:w="2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Costs</w:t>
            </w:r>
          </w:p>
        </w:tc>
        <w:tc>
          <w:tcPr>
            <w:tcW w:type="dxa" w:w="15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right"/>
            </w:pPr>
            <w:r>
              <w:rPr>
                <w:b/>
                <w:bCs/>
                <w:color w:val="FFFFFF"/>
                <w:sz w:val="19"/>
                <w:szCs w:val="19"/>
              </w:rPr>
              <w:t xml:space="preserve">Value</w:t>
            </w:r>
          </w:p>
        </w:tc>
      </w:tr>
      <w:tr>
        <w:tc>
          <w:tcPr>
            <w:tcW w:type="dxa" w:w="3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Stockout-days avoided</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1,097</w:t>
            </w:r>
          </w:p>
        </w:tc>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Extra DSO trips</w:t>
            </w:r>
          </w:p>
        </w:tc>
        <w:tc>
          <w:tcPr>
            <w:tcW w:type="dxa" w:w="15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679</w:t>
            </w:r>
          </w:p>
        </w:tc>
      </w:tr>
      <w:tr>
        <w:tc>
          <w:tcPr>
            <w:tcW w:type="dxa" w:w="3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Failed transactions avoided</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35,742</w:t>
            </w:r>
          </w:p>
        </w:tc>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Extra idle-cash cost (10%/yr)</w:t>
            </w:r>
          </w:p>
        </w:tc>
        <w:tc>
          <w:tcPr>
            <w:tcW w:type="dxa" w:w="15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Tk 67,867</w:t>
            </w:r>
          </w:p>
        </w:tc>
      </w:tr>
      <w:tr>
        <w:tc>
          <w:tcPr>
            <w:tcW w:type="dxa" w:w="3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Cash-outs served instead of refused</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Tk 8.2 crore</w:t>
            </w:r>
          </w:p>
        </w:tc>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p>
        </w:tc>
        <w:tc>
          <w:tcPr>
            <w:tcW w:type="dxa" w:w="15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p>
        </w:tc>
      </w:tr>
      <w:tr>
        <w:tc>
          <w:tcPr>
            <w:tcW w:type="dxa" w:w="3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upay fee revenue recovered</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Tk 6.02 lakh</w:t>
            </w:r>
          </w:p>
        </w:tc>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p>
        </w:tc>
        <w:tc>
          <w:tcPr>
            <w:tcW w:type="dxa" w:w="15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p>
        </w:tc>
      </w:tr>
      <w:tr>
        <w:tc>
          <w:tcPr>
            <w:tcW w:type="dxa" w:w="3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Commission for agents and distributors</w:t>
            </w:r>
          </w:p>
        </w:tc>
        <w:tc>
          <w:tcPr>
            <w:tcW w:type="dxa" w:w="17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r>
              <w:rPr>
                <w:sz w:val="19"/>
                <w:szCs w:val="19"/>
              </w:rPr>
              <w:t xml:space="preserve">Tk 4.19 lakh</w:t>
            </w:r>
          </w:p>
        </w:tc>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p>
        </w:tc>
        <w:tc>
          <w:tcPr>
            <w:tcW w:type="dxa" w:w="15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right"/>
            </w:pPr>
          </w:p>
        </w:tc>
      </w:tr>
      <w:tr>
        <w:tc>
          <w:tcPr>
            <w:tcW w:type="dxa" w:w="3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Customers kept</w:t>
            </w:r>
          </w:p>
        </w:tc>
        <w:tc>
          <w:tcPr>
            <w:tcW w:type="dxa" w:w="17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r>
              <w:rPr>
                <w:sz w:val="19"/>
                <w:szCs w:val="19"/>
              </w:rPr>
              <w:t xml:space="preserve">1,753</w:t>
            </w:r>
          </w:p>
        </w:tc>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p>
        </w:tc>
        <w:tc>
          <w:tcPr>
            <w:tcW w:type="dxa" w:w="15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right"/>
            </w:pPr>
          </w:p>
        </w:tc>
      </w:tr>
    </w:tbl>
    <w:p>
      <w:pPr>
        <w:spacing w:after="60"/>
      </w:pPr>
    </w:p>
    <w:p>
      <w:pPr>
        <w:pStyle w:val="Heading2"/>
      </w:pPr>
      <w:r>
        <w:t xml:space="preserve">10.2 At upay's network scale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Tk 9.3 Cr</w:t>
            </w:r>
          </w:p>
          <w:p>
            <w:r>
              <w:rPr>
                <w:color w:val="5A5A55"/>
                <w:sz w:val="18"/>
                <w:szCs w:val="18"/>
              </w:rPr>
              <w:t xml:space="preserve">upay fees / month</w:t>
            </w:r>
          </w:p>
        </w:tc>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Tk 6.4 Cr</w:t>
            </w:r>
          </w:p>
          <w:p>
            <w:r>
              <w:rPr>
                <w:color w:val="5A5A55"/>
                <w:sz w:val="18"/>
                <w:szCs w:val="18"/>
              </w:rPr>
              <w:t xml:space="preserve">commission / month</w:t>
            </w:r>
          </w:p>
        </w:tc>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1.69 lakh</w:t>
            </w:r>
          </w:p>
          <w:p>
            <w:r>
              <w:rPr>
                <w:color w:val="5A5A55"/>
                <w:sz w:val="18"/>
                <w:szCs w:val="18"/>
              </w:rPr>
              <w:t xml:space="preserve">stockout-days avoided / month</w:t>
            </w:r>
          </w:p>
        </w:tc>
        <w:tc>
          <w:tcPr>
            <w:tcW w:type="dxa" w:w="2256"/>
            <w:tcBorders>
              <w:top w:val="single" w:color="1F5FAD" w:sz="18"/>
              <w:left w:val="none" w:color="FFFFFF" w:sz="0"/>
              <w:bottom w:val="none" w:color="FFFFFF" w:sz="0"/>
              <w:right w:val="none" w:color="FFFFFF" w:sz="0"/>
            </w:tcBorders>
            <w:tcMar>
              <w:top w:type="dxa" w:w="120"/>
              <w:left w:type="dxa" w:w="80"/>
              <w:bottom w:type="dxa" w:w="80"/>
              <w:right w:type="dxa" w:w="120"/>
            </w:tcMar>
          </w:tcPr>
          <w:p>
            <w:r>
              <w:rPr>
                <w:rFonts w:ascii="Arial" w:cs="Arial" w:eastAsia="Arial" w:hAnsi="Arial"/>
                <w:b/>
                <w:bCs/>
                <w:color w:val="1F5FAD"/>
                <w:sz w:val="40"/>
                <w:szCs w:val="40"/>
              </w:rPr>
              <w:t xml:space="preserve">2.7 lakh</w:t>
            </w:r>
          </w:p>
          <w:p>
            <w:r>
              <w:rPr>
                <w:color w:val="5A5A55"/>
                <w:sz w:val="18"/>
                <w:szCs w:val="18"/>
              </w:rPr>
              <w:t xml:space="preserve">customers kept / month</w:t>
            </w:r>
          </w:p>
        </w:tc>
      </w:tr>
    </w:tbl>
    <w:p>
      <w:pPr>
        <w:spacing w:after="120" w:line="288"/>
      </w:pPr>
      <w:r>
        <w:t xml:space="preserve">Per-1,000-agent results scaled to ~1,54,000 agents. Customers kept assumes 5% churn after a failed cash-out.</w:t>
      </w:r>
    </w:p>
    <w:p>
      <w:pPr>
        <w:pStyle w:val="Heading2"/>
      </w:pPr>
      <w:r>
        <w:t xml:space="preserve">10.3 One control: the service level</w:t>
      </w:r>
    </w:p>
    <w:p>
      <w:pPr>
        <w:keepNext/>
        <w:spacing w:after="60" w:before="120"/>
        <w:jc w:val="center"/>
      </w:pPr>
      <w:r>
        <w:drawing>
          <wp:inline distT="0" distB="0" distL="0" distR="0">
            <wp:extent cx="5715000" cy="2781300"/>
            <wp:effectExtent t="0" r="0" b="0" l="0"/>
            <wp:docPr id="1" name="fig15" descr="Service-level sweep (shown on the test period for illustration; 0.99 was chosen on validation)."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b/>
          <w:bCs/>
          <w:color w:val="5A5A55"/>
          <w:sz w:val="18"/>
          <w:szCs w:val="18"/>
        </w:rPr>
        <w:t xml:space="preserve">Figure 15. </w:t>
      </w:r>
      <w:r>
        <w:rPr>
          <w:i/>
          <w:iCs/>
          <w:color w:val="5A5A55"/>
          <w:sz w:val="18"/>
          <w:szCs w:val="18"/>
        </w:rPr>
        <w:t xml:space="preserve">Service-level sweep (shown on the test period for illustration; 0.99 was chosen on validation).</w:t>
      </w:r>
    </w:p>
    <w:p>
      <w:pPr>
        <w:pStyle w:val="Heading2"/>
      </w:pPr>
      <w:r>
        <w:t xml:space="preserve">10.4 Fairness</w:t>
      </w:r>
    </w:p>
    <w:p>
      <w:pPr>
        <w:keepNext/>
        <w:spacing w:after="60" w:before="120"/>
        <w:jc w:val="center"/>
      </w:pPr>
      <w:r>
        <w:drawing>
          <wp:inline distT="0" distB="0" distL="0" distR="0">
            <wp:extent cx="5715000" cy="2428875"/>
            <wp:effectExtent t="0" r="0" b="0" l="0"/>
            <wp:docPr id="1" name="fig16" descr="Stockout agent-days by area typ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b/>
          <w:bCs/>
          <w:color w:val="5A5A55"/>
          <w:sz w:val="18"/>
          <w:szCs w:val="18"/>
        </w:rPr>
        <w:t xml:space="preserve">Figure 16. </w:t>
      </w:r>
      <w:r>
        <w:rPr>
          <w:i/>
          <w:iCs/>
          <w:color w:val="5A5A55"/>
          <w:sz w:val="18"/>
          <w:szCs w:val="18"/>
        </w:rPr>
        <w:t xml:space="preserve">Stockout agent-days by area type.</w:t>
      </w:r>
    </w:p>
    <w:p>
      <w:pPr>
        <w:spacing w:after="120" w:line="288"/>
      </w:pPr>
      <w:r>
        <w:t xml:space="preserve">Every segment improves. Rural remittance and garment-belt agents gain least because their total float is small relative to the Eid and salary peaks; those cases are escalated as NEEDS_EXTRA_FLOAT rather than hidden.</w:t>
      </w:r>
    </w:p>
    <w:p>
      <w:pPr>
        <w:pStyle w:val="Heading1"/>
        <w:pageBreakBefore/>
      </w:pPr>
      <w:r>
        <w:t xml:space="preserve">11. Design choices made on held-out data</w:t>
      </w:r>
    </w:p>
    <w:p>
      <w:pPr>
        <w:spacing w:after="120" w:line="288"/>
      </w:pPr>
      <w:r>
        <w:t xml:space="preserve">No choice was made on the test period. Each was decided by a script with a written rule, and its evidence is committed.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526"/>
        <w:gridCol w:w="1600"/>
      </w:tblGrid>
      <w:tr>
        <w:trPr>
          <w:tblHeader/>
        </w:trPr>
        <w:tc>
          <w:tcPr>
            <w:tcW w:type="dxa" w:w="19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Choice</w:t>
            </w:r>
          </w:p>
        </w:tc>
        <w:tc>
          <w:tcPr>
            <w:tcW w:type="dxa" w:w="15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Options</w:t>
            </w:r>
          </w:p>
        </w:tc>
        <w:tc>
          <w:tcPr>
            <w:tcW w:type="dxa" w:w="15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Decided on</w:t>
            </w:r>
          </w:p>
        </w:tc>
        <w:tc>
          <w:tcPr>
            <w:tcW w:type="dxa" w:w="25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Selected</w:t>
            </w:r>
          </w:p>
        </w:tc>
        <w:tc>
          <w:tcPr>
            <w:tcW w:type="dxa" w:w="1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Evidence</w:t>
            </w:r>
          </w:p>
        </w:tc>
      </w:tr>
      <w:tr>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Stockout-day labels (censoring)</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keep / exclude / inflate</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Held-out Eid 2025</w:t>
            </w:r>
          </w:p>
        </w:tc>
        <w:tc>
          <w:tcPr>
            <w:tcW w:type="dxa" w:w="25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keep: fewest pre-Eid misses above P90 (57.1% vs 57.4% / 59.5%)</w:t>
            </w:r>
          </w:p>
        </w:tc>
        <w:tc>
          <w:tcPr>
            <w:tcW w:type="dxa" w:w="1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censoring_experiment.json</w:t>
            </w:r>
          </w:p>
        </w:tc>
      </w:tr>
      <w:tr>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Quantile architecture</w:t>
            </w:r>
          </w:p>
        </w:tc>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independent / spread</w:t>
            </w:r>
          </w:p>
        </w:tc>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Held-out Eid 2025</w:t>
            </w:r>
          </w:p>
        </w:tc>
        <w:tc>
          <w:tcPr>
            <w:tcW w:type="dxa" w:w="25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independent: spread cut Eid coverage 51% → 42%</w:t>
            </w:r>
          </w:p>
        </w:tc>
        <w:tc>
          <w:tcPr>
            <w:tcW w:type="dxa" w:w="1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quantile_experiment.json</w:t>
            </w:r>
          </w:p>
        </w:tc>
      </w:tr>
      <w:tr>
        <w:tc>
          <w:tcPr>
            <w:tcW w:type="dxa" w:w="19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Service level &amp; risk threshold</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15-point grid</w:t>
            </w:r>
          </w:p>
        </w:tc>
        <w:tc>
          <w:tcPr>
            <w:tcW w:type="dxa" w:w="1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Validation Jul–Dec 2025</w:t>
            </w:r>
          </w:p>
        </w:tc>
        <w:tc>
          <w:tcPr>
            <w:tcW w:type="dxa" w:w="25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0.99 / 0.10: −55% stockouts, +12.4% trips, +2.4% cash</w:t>
            </w:r>
          </w:p>
        </w:tc>
        <w:tc>
          <w:tcPr>
            <w:tcW w:type="dxa" w:w="1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policy_tuning.json</w:t>
            </w:r>
          </w:p>
        </w:tc>
      </w:tr>
      <w:tr>
        <w:tc>
          <w:tcPr>
            <w:tcW w:type="dxa" w:w="19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 allocator</w:t>
            </w:r>
          </w:p>
        </w:tc>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greedy / exact knapsack</w:t>
            </w:r>
          </w:p>
        </w:tc>
        <w:tc>
          <w:tcPr>
            <w:tcW w:type="dxa" w:w="1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Validation Jul–Dec 2025</w:t>
            </w:r>
          </w:p>
        </w:tc>
        <w:tc>
          <w:tcPr>
            <w:tcW w:type="dxa" w:w="25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optimal (1,689 vs 1,692 stockout-days)</w:t>
            </w:r>
          </w:p>
        </w:tc>
        <w:tc>
          <w:tcPr>
            <w:tcW w:type="dxa" w:w="1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allocator_comparison.json</w:t>
            </w:r>
          </w:p>
        </w:tc>
      </w:tr>
    </w:tbl>
    <w:p>
      <w:pPr>
        <w:pStyle w:val="Heading1"/>
        <w:pageBreakBefore/>
      </w:pPr>
      <w:r>
        <w:t xml:space="preserve">12. Responsible AI and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Principle</w:t>
            </w:r>
          </w:p>
        </w:tc>
        <w:tc>
          <w:tcPr>
            <w:tcW w:type="dxa" w:w="64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How FloatWise implements it</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Synthetic data only</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No personal data, real names, phone numbers or NIDs anywhere; generic shop names</w:t>
            </w:r>
          </w:p>
        </w:tc>
      </w:tr>
      <w:tr>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LLM explains, never decides</w:t>
            </w:r>
          </w:p>
        </w:tc>
        <w:tc>
          <w:tcPr>
            <w:tcW w:type="dxa" w:w="64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Amounts from engine/; LLM gets structured JSON only; numeric post-check with template fallback</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Human in the loop</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Approve / Modify / Reject on every action; NEEDS_EXTRA_FLOAT always escalates; no automatic money movement</w:t>
            </w:r>
          </w:p>
        </w:tc>
      </w:tr>
      <w:tr>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Fairness</w:t>
            </w:r>
          </w:p>
        </w:tc>
        <w:tc>
          <w:tcPr>
            <w:tcW w:type="dxa" w:w="64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Forecast and service checked per area type and rural vs urban; worse segments must be reported</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Transparency</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AI text labelled; predictions, assumptions and generated text visually distinct; model card published</w:t>
            </w:r>
          </w:p>
        </w:tc>
      </w:tr>
      <w:tr>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Honest evaluation</w:t>
            </w:r>
          </w:p>
        </w:tc>
        <w:tc>
          <w:tcPr>
            <w:tcW w:type="dxa" w:w="64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Time-based split; baselines; test period untouched until final evaluation; missed targets reported</w:t>
            </w:r>
          </w:p>
        </w:tc>
      </w:tr>
      <w:tr>
        <w:tc>
          <w:tcPr>
            <w:tcW w:type="dxa" w:w="26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Scope</w:t>
            </w:r>
          </w:p>
        </w:tc>
        <w:tc>
          <w:tcPr>
            <w:tcW w:type="dxa" w:w="64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Operational liquidity only; no credit, lending or penalty decisions about agents</w:t>
            </w:r>
          </w:p>
        </w:tc>
      </w:tr>
      <w:tr>
        <w:tc>
          <w:tcPr>
            <w:tcW w:type="dxa" w:w="26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Security</w:t>
            </w:r>
          </w:p>
        </w:tc>
        <w:tc>
          <w:tcPr>
            <w:tcW w:type="dxa" w:w="64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Secrets only in .env; pydantic validation; standard errors without stack traces; restricted CORS; works offline</w:t>
            </w:r>
          </w:p>
        </w:tc>
      </w:tr>
    </w:tbl>
    <w:p>
      <w:pPr>
        <w:pStyle w:val="Heading1"/>
        <w:pageBreakBefore/>
      </w:pPr>
      <w:r>
        <w:t xml:space="preserve">13. Execution: how it was built and how to run it</w:t>
      </w:r>
    </w:p>
    <w:p>
      <w:pPr>
        <w:pStyle w:val="Heading2"/>
      </w:pPr>
      <w:r>
        <w:t xml:space="preserve">13.1 Delivery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Phase</w:t>
            </w:r>
          </w:p>
        </w:tc>
        <w:tc>
          <w:tcPr>
            <w:tcW w:type="dxa" w:w="66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Delivered</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0–1 Contracts</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SRS, implementation plan, rules for AI agents, config, schemas, Makefile</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2 Data</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Calendar, agents, demand, shocks, status-quo ledger; data-quality tests; check plots</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3–4 Models</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Feature panel with leakage test; baselines; LightGBM quantile models; evaluation and model card</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5–6 Engine and simulation</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Risk, recommendation, DSO allocation; backtest; policy tuning on validation</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7–8 Explain and API</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SHAP drivers, templates, Claude narrative with guardrail; FastAPI with 15 endpoints</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9 Frontend</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Eight screens, Bangla/English, light/dark, offline fixtures</w:t>
            </w:r>
          </w:p>
        </w:tc>
      </w:tr>
      <w:tr>
        <w:tc>
          <w:tcPr>
            <w:tcW w:type="dxa" w:w="2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10 Fairness and feedback</w:t>
            </w:r>
          </w:p>
        </w:tc>
        <w:tc>
          <w:tcPr>
            <w:tcW w:type="dxa" w:w="66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Fairness report; decision log and feedback summary</w:t>
            </w:r>
          </w:p>
        </w:tc>
      </w:tr>
      <w:tr>
        <w:tc>
          <w:tcPr>
            <w:tcW w:type="dxa" w:w="2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11 Hardening</w:t>
            </w:r>
          </w:p>
        </w:tc>
        <w:tc>
          <w:tcPr>
            <w:tcW w:type="dxa" w:w="66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Offline demo, screenshots, CI on Linux and Windows, fresh-clone rebuild, e2e walk-through, upay alignment</w:t>
            </w:r>
          </w:p>
        </w:tc>
      </w:tr>
    </w:tbl>
    <w:p>
      <w:pPr>
        <w:spacing w:after="60"/>
      </w:pPr>
    </w:p>
    <w:p>
      <w:pPr>
        <w:pStyle w:val="Heading2"/>
      </w:pPr>
      <w:r>
        <w:t xml:space="preserve">13.2 Pipeline</w:t>
      </w:r>
    </w:p>
    <w:p>
      <w:pPr>
        <w:pStyle w:val="ListParagraph"/>
        <w:numPr>
          <w:ilvl w:val="0"/>
          <w:numId w:val="4"/>
        </w:numPr>
        <w:spacing w:after="60" w:line="276"/>
      </w:pPr>
      <w:r>
        <w:rPr>
          <w:rFonts w:ascii="Consolas" w:cs="Consolas" w:eastAsia="Consolas" w:hAnsi="Consolas"/>
          <w:color w:val="7A2E0E"/>
          <w:sz w:val="19"/>
          <w:szCs w:val="19"/>
        </w:rPr>
        <w:t xml:space="preserve">floatwise.data.generate</w:t>
      </w:r>
      <w:r>
        <w:t xml:space="preserve">: synthetic data into data/generated/.</w:t>
      </w:r>
    </w:p>
    <w:p>
      <w:pPr>
        <w:pStyle w:val="ListParagraph"/>
        <w:numPr>
          <w:ilvl w:val="0"/>
          <w:numId w:val="4"/>
        </w:numPr>
        <w:spacing w:after="60" w:line="276"/>
      </w:pPr>
      <w:r>
        <w:rPr>
          <w:rFonts w:ascii="Consolas" w:cs="Consolas" w:eastAsia="Consolas" w:hAnsi="Consolas"/>
          <w:color w:val="7A2E0E"/>
          <w:sz w:val="19"/>
          <w:szCs w:val="19"/>
        </w:rPr>
        <w:t xml:space="preserve">floatwise.models.train</w:t>
      </w:r>
      <w:r>
        <w:t xml:space="preserve">: six quantile models (plus the baselines).</w:t>
      </w:r>
    </w:p>
    <w:p>
      <w:pPr>
        <w:pStyle w:val="ListParagraph"/>
        <w:numPr>
          <w:ilvl w:val="0"/>
          <w:numId w:val="4"/>
        </w:numPr>
        <w:spacing w:after="60" w:line="276"/>
      </w:pPr>
      <w:r>
        <w:rPr>
          <w:rFonts w:ascii="Consolas" w:cs="Consolas" w:eastAsia="Consolas" w:hAnsi="Consolas"/>
          <w:color w:val="7A2E0E"/>
          <w:sz w:val="19"/>
          <w:szCs w:val="19"/>
        </w:rPr>
        <w:t xml:space="preserve">floatwise.models.evaluate</w:t>
      </w:r>
      <w:r>
        <w:t xml:space="preserve">: test forecasts, metrics.json, fairness.json, model_card.md.</w:t>
      </w:r>
    </w:p>
    <w:p>
      <w:pPr>
        <w:pStyle w:val="ListParagraph"/>
        <w:numPr>
          <w:ilvl w:val="0"/>
          <w:numId w:val="4"/>
        </w:numPr>
        <w:spacing w:after="60" w:line="276"/>
      </w:pPr>
      <w:r>
        <w:rPr>
          <w:rFonts w:ascii="Consolas" w:cs="Consolas" w:eastAsia="Consolas" w:hAnsi="Consolas"/>
          <w:color w:val="7A2E0E"/>
          <w:sz w:val="19"/>
          <w:szCs w:val="19"/>
        </w:rPr>
        <w:t xml:space="preserve">floatwise.simulation.backtest</w:t>
      </w:r>
      <w:r>
        <w:t xml:space="preserve">: simulation_default.json with the service-level sweep.</w:t>
      </w:r>
    </w:p>
    <w:p>
      <w:pPr>
        <w:pStyle w:val="ListParagraph"/>
        <w:numPr>
          <w:ilvl w:val="0"/>
          <w:numId w:val="4"/>
        </w:numPr>
        <w:spacing w:after="60" w:line="276"/>
      </w:pPr>
      <w:r>
        <w:rPr>
          <w:rFonts w:ascii="Consolas" w:cs="Consolas" w:eastAsia="Consolas" w:hAnsi="Consolas"/>
          <w:color w:val="7A2E0E"/>
          <w:sz w:val="19"/>
          <w:szCs w:val="19"/>
        </w:rPr>
        <w:t xml:space="preserve">scripts/plot_data_checks.py</w:t>
      </w:r>
      <w:r>
        <w:t xml:space="preserve"> and </w:t>
      </w:r>
      <w:r>
        <w:rPr>
          <w:rFonts w:ascii="Consolas" w:cs="Consolas" w:eastAsia="Consolas" w:hAnsi="Consolas"/>
          <w:color w:val="7A2E0E"/>
          <w:sz w:val="19"/>
          <w:szCs w:val="19"/>
        </w:rPr>
        <w:t xml:space="preserve">scripts/build_narratives.py</w:t>
      </w:r>
      <w:r>
        <w:t xml:space="preserve">: plots and cached explanations.</w:t>
      </w:r>
    </w:p>
    <w:p>
      <w:pPr>
        <w:pStyle w:val="Heading2"/>
      </w:pPr>
      <w:r>
        <w:t xml:space="preserve">13.3 Run it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F7F5" w:sz="4"/>
              <w:left w:val="single" w:color="5A5A55" w:sz="24"/>
              <w:bottom w:val="single" w:color="F7F7F5" w:sz="4"/>
              <w:right w:val="single" w:color="F7F7F5" w:sz="4"/>
            </w:tcBorders>
            <w:shd w:fill="F7F7F5" w:color="auto" w:val="clear"/>
            <w:tcMar>
              <w:top w:type="dxa" w:w="140"/>
              <w:left w:type="dxa" w:w="220"/>
              <w:bottom w:type="dxa" w:w="140"/>
              <w:right w:type="dxa" w:w="220"/>
            </w:tcMar>
          </w:tcPr>
          <w:p>
            <w:pPr>
              <w:spacing w:after="60" w:line="276"/>
            </w:pPr>
            <w:r>
              <w:rPr>
                <w:rFonts w:ascii="Consolas" w:cs="Consolas" w:eastAsia="Consolas" w:hAnsi="Consolas"/>
                <w:color w:val="7A2E0E"/>
                <w:sz w:val="19"/>
                <w:szCs w:val="19"/>
              </w:rPr>
              <w:t xml:space="preserve">git clone https://github.com/redwanhasan980/DIU_AI_Hackathon.git</w:t>
            </w:r>
          </w:p>
          <w:p>
            <w:pPr>
              <w:spacing w:after="60" w:line="276"/>
            </w:pPr>
            <w:r>
              <w:rPr>
                <w:rFonts w:ascii="Consolas" w:cs="Consolas" w:eastAsia="Consolas" w:hAnsi="Consolas"/>
                <w:color w:val="7A2E0E"/>
                <w:sz w:val="19"/>
                <w:szCs w:val="19"/>
              </w:rPr>
              <w:t xml:space="preserve">python run.py setup</w:t>
            </w:r>
            <w:r>
              <w:t xml:space="preserve">   install Python and web dependencies (~1–2 min)</w:t>
            </w:r>
          </w:p>
          <w:p>
            <w:pPr>
              <w:spacing w:after="60" w:line="276"/>
            </w:pPr>
            <w:r>
              <w:rPr>
                <w:rFonts w:ascii="Consolas" w:cs="Consolas" w:eastAsia="Consolas" w:hAnsi="Consolas"/>
                <w:color w:val="7A2E0E"/>
                <w:sz w:val="19"/>
                <w:szCs w:val="19"/>
              </w:rPr>
              <w:t xml:space="preserve">python run.py all</w:t>
            </w:r>
            <w:r>
              <w:t xml:space="preserve">     data, training, evaluation, backtest (~3 min)</w:t>
            </w:r>
          </w:p>
          <w:p>
            <w:pPr>
              <w:spacing w:after="60" w:line="276"/>
            </w:pPr>
            <w:r>
              <w:rPr>
                <w:rFonts w:ascii="Consolas" w:cs="Consolas" w:eastAsia="Consolas" w:hAnsi="Consolas"/>
                <w:color w:val="7A2E0E"/>
                <w:sz w:val="19"/>
                <w:szCs w:val="19"/>
              </w:rPr>
              <w:t xml:space="preserve">python run.py demo</w:t>
            </w:r>
            <w:r>
              <w:t xml:space="preserve">    open http://localhost:8000</w:t>
            </w:r>
          </w:p>
          <w:p>
            <w:pPr>
              <w:spacing w:after="60" w:line="276"/>
            </w:pPr>
            <w:r>
              <w:t xml:space="preserve">Needs Python 3.11+ and Node.js 20+. No API key or internet needed once installed.</w:t>
            </w:r>
          </w:p>
        </w:tc>
      </w:tr>
    </w:tbl>
    <w:p>
      <w:pPr>
        <w:spacing w:after="60"/>
      </w:pPr>
    </w:p>
    <w:p>
      <w:pPr>
        <w:pStyle w:val="Heading2"/>
      </w:pPr>
      <w:r>
        <w:t xml:space="preserve">13.4 Quality assurance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Check</w:t>
            </w:r>
          </w:p>
        </w:tc>
        <w:tc>
          <w:tcPr>
            <w:tcW w:type="dxa" w:w="62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Coverage</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89 unit and integration tests</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Data quality, no leakage, models, engine, allocator, backtest, explanations and LLM guardrails, API contract and errors</w:t>
            </w:r>
          </w:p>
        </w:tc>
      </w:tr>
      <w:tr>
        <w:tc>
          <w:tcPr>
            <w:tcW w:type="dxa" w:w="2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Lint</w:t>
            </w:r>
          </w:p>
        </w:tc>
        <w:tc>
          <w:tcPr>
            <w:tcW w:type="dxa" w:w="6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ruff for Python; tsc and eslint for the web app</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Browser walk-through (21 checks)</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Map, agent, Bangla, approval, DSO limits, live backtest, fairness, decisions, agent card, dark mode</w:t>
            </w:r>
          </w:p>
        </w:tc>
      </w:tr>
      <w:tr>
        <w:tc>
          <w:tcPr>
            <w:tcW w:type="dxa" w:w="2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CI</w:t>
            </w:r>
          </w:p>
        </w:tc>
        <w:tc>
          <w:tcPr>
            <w:tcW w:type="dxa" w:w="6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GitHub Actions on every push: backend on Linux and Windows, frontend build</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Reproducibility</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Fresh clone installs and rebuilds the identical model and numbers with a clean git tree</w:t>
            </w:r>
          </w:p>
        </w:tc>
      </w:tr>
    </w:tbl>
    <w:p>
      <w:pPr>
        <w:pStyle w:val="Heading1"/>
        <w:pageBreakBefore/>
      </w:pPr>
      <w:r>
        <w:t xml:space="preserve">14. Limitations and next steps</w:t>
      </w:r>
    </w:p>
    <w:p>
      <w:pPr>
        <w:pStyle w:val="Heading2"/>
      </w:pPr>
      <w:r>
        <w:t xml:space="preserve">14.1 What FloatWise does not fix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Limit</w:t>
            </w:r>
          </w:p>
        </w:tc>
        <w:tc>
          <w:tcPr>
            <w:tcW w:type="dxa" w:w="34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Evidence</w:t>
            </w:r>
          </w:p>
        </w:tc>
        <w:tc>
          <w:tcPr>
            <w:tcW w:type="dxa" w:w="31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Response</w:t>
            </w:r>
          </w:p>
        </w:tc>
      </w:tr>
      <w:t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Some floats are too small for Eid</w:t>
            </w:r>
          </w:p>
        </w:tc>
        <w:tc>
          <w:tcPr>
            <w:tcW w:type="dxa" w:w="3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265–270 of 500 agents still run out on 18–19 March</w:t>
            </w:r>
          </w:p>
        </w:tc>
        <w:tc>
          <w:tcPr>
            <w:tcW w:type="dxa" w:w="31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Escalate as NEEDS_EXTRA_FLOAT (281 agents flagged on 15 March)</w:t>
            </w:r>
          </w:p>
        </w:tc>
      </w:tr>
      <w:tr>
        <w:tc>
          <w:tcPr>
            <w:tcW w:type="dxa" w:w="2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Rural and garment areas gain less</w:t>
            </w:r>
          </w:p>
        </w:tc>
        <w:tc>
          <w:tcPr>
            <w:tcW w:type="dxa" w:w="3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−36.9% and −30.3% vs −62.7% to −71.3% elsewhere</w:t>
            </w:r>
          </w:p>
        </w:tc>
        <w:tc>
          <w:tcPr>
            <w:tcW w:type="dxa" w:w="31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Report per segment; fairness review before rollout</w:t>
            </w:r>
          </w:p>
        </w:tc>
      </w:tr>
      <w:t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 little more cash and travel</w:t>
            </w:r>
          </w:p>
        </w:tc>
        <w:tc>
          <w:tcPr>
            <w:tcW w:type="dxa" w:w="3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+2.3% cash held, +4.1% DSO trips</w:t>
            </w:r>
          </w:p>
        </w:tc>
        <w:tc>
          <w:tcPr>
            <w:tcW w:type="dxa" w:w="31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Service-level dial trades cash for stockouts</w:t>
            </w:r>
          </w:p>
        </w:tc>
      </w:tr>
      <w:tr>
        <w:tc>
          <w:tcPr>
            <w:tcW w:type="dxa" w:w="25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Over-confident at spikes</w:t>
            </w:r>
          </w:p>
        </w:tc>
        <w:tc>
          <w:tcPr>
            <w:tcW w:type="dxa" w:w="34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P10–P90 covers 60% of event days (75% overall)</w:t>
            </w:r>
          </w:p>
        </w:tc>
        <w:tc>
          <w:tcPr>
            <w:tcW w:type="dxa" w:w="31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99% service level chosen on validation</w:t>
            </w:r>
          </w:p>
        </w:tc>
      </w:tr>
      <w:tr>
        <w:tc>
          <w:tcPr>
            <w:tcW w:type="dxa" w:w="25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Synthetic data, daily granularity</w:t>
            </w:r>
          </w:p>
        </w:tc>
        <w:tc>
          <w:tcPr>
            <w:tcW w:type="dxa" w:w="34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Shaped on public tariffs and network size; no spill-over to neighbouring agents</w:t>
            </w:r>
          </w:p>
        </w:tc>
        <w:tc>
          <w:tcPr>
            <w:tcW w:type="dxa" w:w="31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Shadow mode on real, anonymised data first</w:t>
            </w:r>
          </w:p>
        </w:tc>
      </w:tr>
    </w:tbl>
    <w:p>
      <w:pPr>
        <w:spacing w:after="60"/>
      </w:pPr>
    </w:p>
    <w:p>
      <w:pPr>
        <w:pStyle w:val="Heading2"/>
      </w:pPr>
      <w:r>
        <w:t xml:space="preserve">14.2 Path to a pilot</w:t>
      </w:r>
    </w:p>
    <w:p>
      <w:pPr>
        <w:pStyle w:val="ListParagraph"/>
        <w:numPr>
          <w:ilvl w:val="0"/>
          <w:numId w:val="5"/>
        </w:numPr>
        <w:spacing w:after="60" w:line="276"/>
      </w:pPr>
      <w:r>
        <w:rPr>
          <w:b/>
          <w:bCs/>
        </w:rPr>
        <w:t xml:space="preserve">Shadow mode (4–6 weeks):</w:t>
      </w:r>
      <w:r>
        <w:t xml:space="preserve"> run nightly on one distributor's anonymised daily agent balances and compare with what DSOs actually did.</w:t>
      </w:r>
    </w:p>
    <w:p>
      <w:pPr>
        <w:pStyle w:val="ListParagraph"/>
        <w:numPr>
          <w:ilvl w:val="0"/>
          <w:numId w:val="5"/>
        </w:numPr>
        <w:spacing w:after="60" w:line="276"/>
      </w:pPr>
      <w:r>
        <w:rPr>
          <w:b/>
          <w:bCs/>
        </w:rPr>
        <w:t xml:space="preserve">Pre-Eid pilot:</w:t>
      </w:r>
      <w:r>
        <w:t xml:space="preserve"> that distributor's DSOs use the plan; compare stockouts and failed value with control distributors.</w:t>
      </w:r>
    </w:p>
    <w:p>
      <w:pPr>
        <w:pStyle w:val="ListParagraph"/>
        <w:numPr>
          <w:ilvl w:val="0"/>
          <w:numId w:val="5"/>
        </w:numPr>
        <w:spacing w:after="60" w:line="276"/>
      </w:pPr>
      <w:r>
        <w:rPr>
          <w:b/>
          <w:bCs/>
        </w:rPr>
        <w:t xml:space="preserve">Integrate:</w:t>
      </w:r>
      <w:r>
        <w:t xml:space="preserve"> DSO and agent apps (“keep Tk X cash tomorrow”), nightly retraining, drift monitoring per area type.</w:t>
      </w:r>
    </w:p>
    <w:p>
      <w:pPr>
        <w:pStyle w:val="ListParagraph"/>
        <w:numPr>
          <w:ilvl w:val="0"/>
          <w:numId w:val="5"/>
        </w:numPr>
        <w:spacing w:after="60" w:line="276"/>
      </w:pPr>
      <w:r>
        <w:rPr>
          <w:b/>
          <w:bCs/>
        </w:rPr>
        <w:t xml:space="preserve">Scale:</w:t>
      </w:r>
      <w:r>
        <w:t xml:space="preserve"> one global model for all ~1,54,000 agents with forecasts precomputed overnight, approvals in an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F3FA" w:sz="4"/>
              <w:left w:val="single" w:color="1F5FAD" w:sz="24"/>
              <w:bottom w:val="single" w:color="EEF3FA" w:sz="4"/>
              <w:right w:val="single" w:color="EEF3FA" w:sz="4"/>
            </w:tcBorders>
            <w:shd w:fill="EEF3FA" w:color="auto" w:val="clear"/>
            <w:tcMar>
              <w:top w:type="dxa" w:w="140"/>
              <w:left w:type="dxa" w:w="220"/>
              <w:bottom w:type="dxa" w:w="140"/>
              <w:right w:type="dxa" w:w="220"/>
            </w:tcMar>
          </w:tcPr>
          <w:p>
            <w:pPr>
              <w:spacing w:after="60" w:line="276"/>
            </w:pPr>
            <w:r>
              <w:rPr>
                <w:b/>
                <w:bCs/>
              </w:rPr>
              <w:t xml:space="preserve">The ask:</w:t>
            </w:r>
            <w:r>
              <w:t xml:space="preserve"> one distributor, anonymised daily agent balances and DSO visit logs, and one Eid season, measured against today's rule.</w:t>
            </w:r>
          </w:p>
        </w:tc>
      </w:tr>
    </w:tbl>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Term</w:t>
            </w:r>
          </w:p>
        </w:tc>
        <w:tc>
          <w:tcPr>
            <w:tcW w:type="dxa" w:w="62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Meaning</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Cash-out / cash-in (CO / CI)</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Customer withdraws cash from / deposits cash to the agent</w:t>
            </w:r>
          </w:p>
        </w:tc>
      </w:tr>
      <w:tr>
        <w:tc>
          <w:tcPr>
            <w:tcW w:type="dxa" w:w="2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E-float</w:t>
            </w:r>
          </w:p>
        </w:tc>
        <w:tc>
          <w:tcPr>
            <w:tcW w:type="dxa" w:w="6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The agent's electronic balance used to serve cash-ins</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Stockout</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Agent cannot serve a transaction because cash or e-float is exhausted</w:t>
            </w:r>
          </w:p>
        </w:tc>
      </w:tr>
      <w:tr>
        <w:tc>
          <w:tcPr>
            <w:tcW w:type="dxa" w:w="2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DSO</w:t>
            </w:r>
          </w:p>
        </w:tc>
        <w:tc>
          <w:tcPr>
            <w:tcW w:type="dxa" w:w="6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Distributor sales officer who visits agents to rebalance cash and e-float</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P10 / P50 / P90</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Forecast quantiles: 10%, 50% and 90% of outcomes fall below them</w:t>
            </w:r>
          </w:p>
        </w:tc>
      </w:tr>
      <w:tr>
        <w:tc>
          <w:tcPr>
            <w:tcW w:type="dxa" w:w="2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WAPE</w:t>
            </w:r>
          </w:p>
        </w:tc>
        <w:tc>
          <w:tcPr>
            <w:tcW w:type="dxa" w:w="6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Weighted absolute percentage error: total absolute error / total actual demand</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Service level</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Quantile of demand the top-up is sized to cover (0.99 by default)</w:t>
            </w:r>
          </w:p>
        </w:tc>
      </w:tr>
      <w:tr>
        <w:tc>
          <w:tcPr>
            <w:tcW w:type="dxa" w:w="28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Censoring</w:t>
            </w:r>
          </w:p>
        </w:tc>
        <w:tc>
          <w:tcPr>
            <w:tcW w:type="dxa" w:w="62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On stockout days the recorded volume understates true demand</w:t>
            </w:r>
          </w:p>
        </w:tc>
      </w:tr>
      <w:tr>
        <w:tc>
          <w:tcPr>
            <w:tcW w:type="dxa" w:w="28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G2P</w:t>
            </w:r>
          </w:p>
        </w:tc>
        <w:tc>
          <w:tcPr>
            <w:tcW w:type="dxa" w:w="62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Government-to-person allowance payments</w:t>
            </w:r>
          </w:p>
        </w:tc>
      </w:tr>
    </w:tbl>
    <w:p>
      <w:pPr>
        <w:pStyle w:val="Heading1"/>
        <w:pageBreakBefore/>
      </w:pPr>
      <w:r>
        <w:t xml:space="preserve">Appendix B. Evidence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File</w:t>
            </w:r>
          </w:p>
        </w:tc>
        <w:tc>
          <w:tcPr>
            <w:tcW w:type="dxa" w:w="4826"/>
            <w:tcBorders>
              <w:top w:val="single" w:color="D9D7D0" w:sz="4"/>
              <w:left w:val="single" w:color="D9D7D0" w:sz="4"/>
              <w:bottom w:val="single" w:color="D9D7D0" w:sz="4"/>
              <w:right w:val="single" w:color="D9D7D0" w:sz="4"/>
            </w:tcBorders>
            <w:shd w:fill="1F3B57" w:color="auto" w:val="clear"/>
            <w:tcMar>
              <w:top w:type="dxa" w:w="70"/>
              <w:left w:type="dxa" w:w="110"/>
              <w:bottom w:type="dxa" w:w="70"/>
              <w:right w:type="dxa" w:w="110"/>
            </w:tcMar>
          </w:tcPr>
          <w:p>
            <w:pPr>
              <w:jc w:val="left"/>
            </w:pPr>
            <w:r>
              <w:rPr>
                <w:b/>
                <w:bCs/>
                <w:color w:val="FFFFFF"/>
                <w:sz w:val="19"/>
                <w:szCs w:val="19"/>
              </w:rPr>
              <w:t xml:space="preserve">Contents</w:t>
            </w:r>
          </w:p>
        </w:tc>
      </w:tr>
      <w:t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artifacts/metrics.json</w:t>
            </w:r>
          </w:p>
        </w:tc>
        <w:tc>
          <w:tcPr>
            <w:tcW w:type="dxa" w:w="4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Forecast accuracy by slice, coverage, acceptance checks</w:t>
            </w:r>
          </w:p>
        </w:tc>
      </w:tr>
      <w:tr>
        <w:tc>
          <w:tcPr>
            <w:tcW w:type="dxa" w:w="4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artifacts/simulation_default.json</w:t>
            </w:r>
          </w:p>
        </w:tc>
        <w:tc>
          <w:tcPr>
            <w:tcW w:type="dxa" w:w="4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Backtest, per-1,000-agent and network-scale value, sweep, segments</w:t>
            </w:r>
          </w:p>
        </w:tc>
      </w:tr>
      <w:t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artifacts/fairness.json</w:t>
            </w:r>
          </w:p>
        </w:tc>
        <w:tc>
          <w:tcPr>
            <w:tcW w:type="dxa" w:w="4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Per-segment forecast and service checks</w:t>
            </w:r>
          </w:p>
        </w:tc>
      </w:tr>
      <w:tr>
        <w:tc>
          <w:tcPr>
            <w:tcW w:type="dxa" w:w="4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artifacts/policy_tuning.json</w:t>
            </w:r>
          </w:p>
        </w:tc>
        <w:tc>
          <w:tcPr>
            <w:tcW w:type="dxa" w:w="4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Validation grid for service level and risk threshold</w:t>
            </w:r>
          </w:p>
        </w:tc>
      </w:tr>
      <w:t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artifacts/censoring_experiment.json, quantile_experiment.json, allocator_comparison.json</w:t>
            </w:r>
          </w:p>
        </w:tc>
        <w:tc>
          <w:tcPr>
            <w:tcW w:type="dxa" w:w="4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Held-out model and allocator choices</w:t>
            </w:r>
          </w:p>
        </w:tc>
      </w:tr>
      <w:tr>
        <w:tc>
          <w:tcPr>
            <w:tcW w:type="dxa" w:w="4200"/>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artifacts/model_card.md</w:t>
            </w:r>
          </w:p>
        </w:tc>
        <w:tc>
          <w:tcPr>
            <w:tcW w:type="dxa" w:w="4826"/>
            <w:tcBorders>
              <w:top w:val="single" w:color="D9D7D0" w:sz="4"/>
              <w:left w:val="single" w:color="D9D7D0" w:sz="4"/>
              <w:bottom w:val="single" w:color="D9D7D0" w:sz="4"/>
              <w:right w:val="single" w:color="D9D7D0" w:sz="4"/>
            </w:tcBorders>
            <w:shd w:fill="F7F7F5" w:color="auto" w:val="clear"/>
            <w:tcMar>
              <w:top w:type="dxa" w:w="70"/>
              <w:left w:type="dxa" w:w="110"/>
              <w:bottom w:type="dxa" w:w="70"/>
              <w:right w:type="dxa" w:w="110"/>
            </w:tcMar>
          </w:tcPr>
          <w:p>
            <w:pPr>
              <w:jc w:val="left"/>
            </w:pPr>
            <w:r>
              <w:rPr>
                <w:sz w:val="19"/>
                <w:szCs w:val="19"/>
              </w:rPr>
              <w:t xml:space="preserve">Model card</w:t>
            </w:r>
          </w:p>
        </w:tc>
      </w:tr>
      <w:tr>
        <w:tc>
          <w:tcPr>
            <w:tcW w:type="dxa" w:w="4200"/>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docs/SRS.md, docs/IMPLEMENTATION_PLAN.md, docs/DATA_ASSUMPTIONS.md</w:t>
            </w:r>
          </w:p>
        </w:tc>
        <w:tc>
          <w:tcPr>
            <w:tcW w:type="dxa" w:w="4826"/>
            <w:tcBorders>
              <w:top w:val="single" w:color="D9D7D0" w:sz="4"/>
              <w:left w:val="single" w:color="D9D7D0" w:sz="4"/>
              <w:bottom w:val="single" w:color="D9D7D0" w:sz="4"/>
              <w:right w:val="single" w:color="D9D7D0" w:sz="4"/>
            </w:tcBorders>
            <w:tcMar>
              <w:top w:type="dxa" w:w="70"/>
              <w:left w:type="dxa" w:w="110"/>
              <w:bottom w:type="dxa" w:w="70"/>
              <w:right w:type="dxa" w:w="110"/>
            </w:tcMar>
          </w:tcPr>
          <w:p>
            <w:pPr>
              <w:jc w:val="left"/>
            </w:pPr>
            <w:r>
              <w:rPr>
                <w:sz w:val="19"/>
                <w:szCs w:val="19"/>
              </w:rPr>
              <w:t xml:space="preserve">Requirements, plan, every assumption with sources</w:t>
            </w:r>
          </w:p>
        </w:tc>
      </w:tr>
    </w:tbl>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5"/>
        <w:sz w:val="16"/>
        <w:szCs w:val="16"/>
      </w:rPr>
      <w:t xml:space="preserve">FloatWise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3B57"/>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1F5FAD"/>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2tzbmwa2utnuhzu30iix" Type="http://schemas.openxmlformats.org/officeDocument/2006/relationships/hyperlink" Target="https://github.com/redwanhasan980/DIU_AI_Hackathon" TargetMode="External"/><Relationship Id="rId9" Type="http://schemas.openxmlformats.org/officeDocument/2006/relationships/image" Target="media/5ca8c2301ae45f0b887a592acbe78cf6ed55c9e2.png"/><Relationship Id="rId10" Type="http://schemas.openxmlformats.org/officeDocument/2006/relationships/image" Target="media/ecb395c7daf13f5a1b99525ace32a61bae1bd873.png"/><Relationship Id="rId11" Type="http://schemas.openxmlformats.org/officeDocument/2006/relationships/image" Target="media/dacaee8cd6593d643b65858ba8cd2cbe0e4eea0e.png"/><Relationship Id="rId12" Type="http://schemas.openxmlformats.org/officeDocument/2006/relationships/image" Target="media/70c2d8a2c62688f143f3604252574347df717e72.png"/><Relationship Id="rId13" Type="http://schemas.openxmlformats.org/officeDocument/2006/relationships/image" Target="media/d031f55b86c2f783e1ec3bba5a97b14fa22ca95a.png"/><Relationship Id="rId14" Type="http://schemas.openxmlformats.org/officeDocument/2006/relationships/image" Target="media/01287a38d8d202fecfec8f1fc0e9be6d1be548e9.png"/><Relationship Id="rId15" Type="http://schemas.openxmlformats.org/officeDocument/2006/relationships/image" Target="media/39ad922cbb6ef81a7544b055d73e1381a2d7723e.png"/><Relationship Id="rId16" Type="http://schemas.openxmlformats.org/officeDocument/2006/relationships/image" Target="media/192e64826648d2e79e37716e32d551f61b3339b3.png"/><Relationship Id="rId17" Type="http://schemas.openxmlformats.org/officeDocument/2006/relationships/image" Target="media/4159ea5607a05a74c06e1cc9b05c55874b49ce0a.png"/><Relationship Id="rId18" Type="http://schemas.openxmlformats.org/officeDocument/2006/relationships/image" Target="media/2fd464cec628ba63322833a4217586ba98840662.png"/><Relationship Id="rId19" Type="http://schemas.openxmlformats.org/officeDocument/2006/relationships/image" Target="media/4e50980c550eededad82f827ae98d9b1d2a72e78.png"/><Relationship Id="rId20" Type="http://schemas.openxmlformats.org/officeDocument/2006/relationships/image" Target="media/02d13f321b0cb788a7e37edae0e5d5bf3101eb34.png"/><Relationship Id="rId21" Type="http://schemas.openxmlformats.org/officeDocument/2006/relationships/image" Target="media/36cb47a43c31a7f051c8faebd7b73114695dfe75.png"/><Relationship Id="rId22" Type="http://schemas.openxmlformats.org/officeDocument/2006/relationships/image" Target="media/159653ac68042ee4ea26b6c45a5da761069492d9.png"/><Relationship Id="rId23" Type="http://schemas.openxmlformats.org/officeDocument/2006/relationships/image" Target="media/859b261b0b8b135531ef409d32df9b77ad99239c.png"/><Relationship Id="rId24" Type="http://schemas.openxmlformats.org/officeDocument/2006/relationships/image" Target="media/6399bf7cc5f66f4960e6e84327308140782c6a3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FloatWise Project Report</dc:title>
  <dc:creator>FloatWise team</dc:creator>
  <dc:description>AI agent-liquidity forecaster for upay</dc:description>
  <cp:lastModifiedBy>Un-named</cp:lastModifiedBy>
  <cp:revision>1</cp:revision>
  <dcterms:created xsi:type="dcterms:W3CDTF">2026-10-03T16:16:11.388Z</dcterms:created>
  <dcterms:modified xsi:type="dcterms:W3CDTF">2026-10-03T16:16:11.388Z</dcterms:modified>
</cp:coreProperties>
</file>

<file path=docProps/custom.xml><?xml version="1.0" encoding="utf-8"?>
<Properties xmlns="http://schemas.openxmlformats.org/officeDocument/2006/custom-properties" xmlns:vt="http://schemas.openxmlformats.org/officeDocument/2006/docPropsVTypes"/>
</file>