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038B43" w14:textId="77777777" w:rsidR="00A64634" w:rsidRPr="004F240C" w:rsidRDefault="00CD0136" w:rsidP="004F240C">
      <w:r w:rsidRPr="004F240C">
        <w:t>SCOPE COMPARISON</w:t>
      </w:r>
    </w:p>
    <w:p w14:paraId="7D025AB5" w14:textId="77777777" w:rsidR="00A64634" w:rsidRPr="004F240C" w:rsidRDefault="00CD0136" w:rsidP="004F240C">
      <w:r w:rsidRPr="004F240C">
        <w:t>Proposal vs. Business Requirements Document</w:t>
      </w:r>
    </w:p>
    <w:p w14:paraId="5E5EDBFF" w14:textId="377E8E95" w:rsidR="00A64634" w:rsidRDefault="00CD0136" w:rsidP="004F240C">
      <w:proofErr w:type="spellStart"/>
      <w:r w:rsidRPr="004F240C">
        <w:t>Redwave</w:t>
      </w:r>
      <w:proofErr w:type="spellEnd"/>
      <w:r w:rsidRPr="004F240C">
        <w:t xml:space="preserve"> Sales &amp; Commission Platform — Phase 2</w:t>
      </w:r>
    </w:p>
    <w:p w14:paraId="0D30B8BB" w14:textId="77777777" w:rsidR="004F240C" w:rsidRPr="004F240C" w:rsidRDefault="004F240C" w:rsidP="004F240C"/>
    <w:p w14:paraId="782AA46B" w14:textId="77777777" w:rsidR="00A64634" w:rsidRPr="004F240C" w:rsidRDefault="00CD0136" w:rsidP="004F240C">
      <w:r w:rsidRPr="004F240C">
        <w:rPr>
          <w:b/>
          <w:bCs/>
          <w:color w:val="555555"/>
        </w:rPr>
        <w:t xml:space="preserve">Prepared by  </w:t>
      </w:r>
      <w:r w:rsidRPr="004F240C">
        <w:t>Fathom (Development Partner)</w:t>
      </w:r>
    </w:p>
    <w:p w14:paraId="16F29476" w14:textId="77777777" w:rsidR="00A64634" w:rsidRPr="004F240C" w:rsidRDefault="00CD0136" w:rsidP="004F240C">
      <w:r w:rsidRPr="004F240C">
        <w:rPr>
          <w:b/>
          <w:bCs/>
          <w:color w:val="555555"/>
        </w:rPr>
        <w:t xml:space="preserve">Prepared for  </w:t>
      </w:r>
      <w:proofErr w:type="spellStart"/>
      <w:r w:rsidRPr="004F240C">
        <w:t>Redwave</w:t>
      </w:r>
      <w:proofErr w:type="spellEnd"/>
      <w:r w:rsidRPr="004F240C">
        <w:t xml:space="preserve"> Marketing Inc.</w:t>
      </w:r>
    </w:p>
    <w:p w14:paraId="73362272" w14:textId="77777777" w:rsidR="00A64634" w:rsidRPr="004F240C" w:rsidRDefault="00CD0136" w:rsidP="004F240C">
      <w:r w:rsidRPr="004F240C">
        <w:rPr>
          <w:b/>
          <w:bCs/>
          <w:color w:val="555555"/>
        </w:rPr>
        <w:t xml:space="preserve">Documents compared  </w:t>
      </w:r>
      <w:r w:rsidRPr="004F240C">
        <w:t>Phase 2 Proposal (3 May 2026)  vs.  BRD v1.2 — Baseline (approved for build)</w:t>
      </w:r>
    </w:p>
    <w:p w14:paraId="7ED4565D" w14:textId="63F875DF" w:rsidR="00A64634" w:rsidRDefault="00CD0136" w:rsidP="004F240C">
      <w:r w:rsidRPr="004F240C">
        <w:rPr>
          <w:b/>
          <w:bCs/>
          <w:color w:val="555555"/>
        </w:rPr>
        <w:t xml:space="preserve">Date  </w:t>
      </w:r>
      <w:r w:rsidRPr="004F240C">
        <w:t>2 June 2026</w:t>
      </w:r>
    </w:p>
    <w:p w14:paraId="4DCECEFE" w14:textId="11E7BE18" w:rsidR="004F240C" w:rsidRDefault="004F240C" w:rsidP="004F240C"/>
    <w:p w14:paraId="02744DB4" w14:textId="42D5A198" w:rsidR="004F240C" w:rsidRDefault="004F240C" w:rsidP="004F240C"/>
    <w:p w14:paraId="18A52EB2" w14:textId="13FD316B" w:rsidR="004F240C" w:rsidRDefault="004F240C" w:rsidP="004F240C"/>
    <w:p w14:paraId="735D85AC" w14:textId="65DE1357" w:rsidR="004F240C" w:rsidRDefault="004F240C">
      <w:pPr>
        <w:spacing w:after="0" w:line="240" w:lineRule="auto"/>
        <w:jc w:val="left"/>
      </w:pPr>
      <w:r>
        <w:br w:type="page"/>
      </w:r>
    </w:p>
    <w:p w14:paraId="33021DCE" w14:textId="77777777" w:rsidR="00A64634" w:rsidRPr="004F240C" w:rsidRDefault="00CD0136" w:rsidP="004F240C">
      <w:pPr>
        <w:pStyle w:val="Heading1"/>
        <w:rPr>
          <w:rFonts w:ascii="Times New Roman" w:hAnsi="Times New Roman" w:cs="Times New Roman"/>
          <w:sz w:val="32"/>
          <w:szCs w:val="32"/>
        </w:rPr>
      </w:pPr>
      <w:r w:rsidRPr="004F240C">
        <w:rPr>
          <w:rFonts w:ascii="Times New Roman" w:hAnsi="Times New Roman" w:cs="Times New Roman"/>
          <w:sz w:val="32"/>
          <w:szCs w:val="32"/>
        </w:rPr>
        <w:lastRenderedPageBreak/>
        <w:t>Purpose of this document</w:t>
      </w:r>
    </w:p>
    <w:p w14:paraId="733E3097" w14:textId="77777777" w:rsidR="00A64634" w:rsidRPr="004F240C" w:rsidRDefault="00CD0136" w:rsidP="004F240C">
      <w:r w:rsidRPr="004F240C">
        <w:t xml:space="preserve">The Phase 2 Proposal was an early estimate built on the assumption that we would repair and extend the existing Phase 1 </w:t>
      </w:r>
      <w:r w:rsidRPr="004F240C">
        <w:t>platform</w:t>
      </w:r>
      <w:r w:rsidRPr="004F240C">
        <w:t xml:space="preserve">. Since </w:t>
      </w:r>
      <w:r w:rsidRPr="004F240C">
        <w:t>then, two working sessions and a revised commission schedule (Schedule C v2) produced a consolidated baseline: the Business Requirements Document, version 1.2.</w:t>
      </w:r>
    </w:p>
    <w:p w14:paraId="33DAF902" w14:textId="77777777" w:rsidR="00A64634" w:rsidRPr="004F240C" w:rsidRDefault="00CD0136" w:rsidP="004F240C">
      <w:r w:rsidRPr="004F240C">
        <w:t>The BRD is a stronger, clearer specification — and we are glad to be building from it. Several d</w:t>
      </w:r>
      <w:r w:rsidRPr="004F240C">
        <w:t>ecisions reached together during that process, however, changed both the nature and the size of the work. This document sets the two artifacts side by side so the scope difference is transparent, and so any revision to pricing is grounded in agreed facts r</w:t>
      </w:r>
      <w:r w:rsidRPr="004F240C">
        <w:t>ather than surprise.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64634" w:rsidRPr="004F240C" w14:paraId="625A97A4" w14:textId="77777777" w:rsidTr="004F240C">
        <w:tblPrEx>
          <w:tblCellMar>
            <w:top w:w="0" w:type="dxa"/>
            <w:bottom w:w="0" w:type="dxa"/>
          </w:tblCellMar>
        </w:tblPrEx>
        <w:tc>
          <w:tcPr>
            <w:tcW w:w="9360" w:type="dxa"/>
            <w:tcBorders>
              <w:top w:val="single" w:sz="1" w:space="0" w:color="8B2635"/>
              <w:left w:val="single" w:sz="18" w:space="0" w:color="8B2635"/>
              <w:bottom w:val="single" w:sz="1" w:space="0" w:color="8B2635"/>
              <w:right w:val="single" w:sz="1" w:space="0" w:color="8B2635"/>
            </w:tcBorders>
            <w:shd w:val="clear" w:color="auto" w:fill="auto"/>
            <w:tcMar>
              <w:top w:w="140" w:type="dxa"/>
              <w:left w:w="200" w:type="dxa"/>
              <w:bottom w:w="140" w:type="dxa"/>
              <w:right w:w="160" w:type="dxa"/>
            </w:tcMar>
          </w:tcPr>
          <w:p w14:paraId="728F87C8" w14:textId="77777777" w:rsidR="00A64634" w:rsidRPr="004F240C" w:rsidRDefault="00CD0136" w:rsidP="004F240C">
            <w:r w:rsidRPr="004F240C">
              <w:t>The single most important change</w:t>
            </w:r>
          </w:p>
          <w:p w14:paraId="0758FD7E" w14:textId="77777777" w:rsidR="00A64634" w:rsidRPr="004F240C" w:rsidRDefault="00CD0136" w:rsidP="004F240C">
            <w:r w:rsidRPr="004F240C">
              <w:t>The Proposal priced a series of fixes and additions on top of Phase 1. The BRD specifies a clean-slate build — “no code, schema, or frontend from any prior system is reused.”</w:t>
            </w:r>
          </w:p>
          <w:p w14:paraId="7C018BBC" w14:textId="77777777" w:rsidR="00A64634" w:rsidRPr="004F240C" w:rsidRDefault="00CD0136" w:rsidP="004F240C">
            <w:proofErr w:type="gramStart"/>
            <w:r w:rsidRPr="004F240C">
              <w:t>This re-bases</w:t>
            </w:r>
            <w:proofErr w:type="gramEnd"/>
            <w:r w:rsidRPr="004F240C">
              <w:t xml:space="preserve"> most of the P</w:t>
            </w:r>
            <w:r w:rsidRPr="004F240C">
              <w:t>hase 2 estimate: items originally quoted as fixes or verifications against existing code are now full builds. It is the primary driver behind a revised quotation.</w:t>
            </w:r>
          </w:p>
        </w:tc>
      </w:tr>
    </w:tbl>
    <w:p w14:paraId="48786198" w14:textId="77777777" w:rsidR="00A64634" w:rsidRPr="004F240C" w:rsidRDefault="00A64634" w:rsidP="004F240C"/>
    <w:p w14:paraId="4D44D717" w14:textId="77777777" w:rsidR="00A64634" w:rsidRPr="004F240C" w:rsidRDefault="00CD0136" w:rsidP="004F240C">
      <w:r w:rsidRPr="004F240C">
        <w:t>Each item below is tagged with its direction of impact. We have deliberately included the items that reduce or remove scope as well, so the net picture is fair.</w:t>
      </w:r>
    </w:p>
    <w:p w14:paraId="64FC6325" w14:textId="77777777" w:rsidR="00A64634" w:rsidRPr="004F240C" w:rsidRDefault="00CD0136" w:rsidP="004F240C">
      <w:pPr>
        <w:pStyle w:val="Heading1"/>
        <w:rPr>
          <w:rFonts w:ascii="Times New Roman" w:hAnsi="Times New Roman" w:cs="Times New Roman"/>
          <w:sz w:val="32"/>
          <w:szCs w:val="32"/>
        </w:rPr>
      </w:pPr>
      <w:r w:rsidRPr="004F240C">
        <w:rPr>
          <w:rFonts w:ascii="Times New Roman" w:hAnsi="Times New Roman" w:cs="Times New Roman"/>
          <w:sz w:val="32"/>
          <w:szCs w:val="32"/>
        </w:rPr>
        <w:t>A.  New scope introduced by the BRD</w:t>
      </w:r>
    </w:p>
    <w:p w14:paraId="417481D2" w14:textId="77777777" w:rsidR="00A64634" w:rsidRPr="004F240C" w:rsidRDefault="00CD0136" w:rsidP="004F240C">
      <w:r w:rsidRPr="004F240C">
        <w:t>These items are present in the BRD but were not part of the</w:t>
      </w:r>
      <w:r w:rsidRPr="004F240C">
        <w:t xml:space="preserve"> Proposal’s priced scope.</w:t>
      </w:r>
    </w:p>
    <w:tbl>
      <w:tblPr>
        <w:tblStyle w:val="TableGrid"/>
        <w:tblW w:w="9360" w:type="dxa"/>
        <w:tblLook w:val="0000" w:firstRow="0" w:lastRow="0" w:firstColumn="0" w:lastColumn="0" w:noHBand="0" w:noVBand="0"/>
      </w:tblPr>
      <w:tblGrid>
        <w:gridCol w:w="1500"/>
        <w:gridCol w:w="2700"/>
        <w:gridCol w:w="3160"/>
        <w:gridCol w:w="2000"/>
      </w:tblGrid>
      <w:tr w:rsidR="00A64634" w:rsidRPr="004F240C" w14:paraId="1AEB33CA" w14:textId="77777777" w:rsidTr="004F240C">
        <w:trPr>
          <w:tblHeader/>
        </w:trPr>
        <w:tc>
          <w:tcPr>
            <w:tcW w:w="1500" w:type="dxa"/>
          </w:tcPr>
          <w:p w14:paraId="2DA5270A" w14:textId="77777777" w:rsidR="00A64634" w:rsidRPr="004F240C" w:rsidRDefault="00CD0136" w:rsidP="004F240C">
            <w:pPr>
              <w:rPr>
                <w:b/>
                <w:bCs/>
              </w:rPr>
            </w:pPr>
            <w:r w:rsidRPr="004F240C">
              <w:rPr>
                <w:b/>
                <w:bCs/>
              </w:rPr>
              <w:t>Area</w:t>
            </w:r>
          </w:p>
        </w:tc>
        <w:tc>
          <w:tcPr>
            <w:tcW w:w="2700" w:type="dxa"/>
          </w:tcPr>
          <w:p w14:paraId="33D764A1" w14:textId="77777777" w:rsidR="00A64634" w:rsidRPr="004F240C" w:rsidRDefault="00CD0136" w:rsidP="004F240C">
            <w:pPr>
              <w:rPr>
                <w:b/>
                <w:bCs/>
              </w:rPr>
            </w:pPr>
            <w:r w:rsidRPr="004F240C">
              <w:rPr>
                <w:b/>
                <w:bCs/>
              </w:rPr>
              <w:t>What the Proposal assumed</w:t>
            </w:r>
          </w:p>
        </w:tc>
        <w:tc>
          <w:tcPr>
            <w:tcW w:w="3160" w:type="dxa"/>
          </w:tcPr>
          <w:p w14:paraId="693C3E97" w14:textId="77777777" w:rsidR="00A64634" w:rsidRPr="004F240C" w:rsidRDefault="00CD0136" w:rsidP="004F240C">
            <w:pPr>
              <w:rPr>
                <w:b/>
                <w:bCs/>
              </w:rPr>
            </w:pPr>
            <w:r w:rsidRPr="004F240C">
              <w:rPr>
                <w:b/>
                <w:bCs/>
              </w:rPr>
              <w:t>What the BRD v1.2 requires</w:t>
            </w:r>
          </w:p>
        </w:tc>
        <w:tc>
          <w:tcPr>
            <w:tcW w:w="2000" w:type="dxa"/>
          </w:tcPr>
          <w:p w14:paraId="473A1959" w14:textId="77777777" w:rsidR="00A64634" w:rsidRPr="004F240C" w:rsidRDefault="00CD0136" w:rsidP="004F240C">
            <w:pPr>
              <w:rPr>
                <w:b/>
                <w:bCs/>
              </w:rPr>
            </w:pPr>
            <w:r w:rsidRPr="004F240C">
              <w:rPr>
                <w:b/>
                <w:bCs/>
              </w:rPr>
              <w:t>Pricing impact</w:t>
            </w:r>
          </w:p>
        </w:tc>
      </w:tr>
      <w:tr w:rsidR="00A64634" w:rsidRPr="004F240C" w14:paraId="2332AC72" w14:textId="77777777" w:rsidTr="004F240C">
        <w:tc>
          <w:tcPr>
            <w:tcW w:w="1500" w:type="dxa"/>
          </w:tcPr>
          <w:p w14:paraId="4C2E98A9" w14:textId="77777777" w:rsidR="00A64634" w:rsidRPr="004F240C" w:rsidRDefault="00CD0136" w:rsidP="004F240C">
            <w:r w:rsidRPr="004F240C">
              <w:t>Build approach</w:t>
            </w:r>
          </w:p>
        </w:tc>
        <w:tc>
          <w:tcPr>
            <w:tcW w:w="2700" w:type="dxa"/>
          </w:tcPr>
          <w:p w14:paraId="32A361CA" w14:textId="77777777" w:rsidR="00A64634" w:rsidRPr="004F240C" w:rsidRDefault="00CD0136" w:rsidP="004F240C">
            <w:r w:rsidRPr="004F240C">
              <w:t>Fixes, logic rebuilds, and new features layered on the existing Phase 1 platform.</w:t>
            </w:r>
          </w:p>
        </w:tc>
        <w:tc>
          <w:tcPr>
            <w:tcW w:w="3160" w:type="dxa"/>
          </w:tcPr>
          <w:p w14:paraId="40EB466B" w14:textId="77777777" w:rsidR="00A64634" w:rsidRPr="004F240C" w:rsidRDefault="00CD0136" w:rsidP="004F240C">
            <w:r w:rsidRPr="004F240C">
              <w:t>Clean-slate rebuild; nothing from any prior system is reused.</w:t>
            </w:r>
          </w:p>
        </w:tc>
        <w:tc>
          <w:tcPr>
            <w:tcW w:w="2000" w:type="dxa"/>
          </w:tcPr>
          <w:p w14:paraId="1CF94E04" w14:textId="77777777" w:rsidR="00A64634" w:rsidRPr="004F240C" w:rsidRDefault="00CD0136" w:rsidP="004F240C">
            <w:r w:rsidRPr="004F240C">
              <w:t>Significant increase</w:t>
            </w:r>
          </w:p>
        </w:tc>
      </w:tr>
      <w:tr w:rsidR="00A64634" w:rsidRPr="004F240C" w14:paraId="3962C476" w14:textId="77777777" w:rsidTr="004F240C">
        <w:tc>
          <w:tcPr>
            <w:tcW w:w="1500" w:type="dxa"/>
          </w:tcPr>
          <w:p w14:paraId="6A0E65B5" w14:textId="77777777" w:rsidR="00A64634" w:rsidRPr="004F240C" w:rsidRDefault="00CD0136" w:rsidP="004F240C">
            <w:r w:rsidRPr="004F240C">
              <w:lastRenderedPageBreak/>
              <w:t>Market coverage</w:t>
            </w:r>
          </w:p>
        </w:tc>
        <w:tc>
          <w:tcPr>
            <w:tcW w:w="2700" w:type="dxa"/>
          </w:tcPr>
          <w:p w14:paraId="4560B7DB" w14:textId="77777777" w:rsidR="00A64634" w:rsidRPr="004F240C" w:rsidRDefault="00CD0136" w:rsidP="004F240C">
            <w:r w:rsidRPr="004F240C">
              <w:t>Manitoba, Canada only.</w:t>
            </w:r>
          </w:p>
        </w:tc>
        <w:tc>
          <w:tcPr>
            <w:tcW w:w="3160" w:type="dxa"/>
          </w:tcPr>
          <w:p w14:paraId="2A7A2400" w14:textId="77777777" w:rsidR="00A64634" w:rsidRPr="004F240C" w:rsidRDefault="00CD0136" w:rsidP="004F240C">
            <w:r w:rsidRPr="004F240C">
              <w:t>Canada plus select US markets (CTI is the US program). Sale ID and matching logic is built around this.</w:t>
            </w:r>
          </w:p>
        </w:tc>
        <w:tc>
          <w:tcPr>
            <w:tcW w:w="2000" w:type="dxa"/>
          </w:tcPr>
          <w:p w14:paraId="2AC3ECDE" w14:textId="77777777" w:rsidR="00A64634" w:rsidRPr="004F240C" w:rsidRDefault="00CD0136" w:rsidP="004F240C">
            <w:r w:rsidRPr="004F240C">
              <w:t>Increase</w:t>
            </w:r>
          </w:p>
        </w:tc>
      </w:tr>
      <w:tr w:rsidR="00A64634" w:rsidRPr="004F240C" w14:paraId="2ED9303C" w14:textId="77777777" w:rsidTr="004F240C">
        <w:tc>
          <w:tcPr>
            <w:tcW w:w="1500" w:type="dxa"/>
          </w:tcPr>
          <w:p w14:paraId="1D17A51B" w14:textId="77777777" w:rsidR="00A64634" w:rsidRPr="004F240C" w:rsidRDefault="00CD0136" w:rsidP="004F240C">
            <w:r w:rsidRPr="004F240C">
              <w:t>Payroll export</w:t>
            </w:r>
          </w:p>
        </w:tc>
        <w:tc>
          <w:tcPr>
            <w:tcW w:w="2700" w:type="dxa"/>
          </w:tcPr>
          <w:p w14:paraId="2F25C62A" w14:textId="77777777" w:rsidR="00A64634" w:rsidRPr="004F240C" w:rsidRDefault="00CD0136" w:rsidP="004F240C">
            <w:r w:rsidRPr="004F240C">
              <w:t>Pay-run rebuild, but no external payroll-system output.</w:t>
            </w:r>
          </w:p>
        </w:tc>
        <w:tc>
          <w:tcPr>
            <w:tcW w:w="3160" w:type="dxa"/>
          </w:tcPr>
          <w:p w14:paraId="57300C6D" w14:textId="77777777" w:rsidR="00A64634" w:rsidRPr="004F240C" w:rsidRDefault="00CD0136" w:rsidP="004F240C">
            <w:r w:rsidRPr="004F240C">
              <w:t>ADP-ready, configurable export module designed from scratch.</w:t>
            </w:r>
          </w:p>
        </w:tc>
        <w:tc>
          <w:tcPr>
            <w:tcW w:w="2000" w:type="dxa"/>
          </w:tcPr>
          <w:p w14:paraId="6959A343" w14:textId="77777777" w:rsidR="00A64634" w:rsidRPr="004F240C" w:rsidRDefault="00CD0136" w:rsidP="004F240C">
            <w:r w:rsidRPr="004F240C">
              <w:t>Increase</w:t>
            </w:r>
          </w:p>
        </w:tc>
      </w:tr>
      <w:tr w:rsidR="00A64634" w:rsidRPr="004F240C" w14:paraId="4BD3574D" w14:textId="77777777" w:rsidTr="004F240C">
        <w:tc>
          <w:tcPr>
            <w:tcW w:w="1500" w:type="dxa"/>
          </w:tcPr>
          <w:p w14:paraId="5D1C410A" w14:textId="77777777" w:rsidR="00A64634" w:rsidRPr="004F240C" w:rsidRDefault="00CD0136" w:rsidP="004F240C">
            <w:r w:rsidRPr="004F240C">
              <w:t>AI chatbot</w:t>
            </w:r>
          </w:p>
        </w:tc>
        <w:tc>
          <w:tcPr>
            <w:tcW w:w="2700" w:type="dxa"/>
          </w:tcPr>
          <w:p w14:paraId="1FF81545" w14:textId="77777777" w:rsidR="00A64634" w:rsidRPr="004F240C" w:rsidRDefault="00CD0136" w:rsidP="004F240C">
            <w:r w:rsidRPr="004F240C">
              <w:t>M3 “Could Have” — keep and update the existing chatbot.</w:t>
            </w:r>
          </w:p>
        </w:tc>
        <w:tc>
          <w:tcPr>
            <w:tcW w:w="3160" w:type="dxa"/>
          </w:tcPr>
          <w:p w14:paraId="0B54BC7B" w14:textId="77777777" w:rsidR="00A64634" w:rsidRPr="004F240C" w:rsidRDefault="00CD0136" w:rsidP="004F240C">
            <w:r w:rsidRPr="004F240C">
              <w:t xml:space="preserve">In-scope, integrated Gemini-powered assistant grounded on </w:t>
            </w:r>
            <w:proofErr w:type="spellStart"/>
            <w:r w:rsidRPr="004F240C">
              <w:t>Redwave’s</w:t>
            </w:r>
            <w:proofErr w:type="spellEnd"/>
            <w:r w:rsidRPr="004F240C">
              <w:t xml:space="preserve"> data, with role-based access.</w:t>
            </w:r>
          </w:p>
        </w:tc>
        <w:tc>
          <w:tcPr>
            <w:tcW w:w="2000" w:type="dxa"/>
          </w:tcPr>
          <w:p w14:paraId="4CCF67F1" w14:textId="77777777" w:rsidR="00A64634" w:rsidRPr="004F240C" w:rsidRDefault="00CD0136" w:rsidP="004F240C">
            <w:r w:rsidRPr="004F240C">
              <w:t>Increase</w:t>
            </w:r>
          </w:p>
        </w:tc>
      </w:tr>
      <w:tr w:rsidR="00A64634" w:rsidRPr="004F240C" w14:paraId="3528CD6E" w14:textId="77777777" w:rsidTr="004F240C">
        <w:tc>
          <w:tcPr>
            <w:tcW w:w="1500" w:type="dxa"/>
          </w:tcPr>
          <w:p w14:paraId="05C8FB25" w14:textId="77777777" w:rsidR="00A64634" w:rsidRPr="004F240C" w:rsidRDefault="00CD0136" w:rsidP="004F240C">
            <w:r w:rsidRPr="004F240C">
              <w:t>Sale ID system</w:t>
            </w:r>
          </w:p>
        </w:tc>
        <w:tc>
          <w:tcPr>
            <w:tcW w:w="2700" w:type="dxa"/>
          </w:tcPr>
          <w:p w14:paraId="0A576993" w14:textId="77777777" w:rsidR="00A64634" w:rsidRPr="004F240C" w:rsidRDefault="00CD0136" w:rsidP="004F240C">
            <w:r w:rsidRPr="004F240C">
              <w:t>Not specified.</w:t>
            </w:r>
          </w:p>
        </w:tc>
        <w:tc>
          <w:tcPr>
            <w:tcW w:w="3160" w:type="dxa"/>
          </w:tcPr>
          <w:p w14:paraId="5679E98B" w14:textId="77777777" w:rsidR="00A64634" w:rsidRPr="004F240C" w:rsidRDefault="00CD0136" w:rsidP="004F240C">
            <w:r w:rsidRPr="004F240C">
              <w:t>Composite unique Sale ID (date + MPU ID + client), duplicate-address handling, and MPU-based report matching.</w:t>
            </w:r>
          </w:p>
        </w:tc>
        <w:tc>
          <w:tcPr>
            <w:tcW w:w="2000" w:type="dxa"/>
          </w:tcPr>
          <w:p w14:paraId="1E015BBB" w14:textId="77777777" w:rsidR="00A64634" w:rsidRPr="004F240C" w:rsidRDefault="00CD0136" w:rsidP="004F240C">
            <w:r w:rsidRPr="004F240C">
              <w:t>Increase</w:t>
            </w:r>
          </w:p>
        </w:tc>
      </w:tr>
      <w:tr w:rsidR="00A64634" w:rsidRPr="004F240C" w14:paraId="5A6C1CF1" w14:textId="77777777" w:rsidTr="004F240C">
        <w:tc>
          <w:tcPr>
            <w:tcW w:w="1500" w:type="dxa"/>
          </w:tcPr>
          <w:p w14:paraId="795DCD26" w14:textId="77777777" w:rsidR="00A64634" w:rsidRPr="004F240C" w:rsidRDefault="00CD0136" w:rsidP="004F240C">
            <w:r w:rsidRPr="004F240C">
              <w:t>Mobile readiness</w:t>
            </w:r>
          </w:p>
        </w:tc>
        <w:tc>
          <w:tcPr>
            <w:tcW w:w="2700" w:type="dxa"/>
          </w:tcPr>
          <w:p w14:paraId="1E9422FE" w14:textId="77777777" w:rsidR="00A64634" w:rsidRPr="004F240C" w:rsidRDefault="00CD0136" w:rsidP="004F240C">
            <w:r w:rsidRPr="004F240C">
              <w:t>Mobile app deferred to Phase 3; out of scope.</w:t>
            </w:r>
          </w:p>
        </w:tc>
        <w:tc>
          <w:tcPr>
            <w:tcW w:w="3160" w:type="dxa"/>
          </w:tcPr>
          <w:p w14:paraId="340F2B3D" w14:textId="77777777" w:rsidR="00A64634" w:rsidRPr="004F240C" w:rsidRDefault="00CD0136" w:rsidP="004F240C">
            <w:r w:rsidRPr="004F240C">
              <w:t>Versioned, API-first architecture to be built now so a future mobile app can share the backend.</w:t>
            </w:r>
          </w:p>
        </w:tc>
        <w:tc>
          <w:tcPr>
            <w:tcW w:w="2000" w:type="dxa"/>
          </w:tcPr>
          <w:p w14:paraId="44FA8925" w14:textId="77777777" w:rsidR="00A64634" w:rsidRPr="004F240C" w:rsidRDefault="00CD0136" w:rsidP="004F240C">
            <w:r w:rsidRPr="004F240C">
              <w:t>Increase</w:t>
            </w:r>
          </w:p>
        </w:tc>
      </w:tr>
      <w:tr w:rsidR="00A64634" w:rsidRPr="004F240C" w14:paraId="321C2066" w14:textId="77777777" w:rsidTr="004F240C">
        <w:tc>
          <w:tcPr>
            <w:tcW w:w="1500" w:type="dxa"/>
          </w:tcPr>
          <w:p w14:paraId="009F34DA" w14:textId="77777777" w:rsidR="00A64634" w:rsidRPr="004F240C" w:rsidRDefault="00CD0136" w:rsidP="004F240C">
            <w:r w:rsidRPr="004F240C">
              <w:t>Expense categories</w:t>
            </w:r>
          </w:p>
        </w:tc>
        <w:tc>
          <w:tcPr>
            <w:tcW w:w="2700" w:type="dxa"/>
          </w:tcPr>
          <w:p w14:paraId="76BB46DD" w14:textId="77777777" w:rsidR="00A64634" w:rsidRPr="004F240C" w:rsidRDefault="00CD0136" w:rsidP="004F240C">
            <w:r w:rsidRPr="004F240C">
              <w:t>Kilometres, meals, and an “other” field.</w:t>
            </w:r>
          </w:p>
        </w:tc>
        <w:tc>
          <w:tcPr>
            <w:tcW w:w="3160" w:type="dxa"/>
          </w:tcPr>
          <w:p w14:paraId="099A8AEB" w14:textId="77777777" w:rsidR="00A64634" w:rsidRPr="004F240C" w:rsidRDefault="00CD0136" w:rsidP="004F240C">
            <w:r w:rsidRPr="004F240C">
              <w:t>Adds Hotel, Flight, Rental, and Gas Money as structured categories, plus admin-configurable expense fields.</w:t>
            </w:r>
          </w:p>
        </w:tc>
        <w:tc>
          <w:tcPr>
            <w:tcW w:w="2000" w:type="dxa"/>
          </w:tcPr>
          <w:p w14:paraId="08D01757" w14:textId="77777777" w:rsidR="00A64634" w:rsidRPr="004F240C" w:rsidRDefault="00CD0136" w:rsidP="004F240C">
            <w:r w:rsidRPr="004F240C">
              <w:t>Moderate increase</w:t>
            </w:r>
          </w:p>
        </w:tc>
      </w:tr>
      <w:tr w:rsidR="00A64634" w:rsidRPr="004F240C" w14:paraId="7AAAAF0F" w14:textId="77777777" w:rsidTr="004F240C">
        <w:tc>
          <w:tcPr>
            <w:tcW w:w="1500" w:type="dxa"/>
          </w:tcPr>
          <w:p w14:paraId="7C13C0F1" w14:textId="77777777" w:rsidR="00A64634" w:rsidRPr="004F240C" w:rsidRDefault="00CD0136" w:rsidP="004F240C">
            <w:r w:rsidRPr="004F240C">
              <w:lastRenderedPageBreak/>
              <w:t>Parallel-run cutover</w:t>
            </w:r>
          </w:p>
        </w:tc>
        <w:tc>
          <w:tcPr>
            <w:tcW w:w="2700" w:type="dxa"/>
          </w:tcPr>
          <w:p w14:paraId="1CDDE03A" w14:textId="77777777" w:rsidR="00A64634" w:rsidRPr="004F240C" w:rsidRDefault="00CD0136" w:rsidP="004F240C">
            <w:r w:rsidRPr="004F240C">
              <w:t>Not specified.</w:t>
            </w:r>
          </w:p>
        </w:tc>
        <w:tc>
          <w:tcPr>
            <w:tcW w:w="3160" w:type="dxa"/>
          </w:tcPr>
          <w:p w14:paraId="06EFE285" w14:textId="77777777" w:rsidR="00A64634" w:rsidRPr="004F240C" w:rsidRDefault="00CD0136" w:rsidP="004F240C">
            <w:r w:rsidRPr="004F240C">
              <w:t>1–2 pay cycles run alongside the manual process before full cutover.</w:t>
            </w:r>
          </w:p>
        </w:tc>
        <w:tc>
          <w:tcPr>
            <w:tcW w:w="2000" w:type="dxa"/>
          </w:tcPr>
          <w:p w14:paraId="3BD1CCCD" w14:textId="77777777" w:rsidR="00A64634" w:rsidRPr="004F240C" w:rsidRDefault="00CD0136" w:rsidP="004F240C">
            <w:r w:rsidRPr="004F240C">
              <w:t>Increase</w:t>
            </w:r>
          </w:p>
        </w:tc>
      </w:tr>
    </w:tbl>
    <w:p w14:paraId="010AC372" w14:textId="77777777" w:rsidR="00A64634" w:rsidRPr="004F240C" w:rsidRDefault="00A64634" w:rsidP="004F240C"/>
    <w:p w14:paraId="14F89C99" w14:textId="77777777" w:rsidR="00A64634" w:rsidRPr="004F240C" w:rsidRDefault="00CD0136" w:rsidP="004F240C">
      <w:pPr>
        <w:pStyle w:val="Heading1"/>
        <w:rPr>
          <w:rFonts w:ascii="Times New Roman" w:hAnsi="Times New Roman" w:cs="Times New Roman"/>
          <w:sz w:val="32"/>
          <w:szCs w:val="32"/>
        </w:rPr>
      </w:pPr>
      <w:r w:rsidRPr="004F240C">
        <w:rPr>
          <w:rFonts w:ascii="Times New Roman" w:hAnsi="Times New Roman" w:cs="Times New Roman"/>
          <w:sz w:val="32"/>
          <w:szCs w:val="32"/>
        </w:rPr>
        <w:t>B.  Items that grew in complexity</w:t>
      </w:r>
    </w:p>
    <w:p w14:paraId="209C4532" w14:textId="77777777" w:rsidR="00A64634" w:rsidRPr="004F240C" w:rsidRDefault="00CD0136" w:rsidP="004F240C">
      <w:r w:rsidRPr="004F240C">
        <w:t>These were present in the Proposal in some form but are specified more demandingly in the BRD.</w:t>
      </w:r>
    </w:p>
    <w:tbl>
      <w:tblPr>
        <w:tblStyle w:val="TableGrid"/>
        <w:tblW w:w="9360" w:type="dxa"/>
        <w:tblLook w:val="0000" w:firstRow="0" w:lastRow="0" w:firstColumn="0" w:lastColumn="0" w:noHBand="0" w:noVBand="0"/>
      </w:tblPr>
      <w:tblGrid>
        <w:gridCol w:w="1563"/>
        <w:gridCol w:w="2682"/>
        <w:gridCol w:w="3133"/>
        <w:gridCol w:w="1982"/>
      </w:tblGrid>
      <w:tr w:rsidR="00A64634" w:rsidRPr="004F240C" w14:paraId="4D5971CA" w14:textId="77777777" w:rsidTr="004F240C">
        <w:tc>
          <w:tcPr>
            <w:tcW w:w="1500" w:type="dxa"/>
          </w:tcPr>
          <w:p w14:paraId="26174334" w14:textId="77777777" w:rsidR="00A64634" w:rsidRPr="004F240C" w:rsidRDefault="00CD0136" w:rsidP="004F240C">
            <w:pPr>
              <w:rPr>
                <w:b/>
                <w:bCs/>
              </w:rPr>
            </w:pPr>
            <w:r w:rsidRPr="004F240C">
              <w:rPr>
                <w:b/>
                <w:bCs/>
              </w:rPr>
              <w:t>Area</w:t>
            </w:r>
          </w:p>
        </w:tc>
        <w:tc>
          <w:tcPr>
            <w:tcW w:w="2700" w:type="dxa"/>
          </w:tcPr>
          <w:p w14:paraId="6579EE47" w14:textId="77777777" w:rsidR="00A64634" w:rsidRPr="004F240C" w:rsidRDefault="00CD0136" w:rsidP="004F240C">
            <w:pPr>
              <w:rPr>
                <w:b/>
                <w:bCs/>
              </w:rPr>
            </w:pPr>
            <w:r w:rsidRPr="004F240C">
              <w:rPr>
                <w:b/>
                <w:bCs/>
              </w:rPr>
              <w:t>What the Proposal assumed</w:t>
            </w:r>
          </w:p>
        </w:tc>
        <w:tc>
          <w:tcPr>
            <w:tcW w:w="3160" w:type="dxa"/>
          </w:tcPr>
          <w:p w14:paraId="11B70DD3" w14:textId="77777777" w:rsidR="00A64634" w:rsidRPr="004F240C" w:rsidRDefault="00CD0136" w:rsidP="004F240C">
            <w:pPr>
              <w:rPr>
                <w:b/>
                <w:bCs/>
              </w:rPr>
            </w:pPr>
            <w:r w:rsidRPr="004F240C">
              <w:rPr>
                <w:b/>
                <w:bCs/>
              </w:rPr>
              <w:t>What the BRD v1.2 requires</w:t>
            </w:r>
          </w:p>
        </w:tc>
        <w:tc>
          <w:tcPr>
            <w:tcW w:w="2000" w:type="dxa"/>
          </w:tcPr>
          <w:p w14:paraId="369A025D" w14:textId="77777777" w:rsidR="00A64634" w:rsidRPr="004F240C" w:rsidRDefault="00CD0136" w:rsidP="004F240C">
            <w:pPr>
              <w:rPr>
                <w:b/>
                <w:bCs/>
              </w:rPr>
            </w:pPr>
            <w:r w:rsidRPr="004F240C">
              <w:rPr>
                <w:b/>
                <w:bCs/>
              </w:rPr>
              <w:t>Pricing impact</w:t>
            </w:r>
          </w:p>
        </w:tc>
      </w:tr>
      <w:tr w:rsidR="00A64634" w:rsidRPr="004F240C" w14:paraId="6BDB6628" w14:textId="77777777" w:rsidTr="004F240C">
        <w:tc>
          <w:tcPr>
            <w:tcW w:w="1500" w:type="dxa"/>
          </w:tcPr>
          <w:p w14:paraId="7B6F4193" w14:textId="77777777" w:rsidR="00A64634" w:rsidRPr="004F240C" w:rsidRDefault="00CD0136" w:rsidP="004F240C">
            <w:r w:rsidRPr="004F240C">
              <w:t>Configuration model</w:t>
            </w:r>
          </w:p>
        </w:tc>
        <w:tc>
          <w:tcPr>
            <w:tcW w:w="2700" w:type="dxa"/>
          </w:tcPr>
          <w:p w14:paraId="76339385" w14:textId="77777777" w:rsidR="00A64634" w:rsidRPr="004F240C" w:rsidRDefault="00CD0136" w:rsidP="004F240C">
            <w:r w:rsidRPr="004F240C">
              <w:t>Business values described as “configurable.”</w:t>
            </w:r>
          </w:p>
        </w:tc>
        <w:tc>
          <w:tcPr>
            <w:tcW w:w="3160" w:type="dxa"/>
          </w:tcPr>
          <w:p w14:paraId="33AF3D8B" w14:textId="77777777" w:rsidR="00A64634" w:rsidRPr="004F240C" w:rsidRDefault="00CD0136" w:rsidP="004F240C">
            <w:r w:rsidRPr="004F240C">
              <w:t>Effective-dated configuration across all values; changes are prospective only and never rewrite closed periods.</w:t>
            </w:r>
          </w:p>
        </w:tc>
        <w:tc>
          <w:tcPr>
            <w:tcW w:w="2000" w:type="dxa"/>
          </w:tcPr>
          <w:p w14:paraId="64D8CA72" w14:textId="77777777" w:rsidR="00A64634" w:rsidRPr="004F240C" w:rsidRDefault="00CD0136" w:rsidP="004F240C">
            <w:r w:rsidRPr="004F240C">
              <w:t>Increase</w:t>
            </w:r>
          </w:p>
        </w:tc>
      </w:tr>
      <w:tr w:rsidR="00A64634" w:rsidRPr="004F240C" w14:paraId="6CFF3C48" w14:textId="77777777" w:rsidTr="004F240C">
        <w:tc>
          <w:tcPr>
            <w:tcW w:w="1500" w:type="dxa"/>
          </w:tcPr>
          <w:p w14:paraId="5AEAF834" w14:textId="77777777" w:rsidR="00A64634" w:rsidRPr="004F240C" w:rsidRDefault="00CD0136" w:rsidP="004F240C">
            <w:r w:rsidRPr="004F240C">
              <w:t>Holdback release</w:t>
            </w:r>
          </w:p>
        </w:tc>
        <w:tc>
          <w:tcPr>
            <w:tcW w:w="2700" w:type="dxa"/>
          </w:tcPr>
          <w:p w14:paraId="0340BD7C" w14:textId="77777777" w:rsidR="00A64634" w:rsidRPr="004F240C" w:rsidRDefault="00CD0136" w:rsidP="004F240C">
            <w:r w:rsidRPr="004F240C">
              <w:t>Fixed rule — 30% releases on the 3rd cycle (~45 days).</w:t>
            </w:r>
          </w:p>
        </w:tc>
        <w:tc>
          <w:tcPr>
            <w:tcW w:w="3160" w:type="dxa"/>
          </w:tcPr>
          <w:p w14:paraId="65B1E24F" w14:textId="77777777" w:rsidR="00A64634" w:rsidRPr="004F240C" w:rsidRDefault="00CD0136" w:rsidP="004F240C">
            <w:r w:rsidRPr="004F240C">
              <w:t>Super-Admin-set release cycle (bulk, sticky) plus a Holdback Ledger tracking each hold and its release.</w:t>
            </w:r>
          </w:p>
        </w:tc>
        <w:tc>
          <w:tcPr>
            <w:tcW w:w="2000" w:type="dxa"/>
          </w:tcPr>
          <w:p w14:paraId="7443ED9B" w14:textId="77777777" w:rsidR="00A64634" w:rsidRPr="004F240C" w:rsidRDefault="00CD0136" w:rsidP="004F240C">
            <w:r w:rsidRPr="004F240C">
              <w:t>Increase</w:t>
            </w:r>
          </w:p>
        </w:tc>
      </w:tr>
      <w:tr w:rsidR="00A64634" w:rsidRPr="004F240C" w14:paraId="2B329BDC" w14:textId="77777777" w:rsidTr="004F240C">
        <w:tc>
          <w:tcPr>
            <w:tcW w:w="1500" w:type="dxa"/>
          </w:tcPr>
          <w:p w14:paraId="16B8826E" w14:textId="77777777" w:rsidR="00A64634" w:rsidRPr="004F240C" w:rsidRDefault="00CD0136" w:rsidP="004F240C">
            <w:r w:rsidRPr="004F240C">
              <w:t>Data integrity</w:t>
            </w:r>
          </w:p>
        </w:tc>
        <w:tc>
          <w:tcPr>
            <w:tcW w:w="2700" w:type="dxa"/>
          </w:tcPr>
          <w:p w14:paraId="3F707B92" w14:textId="77777777" w:rsidR="00A64634" w:rsidRPr="004F240C" w:rsidRDefault="00CD0136" w:rsidP="004F240C">
            <w:r w:rsidRPr="004F240C">
              <w:t>General expectation of correctness.</w:t>
            </w:r>
          </w:p>
        </w:tc>
        <w:tc>
          <w:tcPr>
            <w:tcW w:w="3160" w:type="dxa"/>
          </w:tcPr>
          <w:p w14:paraId="59416010" w14:textId="77777777" w:rsidR="00A64634" w:rsidRPr="004F240C" w:rsidRDefault="00CD0136" w:rsidP="004F240C">
            <w:r w:rsidRPr="004F240C">
              <w:t xml:space="preserve">Immutable per-sale snapshots; every paid figure must be </w:t>
            </w:r>
            <w:proofErr w:type="spellStart"/>
            <w:r w:rsidRPr="004F240C">
              <w:t>reconstructable</w:t>
            </w:r>
            <w:proofErr w:type="spellEnd"/>
            <w:r w:rsidRPr="004F240C">
              <w:t xml:space="preserve"> for accurate clawback.</w:t>
            </w:r>
          </w:p>
        </w:tc>
        <w:tc>
          <w:tcPr>
            <w:tcW w:w="2000" w:type="dxa"/>
          </w:tcPr>
          <w:p w14:paraId="3C0F1F5A" w14:textId="77777777" w:rsidR="00A64634" w:rsidRPr="004F240C" w:rsidRDefault="00CD0136" w:rsidP="004F240C">
            <w:r w:rsidRPr="004F240C">
              <w:t>Increase</w:t>
            </w:r>
          </w:p>
        </w:tc>
      </w:tr>
      <w:tr w:rsidR="00A64634" w:rsidRPr="004F240C" w14:paraId="6C74CEEF" w14:textId="77777777" w:rsidTr="004F240C">
        <w:tc>
          <w:tcPr>
            <w:tcW w:w="1500" w:type="dxa"/>
          </w:tcPr>
          <w:p w14:paraId="4F920A6F" w14:textId="77777777" w:rsidR="00A64634" w:rsidRPr="004F240C" w:rsidRDefault="00CD0136" w:rsidP="004F240C">
            <w:r w:rsidRPr="004F240C">
              <w:t>Roles &amp; hierarchy</w:t>
            </w:r>
          </w:p>
        </w:tc>
        <w:tc>
          <w:tcPr>
            <w:tcW w:w="2700" w:type="dxa"/>
          </w:tcPr>
          <w:p w14:paraId="30A7110D" w14:textId="77777777" w:rsidR="00A64634" w:rsidRPr="004F240C" w:rsidRDefault="00CD0136" w:rsidP="004F240C">
            <w:r w:rsidRPr="004F240C">
              <w:t>Five roles (Super Admin, Manager, Rep, Finance, Custom).</w:t>
            </w:r>
          </w:p>
        </w:tc>
        <w:tc>
          <w:tcPr>
            <w:tcW w:w="3160" w:type="dxa"/>
          </w:tcPr>
          <w:p w14:paraId="1445F991" w14:textId="77777777" w:rsidR="00A64634" w:rsidRPr="004F240C" w:rsidRDefault="00CD0136" w:rsidP="004F240C">
            <w:r w:rsidRPr="004F240C">
              <w:t>New Admin role and a mandatory Field-Manager assignment for every rep.</w:t>
            </w:r>
          </w:p>
        </w:tc>
        <w:tc>
          <w:tcPr>
            <w:tcW w:w="2000" w:type="dxa"/>
          </w:tcPr>
          <w:p w14:paraId="5B83DAFC" w14:textId="77777777" w:rsidR="00A64634" w:rsidRPr="004F240C" w:rsidRDefault="00CD0136" w:rsidP="004F240C">
            <w:r w:rsidRPr="004F240C">
              <w:t>Minor increase</w:t>
            </w:r>
          </w:p>
        </w:tc>
      </w:tr>
      <w:tr w:rsidR="00A64634" w:rsidRPr="004F240C" w14:paraId="73B11637" w14:textId="77777777" w:rsidTr="004F240C">
        <w:tc>
          <w:tcPr>
            <w:tcW w:w="1500" w:type="dxa"/>
          </w:tcPr>
          <w:p w14:paraId="58339B69" w14:textId="77777777" w:rsidR="00A64634" w:rsidRPr="004F240C" w:rsidRDefault="00CD0136" w:rsidP="004F240C">
            <w:r w:rsidRPr="004F240C">
              <w:lastRenderedPageBreak/>
              <w:t>Commission tally</w:t>
            </w:r>
          </w:p>
        </w:tc>
        <w:tc>
          <w:tcPr>
            <w:tcW w:w="2700" w:type="dxa"/>
          </w:tcPr>
          <w:p w14:paraId="4EDDFD42" w14:textId="77777777" w:rsidR="00A64634" w:rsidRPr="004F240C" w:rsidRDefault="00CD0136" w:rsidP="004F240C">
            <w:r w:rsidRPr="004F240C">
              <w:t>Tiered commission rewrite.</w:t>
            </w:r>
          </w:p>
        </w:tc>
        <w:tc>
          <w:tcPr>
            <w:tcW w:w="3160" w:type="dxa"/>
          </w:tcPr>
          <w:p w14:paraId="3549BF51" w14:textId="77777777" w:rsidR="00A64634" w:rsidRPr="004F240C" w:rsidRDefault="00CD0136" w:rsidP="004F240C">
            <w:r w:rsidRPr="004F240C">
              <w:t>Gross, cross-client tally aggregation rule specified explicitly.</w:t>
            </w:r>
          </w:p>
        </w:tc>
        <w:tc>
          <w:tcPr>
            <w:tcW w:w="2000" w:type="dxa"/>
          </w:tcPr>
          <w:p w14:paraId="693D674E" w14:textId="77777777" w:rsidR="00A64634" w:rsidRPr="004F240C" w:rsidRDefault="00CD0136" w:rsidP="004F240C">
            <w:r w:rsidRPr="004F240C">
              <w:t>Confirm in estimate</w:t>
            </w:r>
          </w:p>
        </w:tc>
      </w:tr>
    </w:tbl>
    <w:p w14:paraId="6BAE37FC" w14:textId="77777777" w:rsidR="00A64634" w:rsidRPr="004F240C" w:rsidRDefault="00A64634" w:rsidP="004F240C"/>
    <w:p w14:paraId="15A6B011" w14:textId="77777777" w:rsidR="00A64634" w:rsidRPr="004F240C" w:rsidRDefault="00CD0136" w:rsidP="004F240C">
      <w:pPr>
        <w:pStyle w:val="Heading1"/>
        <w:rPr>
          <w:rFonts w:ascii="Times New Roman" w:hAnsi="Times New Roman" w:cs="Times New Roman"/>
          <w:sz w:val="32"/>
          <w:szCs w:val="32"/>
        </w:rPr>
      </w:pPr>
      <w:r w:rsidRPr="004F240C">
        <w:rPr>
          <w:rFonts w:ascii="Times New Roman" w:hAnsi="Times New Roman" w:cs="Times New Roman"/>
          <w:sz w:val="32"/>
          <w:szCs w:val="32"/>
        </w:rPr>
        <w:t>C.  Items that reduce or remove scope</w:t>
      </w:r>
    </w:p>
    <w:p w14:paraId="36BD36D8" w14:textId="77777777" w:rsidR="00A64634" w:rsidRPr="004F240C" w:rsidRDefault="00CD0136" w:rsidP="004F240C">
      <w:r w:rsidRPr="004F240C">
        <w:t xml:space="preserve">In fairness, the BRD also simplifies or drops several things from the Proposal. </w:t>
      </w:r>
      <w:proofErr w:type="gramStart"/>
      <w:r w:rsidRPr="004F240C">
        <w:t>These offset part of the increases</w:t>
      </w:r>
      <w:proofErr w:type="gramEnd"/>
      <w:r w:rsidRPr="004F240C">
        <w:t xml:space="preserve"> above.</w:t>
      </w:r>
    </w:p>
    <w:tbl>
      <w:tblPr>
        <w:tblStyle w:val="TableGrid"/>
        <w:tblW w:w="9360" w:type="dxa"/>
        <w:tblLook w:val="0000" w:firstRow="0" w:lastRow="0" w:firstColumn="0" w:lastColumn="0" w:noHBand="0" w:noVBand="0"/>
      </w:tblPr>
      <w:tblGrid>
        <w:gridCol w:w="1500"/>
        <w:gridCol w:w="2700"/>
        <w:gridCol w:w="3160"/>
        <w:gridCol w:w="2000"/>
      </w:tblGrid>
      <w:tr w:rsidR="00A64634" w:rsidRPr="004F240C" w14:paraId="6A5ACDA0" w14:textId="77777777" w:rsidTr="004F240C">
        <w:tc>
          <w:tcPr>
            <w:tcW w:w="1500" w:type="dxa"/>
          </w:tcPr>
          <w:p w14:paraId="13EDDEED" w14:textId="77777777" w:rsidR="00A64634" w:rsidRPr="004F240C" w:rsidRDefault="00CD0136" w:rsidP="004F240C">
            <w:pPr>
              <w:rPr>
                <w:b/>
                <w:bCs/>
              </w:rPr>
            </w:pPr>
            <w:r w:rsidRPr="004F240C">
              <w:rPr>
                <w:b/>
                <w:bCs/>
              </w:rPr>
              <w:t>Area</w:t>
            </w:r>
          </w:p>
        </w:tc>
        <w:tc>
          <w:tcPr>
            <w:tcW w:w="2700" w:type="dxa"/>
          </w:tcPr>
          <w:p w14:paraId="278DF780" w14:textId="77777777" w:rsidR="00A64634" w:rsidRPr="004F240C" w:rsidRDefault="00CD0136" w:rsidP="004F240C">
            <w:pPr>
              <w:rPr>
                <w:b/>
                <w:bCs/>
              </w:rPr>
            </w:pPr>
            <w:r w:rsidRPr="004F240C">
              <w:rPr>
                <w:b/>
                <w:bCs/>
              </w:rPr>
              <w:t>What the Proposal assumed</w:t>
            </w:r>
          </w:p>
        </w:tc>
        <w:tc>
          <w:tcPr>
            <w:tcW w:w="3160" w:type="dxa"/>
          </w:tcPr>
          <w:p w14:paraId="0C5CB555" w14:textId="77777777" w:rsidR="00A64634" w:rsidRPr="004F240C" w:rsidRDefault="00CD0136" w:rsidP="004F240C">
            <w:pPr>
              <w:rPr>
                <w:b/>
                <w:bCs/>
              </w:rPr>
            </w:pPr>
            <w:r w:rsidRPr="004F240C">
              <w:rPr>
                <w:b/>
                <w:bCs/>
              </w:rPr>
              <w:t>What the BRD v1.2 requires</w:t>
            </w:r>
          </w:p>
        </w:tc>
        <w:tc>
          <w:tcPr>
            <w:tcW w:w="2000" w:type="dxa"/>
          </w:tcPr>
          <w:p w14:paraId="5BA52A76" w14:textId="77777777" w:rsidR="00A64634" w:rsidRPr="004F240C" w:rsidRDefault="00CD0136" w:rsidP="004F240C">
            <w:pPr>
              <w:rPr>
                <w:b/>
                <w:bCs/>
              </w:rPr>
            </w:pPr>
            <w:r w:rsidRPr="004F240C">
              <w:rPr>
                <w:b/>
                <w:bCs/>
              </w:rPr>
              <w:t>Pricing impact</w:t>
            </w:r>
          </w:p>
        </w:tc>
      </w:tr>
      <w:tr w:rsidR="00A64634" w:rsidRPr="004F240C" w14:paraId="43E39BCB" w14:textId="77777777" w:rsidTr="004F240C">
        <w:tc>
          <w:tcPr>
            <w:tcW w:w="1500" w:type="dxa"/>
          </w:tcPr>
          <w:p w14:paraId="388F6E62" w14:textId="77777777" w:rsidR="00A64634" w:rsidRPr="004F240C" w:rsidRDefault="00CD0136" w:rsidP="004F240C">
            <w:r w:rsidRPr="004F240C">
              <w:t>Clawback logic</w:t>
            </w:r>
          </w:p>
        </w:tc>
        <w:tc>
          <w:tcPr>
            <w:tcW w:w="2700" w:type="dxa"/>
          </w:tcPr>
          <w:p w14:paraId="718A77B8" w14:textId="77777777" w:rsidR="00A64634" w:rsidRPr="004F240C" w:rsidRDefault="00CD0136" w:rsidP="004F240C">
            <w:r w:rsidRPr="004F240C">
              <w:t>30/60-day windows, tier-cascade re-tiering, and 70/30 sequencing.</w:t>
            </w:r>
          </w:p>
        </w:tc>
        <w:tc>
          <w:tcPr>
            <w:tcW w:w="3160" w:type="dxa"/>
          </w:tcPr>
          <w:p w14:paraId="681FD10B" w14:textId="77777777" w:rsidR="00A64634" w:rsidRPr="004F240C" w:rsidRDefault="00CD0136" w:rsidP="004F240C">
            <w:r w:rsidRPr="004F240C">
              <w:t>Flat dollar-for-dollar deduction; no in-system date math or sequencing.</w:t>
            </w:r>
          </w:p>
        </w:tc>
        <w:tc>
          <w:tcPr>
            <w:tcW w:w="2000" w:type="dxa"/>
          </w:tcPr>
          <w:p w14:paraId="27A36EEF" w14:textId="77777777" w:rsidR="00A64634" w:rsidRPr="004F240C" w:rsidRDefault="00CD0136" w:rsidP="004F240C">
            <w:r w:rsidRPr="004F240C">
              <w:t>Reduction</w:t>
            </w:r>
          </w:p>
        </w:tc>
      </w:tr>
      <w:tr w:rsidR="00A64634" w:rsidRPr="004F240C" w14:paraId="5CA98D78" w14:textId="77777777" w:rsidTr="004F240C">
        <w:tc>
          <w:tcPr>
            <w:tcW w:w="1500" w:type="dxa"/>
          </w:tcPr>
          <w:p w14:paraId="0DDC93D7" w14:textId="77777777" w:rsidR="00A64634" w:rsidRPr="004F240C" w:rsidRDefault="00CD0136" w:rsidP="004F240C">
            <w:r w:rsidRPr="004F240C">
              <w:t>M3 “Could Have” items</w:t>
            </w:r>
          </w:p>
        </w:tc>
        <w:tc>
          <w:tcPr>
            <w:tcW w:w="2700" w:type="dxa"/>
          </w:tcPr>
          <w:p w14:paraId="62205175" w14:textId="77777777" w:rsidR="00A64634" w:rsidRPr="004F240C" w:rsidRDefault="00CD0136" w:rsidP="004F240C">
            <w:r w:rsidRPr="004F240C">
              <w:t>DocuSign-style signing, 2FA, partial clawback, cohort ramp tracking, landing-page rebuild.</w:t>
            </w:r>
          </w:p>
        </w:tc>
        <w:tc>
          <w:tcPr>
            <w:tcW w:w="3160" w:type="dxa"/>
          </w:tcPr>
          <w:p w14:paraId="0CE1D1BE" w14:textId="77777777" w:rsidR="00A64634" w:rsidRPr="004F240C" w:rsidRDefault="00CD0136" w:rsidP="004F240C">
            <w:r w:rsidRPr="004F240C">
              <w:t>Not in the BRD scope.</w:t>
            </w:r>
          </w:p>
        </w:tc>
        <w:tc>
          <w:tcPr>
            <w:tcW w:w="2000" w:type="dxa"/>
          </w:tcPr>
          <w:p w14:paraId="4E383080" w14:textId="77777777" w:rsidR="00A64634" w:rsidRPr="004F240C" w:rsidRDefault="00CD0136" w:rsidP="004F240C">
            <w:r w:rsidRPr="004F240C">
              <w:t>Reduction</w:t>
            </w:r>
          </w:p>
        </w:tc>
      </w:tr>
      <w:tr w:rsidR="00A64634" w:rsidRPr="004F240C" w14:paraId="2BAE5F35" w14:textId="77777777" w:rsidTr="004F240C">
        <w:tc>
          <w:tcPr>
            <w:tcW w:w="1500" w:type="dxa"/>
          </w:tcPr>
          <w:p w14:paraId="6FA50ECE" w14:textId="77777777" w:rsidR="00A64634" w:rsidRPr="004F240C" w:rsidRDefault="00CD0136" w:rsidP="004F240C">
            <w:r w:rsidRPr="004F240C">
              <w:t>Invoice tax</w:t>
            </w:r>
          </w:p>
        </w:tc>
        <w:tc>
          <w:tcPr>
            <w:tcW w:w="2700" w:type="dxa"/>
          </w:tcPr>
          <w:p w14:paraId="2A35E95A" w14:textId="77777777" w:rsidR="00A64634" w:rsidRPr="004F240C" w:rsidRDefault="00CD0136" w:rsidP="004F240C">
            <w:r w:rsidRPr="004F240C">
              <w:t>GST/PST included on statements/invoices.</w:t>
            </w:r>
          </w:p>
        </w:tc>
        <w:tc>
          <w:tcPr>
            <w:tcW w:w="3160" w:type="dxa"/>
          </w:tcPr>
          <w:p w14:paraId="7145E68D" w14:textId="77777777" w:rsidR="00A64634" w:rsidRPr="004F240C" w:rsidRDefault="00CD0136" w:rsidP="004F240C">
            <w:r w:rsidRPr="004F240C">
              <w:t>Removed entirely; handled in QuickBooks.</w:t>
            </w:r>
          </w:p>
        </w:tc>
        <w:tc>
          <w:tcPr>
            <w:tcW w:w="2000" w:type="dxa"/>
          </w:tcPr>
          <w:p w14:paraId="21AAACA8" w14:textId="77777777" w:rsidR="00A64634" w:rsidRPr="004F240C" w:rsidRDefault="00CD0136" w:rsidP="004F240C">
            <w:r w:rsidRPr="004F240C">
              <w:t>Minor reduction</w:t>
            </w:r>
          </w:p>
        </w:tc>
      </w:tr>
      <w:tr w:rsidR="00A64634" w:rsidRPr="004F240C" w14:paraId="6A7479FC" w14:textId="77777777" w:rsidTr="004F240C">
        <w:tc>
          <w:tcPr>
            <w:tcW w:w="1500" w:type="dxa"/>
          </w:tcPr>
          <w:p w14:paraId="5B87343E" w14:textId="77777777" w:rsidR="00A64634" w:rsidRPr="004F240C" w:rsidRDefault="00CD0136" w:rsidP="004F240C">
            <w:r w:rsidRPr="004F240C">
              <w:t>Commission values</w:t>
            </w:r>
          </w:p>
        </w:tc>
        <w:tc>
          <w:tcPr>
            <w:tcW w:w="2700" w:type="dxa"/>
          </w:tcPr>
          <w:p w14:paraId="6CEC0D01" w14:textId="77777777" w:rsidR="00A64634" w:rsidRPr="004F240C" w:rsidRDefault="00CD0136" w:rsidP="004F240C">
            <w:r w:rsidRPr="004F240C">
              <w:t>Tier thresholds and rates as in Schedule C v1.</w:t>
            </w:r>
          </w:p>
        </w:tc>
        <w:tc>
          <w:tcPr>
            <w:tcW w:w="3160" w:type="dxa"/>
          </w:tcPr>
          <w:p w14:paraId="36BBE171" w14:textId="77777777" w:rsidR="00A64634" w:rsidRPr="004F240C" w:rsidRDefault="00CD0136" w:rsidP="004F240C">
            <w:r w:rsidRPr="004F240C">
              <w:t>Schedule C v2 values (thresholds, rates, greenfield $100, home phone $30). Configurable, not new engineering.</w:t>
            </w:r>
          </w:p>
        </w:tc>
        <w:tc>
          <w:tcPr>
            <w:tcW w:w="2000" w:type="dxa"/>
          </w:tcPr>
          <w:p w14:paraId="60C46C1D" w14:textId="77777777" w:rsidR="00A64634" w:rsidRPr="004F240C" w:rsidRDefault="00CD0136" w:rsidP="004F240C">
            <w:r w:rsidRPr="004F240C">
              <w:t>Confirm in estimate</w:t>
            </w:r>
          </w:p>
        </w:tc>
      </w:tr>
    </w:tbl>
    <w:p w14:paraId="1178B681" w14:textId="3050E72B" w:rsidR="00A64634" w:rsidRDefault="00A64634" w:rsidP="004F240C"/>
    <w:p w14:paraId="2AC127A0" w14:textId="4F19F825" w:rsidR="004F240C" w:rsidRDefault="004F240C" w:rsidP="004F240C"/>
    <w:p w14:paraId="3251872C" w14:textId="77777777" w:rsidR="004F240C" w:rsidRPr="004F240C" w:rsidRDefault="004F240C" w:rsidP="004F240C"/>
    <w:p w14:paraId="5EFE334D" w14:textId="77777777" w:rsidR="00A64634" w:rsidRPr="004F240C" w:rsidRDefault="00CD0136" w:rsidP="004F240C">
      <w:pPr>
        <w:pStyle w:val="Heading1"/>
        <w:rPr>
          <w:rFonts w:ascii="Times New Roman" w:hAnsi="Times New Roman" w:cs="Times New Roman"/>
          <w:sz w:val="32"/>
          <w:szCs w:val="32"/>
        </w:rPr>
      </w:pPr>
      <w:r w:rsidRPr="004F240C">
        <w:rPr>
          <w:rFonts w:ascii="Times New Roman" w:hAnsi="Times New Roman" w:cs="Times New Roman"/>
          <w:sz w:val="32"/>
          <w:szCs w:val="32"/>
        </w:rPr>
        <w:lastRenderedPageBreak/>
        <w:t>What this means for pricing</w:t>
      </w:r>
    </w:p>
    <w:p w14:paraId="5902F2E7" w14:textId="77777777" w:rsidR="00A64634" w:rsidRPr="004F240C" w:rsidRDefault="00CD0136" w:rsidP="004F240C">
      <w:r w:rsidRPr="004F240C">
        <w:t xml:space="preserve">The original Proposal figures were tied to a fix-and-extend approach. With the BRD now confirming a clean-slate build plus the new scope above, those figures no longer reflect the agreed work. The reductions in Section </w:t>
      </w:r>
      <w:proofErr w:type="spellStart"/>
      <w:r w:rsidRPr="004F240C">
        <w:t>C are</w:t>
      </w:r>
      <w:proofErr w:type="spellEnd"/>
      <w:r w:rsidRPr="004F240C">
        <w:t xml:space="preserve"> real but do not fully offset th</w:t>
      </w:r>
      <w:r w:rsidRPr="004F240C">
        <w:t>e move to a ground-up build.</w:t>
      </w:r>
    </w:p>
    <w:p w14:paraId="612D7144" w14:textId="77777777" w:rsidR="00A64634" w:rsidRPr="004F240C" w:rsidRDefault="00CD0136" w:rsidP="004F240C">
      <w:r w:rsidRPr="004F240C">
        <w:t>We propose to re-baseline the quotation directly against the BRD, keeping the same phased (M1 / M2 / M3) and payment structure already agreed. Concretely:</w:t>
      </w:r>
    </w:p>
    <w:p w14:paraId="275F2661" w14:textId="77777777" w:rsidR="00A64634" w:rsidRPr="004F240C" w:rsidRDefault="00CD0136" w:rsidP="004F240C">
      <w:pPr>
        <w:pStyle w:val="ListParagraph"/>
        <w:numPr>
          <w:ilvl w:val="0"/>
          <w:numId w:val="2"/>
        </w:numPr>
        <w:spacing w:after="60" w:line="360" w:lineRule="auto"/>
        <w:jc w:val="both"/>
        <w:rPr>
          <w:rFonts w:ascii="Times New Roman" w:hAnsi="Times New Roman" w:cs="Times New Roman"/>
          <w:sz w:val="24"/>
          <w:szCs w:val="24"/>
        </w:rPr>
      </w:pPr>
      <w:r w:rsidRPr="004F240C">
        <w:rPr>
          <w:rFonts w:ascii="Times New Roman" w:hAnsi="Times New Roman" w:cs="Times New Roman"/>
          <w:sz w:val="24"/>
          <w:szCs w:val="24"/>
        </w:rPr>
        <w:t>Re-estimate each milestone against the BRD as the single source of truth</w:t>
      </w:r>
      <w:r w:rsidRPr="004F240C">
        <w:rPr>
          <w:rFonts w:ascii="Times New Roman" w:hAnsi="Times New Roman" w:cs="Times New Roman"/>
          <w:sz w:val="24"/>
          <w:szCs w:val="24"/>
        </w:rPr>
        <w:t>, mapped item-by-item to the changes in this document.</w:t>
      </w:r>
    </w:p>
    <w:p w14:paraId="08502791" w14:textId="77777777" w:rsidR="00A64634" w:rsidRPr="004F240C" w:rsidRDefault="00CD0136" w:rsidP="004F240C">
      <w:pPr>
        <w:pStyle w:val="ListParagraph"/>
        <w:numPr>
          <w:ilvl w:val="0"/>
          <w:numId w:val="2"/>
        </w:numPr>
        <w:spacing w:after="60" w:line="360" w:lineRule="auto"/>
        <w:jc w:val="both"/>
        <w:rPr>
          <w:rFonts w:ascii="Times New Roman" w:hAnsi="Times New Roman" w:cs="Times New Roman"/>
          <w:sz w:val="24"/>
          <w:szCs w:val="24"/>
        </w:rPr>
      </w:pPr>
      <w:r w:rsidRPr="004F240C">
        <w:rPr>
          <w:rFonts w:ascii="Times New Roman" w:hAnsi="Times New Roman" w:cs="Times New Roman"/>
          <w:sz w:val="24"/>
          <w:szCs w:val="24"/>
        </w:rPr>
        <w:t>Issue a revised Phase 2 quotation reflecting the clean-slate build, the new scope items, and the offsetting reductions.</w:t>
      </w:r>
    </w:p>
    <w:p w14:paraId="060A8E5E" w14:textId="77777777" w:rsidR="00A64634" w:rsidRPr="004F240C" w:rsidRDefault="00CD0136" w:rsidP="004F240C">
      <w:pPr>
        <w:pStyle w:val="ListParagraph"/>
        <w:numPr>
          <w:ilvl w:val="0"/>
          <w:numId w:val="2"/>
        </w:numPr>
        <w:spacing w:after="60" w:line="360" w:lineRule="auto"/>
        <w:jc w:val="both"/>
        <w:rPr>
          <w:rFonts w:ascii="Times New Roman" w:hAnsi="Times New Roman" w:cs="Times New Roman"/>
          <w:sz w:val="24"/>
          <w:szCs w:val="24"/>
        </w:rPr>
      </w:pPr>
      <w:r w:rsidRPr="004F240C">
        <w:rPr>
          <w:rFonts w:ascii="Times New Roman" w:hAnsi="Times New Roman" w:cs="Times New Roman"/>
          <w:sz w:val="24"/>
          <w:szCs w:val="24"/>
        </w:rPr>
        <w:t>Confirm the open items the BRD itself flags — the ADP export schema and CTI’s pro</w:t>
      </w:r>
      <w:r w:rsidRPr="004F240C">
        <w:rPr>
          <w:rFonts w:ascii="Times New Roman" w:hAnsi="Times New Roman" w:cs="Times New Roman"/>
          <w:sz w:val="24"/>
          <w:szCs w:val="24"/>
        </w:rPr>
        <w:t>duct catalogue — so nothing is left ambiguous before build.</w:t>
      </w:r>
    </w:p>
    <w:p w14:paraId="5E045176" w14:textId="77777777" w:rsidR="00A64634" w:rsidRPr="004F240C" w:rsidRDefault="00A64634" w:rsidP="004F240C"/>
    <w:p w14:paraId="66B6073D" w14:textId="77777777" w:rsidR="00A64634" w:rsidRPr="004F240C" w:rsidRDefault="00CD0136" w:rsidP="004F240C">
      <w:r w:rsidRPr="004F240C">
        <w:t>Our intent is simply to make sure the price matches the platform the BRD describes. We’re happy to walk through any line in this comparison together.</w:t>
      </w:r>
    </w:p>
    <w:sectPr w:rsidR="00A64634" w:rsidRPr="004F240C">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84CFD5" w14:textId="77777777" w:rsidR="00CD0136" w:rsidRDefault="00CD0136" w:rsidP="004F240C">
      <w:r>
        <w:separator/>
      </w:r>
    </w:p>
  </w:endnote>
  <w:endnote w:type="continuationSeparator" w:id="0">
    <w:p w14:paraId="7E23F6E1" w14:textId="77777777" w:rsidR="00CD0136" w:rsidRDefault="00CD0136" w:rsidP="004F24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26206304"/>
      <w:docPartObj>
        <w:docPartGallery w:val="Page Numbers (Bottom of Page)"/>
        <w:docPartUnique/>
      </w:docPartObj>
    </w:sdtPr>
    <w:sdtEndPr>
      <w:rPr>
        <w:noProof/>
      </w:rPr>
    </w:sdtEndPr>
    <w:sdtContent>
      <w:p w14:paraId="38D84623" w14:textId="5EB741D4" w:rsidR="004F240C" w:rsidRDefault="004F240C" w:rsidP="004F240C">
        <w:r w:rsidRPr="004F240C">
          <w:t xml:space="preserve">© 2026 Fathom. Confidential </w:t>
        </w:r>
        <w:r>
          <w:t>-</w:t>
        </w:r>
        <w:r w:rsidRPr="004F240C">
          <w:t xml:space="preserve"> covered under the </w:t>
        </w:r>
        <w:r>
          <w:t>NDA</w:t>
        </w:r>
        <w:r>
          <w:tab/>
        </w:r>
        <w:r>
          <w:tab/>
        </w:r>
        <w:r>
          <w:tab/>
        </w:r>
        <w:r w:rsidRPr="004F240C">
          <w:t>.</w:t>
        </w:r>
        <w:r>
          <w:tab/>
        </w:r>
        <w:r>
          <w:tab/>
          <w:t xml:space="preserve">         </w:t>
        </w: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193962" w14:textId="77777777" w:rsidR="00CD0136" w:rsidRDefault="00CD0136" w:rsidP="004F240C">
      <w:r>
        <w:separator/>
      </w:r>
    </w:p>
  </w:footnote>
  <w:footnote w:type="continuationSeparator" w:id="0">
    <w:p w14:paraId="61E482E8" w14:textId="77777777" w:rsidR="00CD0136" w:rsidRDefault="00CD0136" w:rsidP="004F240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FB2871"/>
    <w:multiLevelType w:val="hybridMultilevel"/>
    <w:tmpl w:val="550C414A"/>
    <w:lvl w:ilvl="0" w:tplc="0CD82082">
      <w:start w:val="1"/>
      <w:numFmt w:val="bullet"/>
      <w:lvlText w:val="●"/>
      <w:lvlJc w:val="left"/>
      <w:pPr>
        <w:ind w:left="720" w:hanging="360"/>
      </w:pPr>
    </w:lvl>
    <w:lvl w:ilvl="1" w:tplc="8C44A8D0">
      <w:start w:val="1"/>
      <w:numFmt w:val="bullet"/>
      <w:lvlText w:val="○"/>
      <w:lvlJc w:val="left"/>
      <w:pPr>
        <w:ind w:left="1440" w:hanging="360"/>
      </w:pPr>
    </w:lvl>
    <w:lvl w:ilvl="2" w:tplc="A5D6A72E">
      <w:start w:val="1"/>
      <w:numFmt w:val="bullet"/>
      <w:lvlText w:val="■"/>
      <w:lvlJc w:val="left"/>
      <w:pPr>
        <w:ind w:left="2160" w:hanging="360"/>
      </w:pPr>
    </w:lvl>
    <w:lvl w:ilvl="3" w:tplc="439C2B3A">
      <w:start w:val="1"/>
      <w:numFmt w:val="bullet"/>
      <w:lvlText w:val="●"/>
      <w:lvlJc w:val="left"/>
      <w:pPr>
        <w:ind w:left="2880" w:hanging="360"/>
      </w:pPr>
    </w:lvl>
    <w:lvl w:ilvl="4" w:tplc="DCC4CCEA">
      <w:start w:val="1"/>
      <w:numFmt w:val="bullet"/>
      <w:lvlText w:val="○"/>
      <w:lvlJc w:val="left"/>
      <w:pPr>
        <w:ind w:left="3600" w:hanging="360"/>
      </w:pPr>
    </w:lvl>
    <w:lvl w:ilvl="5" w:tplc="DE38ACB0">
      <w:start w:val="1"/>
      <w:numFmt w:val="bullet"/>
      <w:lvlText w:val="■"/>
      <w:lvlJc w:val="left"/>
      <w:pPr>
        <w:ind w:left="4320" w:hanging="360"/>
      </w:pPr>
    </w:lvl>
    <w:lvl w:ilvl="6" w:tplc="6D9C6A4A">
      <w:start w:val="1"/>
      <w:numFmt w:val="bullet"/>
      <w:lvlText w:val="●"/>
      <w:lvlJc w:val="left"/>
      <w:pPr>
        <w:ind w:left="5040" w:hanging="360"/>
      </w:pPr>
    </w:lvl>
    <w:lvl w:ilvl="7" w:tplc="14708D3E">
      <w:start w:val="1"/>
      <w:numFmt w:val="bullet"/>
      <w:lvlText w:val="●"/>
      <w:lvlJc w:val="left"/>
      <w:pPr>
        <w:ind w:left="5760" w:hanging="360"/>
      </w:pPr>
    </w:lvl>
    <w:lvl w:ilvl="8" w:tplc="E6DACE0A">
      <w:start w:val="1"/>
      <w:numFmt w:val="bullet"/>
      <w:lvlText w:val="●"/>
      <w:lvlJc w:val="left"/>
      <w:pPr>
        <w:ind w:left="6480" w:hanging="360"/>
      </w:pPr>
    </w:lvl>
  </w:abstractNum>
  <w:abstractNum w:abstractNumId="1" w15:restartNumberingAfterBreak="0">
    <w:nsid w:val="73B07CBD"/>
    <w:multiLevelType w:val="hybridMultilevel"/>
    <w:tmpl w:val="438EF872"/>
    <w:lvl w:ilvl="0" w:tplc="EBA84238">
      <w:start w:val="1"/>
      <w:numFmt w:val="bullet"/>
      <w:lvlText w:val="•"/>
      <w:lvlJc w:val="left"/>
      <w:pPr>
        <w:ind w:left="460" w:hanging="260"/>
      </w:pPr>
    </w:lvl>
    <w:lvl w:ilvl="1" w:tplc="EDA20266">
      <w:numFmt w:val="decimal"/>
      <w:lvlText w:val=""/>
      <w:lvlJc w:val="left"/>
    </w:lvl>
    <w:lvl w:ilvl="2" w:tplc="49546B36">
      <w:numFmt w:val="decimal"/>
      <w:lvlText w:val=""/>
      <w:lvlJc w:val="left"/>
    </w:lvl>
    <w:lvl w:ilvl="3" w:tplc="6478DF4A">
      <w:numFmt w:val="decimal"/>
      <w:lvlText w:val=""/>
      <w:lvlJc w:val="left"/>
    </w:lvl>
    <w:lvl w:ilvl="4" w:tplc="BFCA18AA">
      <w:numFmt w:val="decimal"/>
      <w:lvlText w:val=""/>
      <w:lvlJc w:val="left"/>
    </w:lvl>
    <w:lvl w:ilvl="5" w:tplc="BB1E041C">
      <w:numFmt w:val="decimal"/>
      <w:lvlText w:val=""/>
      <w:lvlJc w:val="left"/>
    </w:lvl>
    <w:lvl w:ilvl="6" w:tplc="E74CCB52">
      <w:numFmt w:val="decimal"/>
      <w:lvlText w:val=""/>
      <w:lvlJc w:val="left"/>
    </w:lvl>
    <w:lvl w:ilvl="7" w:tplc="8D2418FA">
      <w:numFmt w:val="decimal"/>
      <w:lvlText w:val=""/>
      <w:lvlJc w:val="left"/>
    </w:lvl>
    <w:lvl w:ilvl="8" w:tplc="77CC7254">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removePersonalInformation/>
  <w:removeDateAndTime/>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4634"/>
    <w:rsid w:val="004F240C"/>
    <w:rsid w:val="00A64634"/>
    <w:rsid w:val="00CD0136"/>
    <w:rsid w:val="00F2402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B5F5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222222"/>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240C"/>
    <w:pPr>
      <w:spacing w:after="120" w:line="360" w:lineRule="auto"/>
      <w:jc w:val="both"/>
    </w:pPr>
    <w:rPr>
      <w:rFonts w:ascii="Times New Roman" w:hAnsi="Times New Roman" w:cs="Times New Roman"/>
      <w:sz w:val="24"/>
      <w:szCs w:val="24"/>
    </w:rPr>
  </w:style>
  <w:style w:type="paragraph" w:styleId="Heading1">
    <w:name w:val="heading 1"/>
    <w:uiPriority w:val="9"/>
    <w:qFormat/>
    <w:rsid w:val="004F240C"/>
    <w:pPr>
      <w:spacing w:before="320" w:after="140" w:line="360" w:lineRule="auto"/>
      <w:jc w:val="both"/>
      <w:outlineLvl w:val="0"/>
    </w:pPr>
    <w:rPr>
      <w:b/>
      <w:bCs/>
      <w:color w:val="1A1A1A"/>
      <w:sz w:val="30"/>
      <w:szCs w:val="30"/>
    </w:rPr>
  </w:style>
  <w:style w:type="paragraph" w:styleId="Heading2">
    <w:name w:val="heading 2"/>
    <w:uiPriority w:val="9"/>
    <w:semiHidden/>
    <w:unhideWhenUsed/>
    <w:qFormat/>
    <w:pPr>
      <w:spacing w:before="220" w:after="100"/>
      <w:outlineLvl w:val="1"/>
    </w:pPr>
    <w:rPr>
      <w:b/>
      <w:bCs/>
      <w:color w:val="8B2635"/>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F240C"/>
    <w:pPr>
      <w:tabs>
        <w:tab w:val="center" w:pos="4513"/>
        <w:tab w:val="right" w:pos="9026"/>
      </w:tabs>
    </w:pPr>
  </w:style>
  <w:style w:type="character" w:customStyle="1" w:styleId="HeaderChar">
    <w:name w:val="Header Char"/>
    <w:basedOn w:val="DefaultParagraphFont"/>
    <w:link w:val="Header"/>
    <w:uiPriority w:val="99"/>
    <w:rsid w:val="004F240C"/>
  </w:style>
  <w:style w:type="paragraph" w:styleId="Footer">
    <w:name w:val="footer"/>
    <w:basedOn w:val="Normal"/>
    <w:link w:val="FooterChar"/>
    <w:uiPriority w:val="99"/>
    <w:unhideWhenUsed/>
    <w:rsid w:val="004F240C"/>
    <w:pPr>
      <w:tabs>
        <w:tab w:val="center" w:pos="4513"/>
        <w:tab w:val="right" w:pos="9026"/>
      </w:tabs>
    </w:pPr>
  </w:style>
  <w:style w:type="character" w:customStyle="1" w:styleId="FooterChar">
    <w:name w:val="Footer Char"/>
    <w:basedOn w:val="DefaultParagraphFont"/>
    <w:link w:val="Footer"/>
    <w:uiPriority w:val="99"/>
    <w:rsid w:val="004F240C"/>
  </w:style>
  <w:style w:type="table" w:styleId="TableGrid">
    <w:name w:val="Table Grid"/>
    <w:basedOn w:val="TableNormal"/>
    <w:uiPriority w:val="39"/>
    <w:rsid w:val="004F240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882</Words>
  <Characters>5034</Characters>
  <Application>Microsoft Office Word</Application>
  <DocSecurity>0</DocSecurity>
  <Lines>41</Lines>
  <Paragraphs>11</Paragraphs>
  <ScaleCrop>false</ScaleCrop>
  <Company/>
  <LinksUpToDate>false</LinksUpToDate>
  <CharactersWithSpaces>5905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2026-06-02T00:40:00Z</dcterms:created>
  <dcterms:modified xsi:type="dcterms:W3CDTF">2026-06-02T00:40:00Z</dcterms:modified>
</cp:coreProperties>
</file>