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000" w:after="320"/>
      </w:pPr>
    </w:p>
    <w:p>
      <w:pPr>
        <w:widowControl/>
        <w:spacing w:after="240"/>
        <w:jc w:val="center"/>
      </w:pPr>
      <w:r>
        <w:rPr>
          <w:rFonts w:ascii="Calibri" w:hAnsi="Calibri"/>
          <w:b/>
          <w:i w:val="0"/>
          <w:color w:val="A46F00"/>
          <w:sz w:val="20"/>
        </w:rPr>
        <w:t>AUTHOR SELF-ASSESSMENT</w:t>
      </w:r>
    </w:p>
    <w:p>
      <w:pPr>
        <w:pStyle w:val="Title"/>
        <w:widowControl/>
        <w:jc w:val="center"/>
      </w:pPr>
      <w:r>
        <w:t>Architecture Integrity and NIST Readiness Review</w:t>
      </w:r>
    </w:p>
    <w:p>
      <w:pPr>
        <w:pStyle w:val="Subtitle"/>
        <w:widowControl/>
        <w:jc w:val="center"/>
      </w:pPr>
      <w:r>
        <w:t>Publication integrity, technical coherence, mapping readiness, validation gaps, and engagement gates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val="true"/>
        </w:trPr>
        <w:tc>
          <w:tcPr>
            <w:tcW w:type="dxa" w:w="2300"/>
            <w:shd w:fill="F2F4F7" w:val="clear"/>
            <w:vAlign w:val="center"/>
            <w:tcMar>
              <w:top w:w="80" w:type="dxa"/>
              <w:bottom w:w="80" w:type="dxa"/>
              <w:start w:w="120" w:type="dxa"/>
              <w:end w:w="120" w:type="dxa"/>
            </w:tcMar>
          </w:tcPr>
          <w:p>
            <w:pPr>
              <w:spacing w:after="0"/>
              <w:jc w:val="left"/>
            </w:pPr>
            <w:r>
              <w:rPr>
                <w:rFonts w:ascii="Calibri" w:hAnsi="Calibri"/>
                <w:b/>
                <w:i w:val="0"/>
                <w:color w:val="17324D"/>
                <w:sz w:val="18"/>
              </w:rPr>
              <w:t>Field</w:t>
            </w:r>
          </w:p>
        </w:tc>
        <w:tc>
          <w:tcPr>
            <w:tcW w:type="dxa" w:w="7060"/>
            <w:shd w:fill="F2F4F7" w:val="clear"/>
            <w:vAlign w:val="center"/>
            <w:tcMar>
              <w:top w:w="80" w:type="dxa"/>
              <w:bottom w:w="80" w:type="dxa"/>
              <w:start w:w="120" w:type="dxa"/>
              <w:end w:w="120" w:type="dxa"/>
            </w:tcMar>
          </w:tcPr>
          <w:p>
            <w:pPr>
              <w:spacing w:after="0"/>
              <w:jc w:val="left"/>
            </w:pPr>
            <w:r>
              <w:rPr>
                <w:rFonts w:ascii="Calibri" w:hAnsi="Calibri"/>
                <w:b/>
                <w:i w:val="0"/>
                <w:color w:val="17324D"/>
                <w:sz w:val="18"/>
              </w:rPr>
              <w:t>Controlled value</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8"/>
              </w:rPr>
              <w:t>Document identifier</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8"/>
              </w:rPr>
              <w:t>AERA-001-I1-2026-08-07</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8"/>
              </w:rPr>
              <w:t>Package build</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8"/>
              </w:rPr>
              <w:t>AERA-001-1.2WD-20260807.1</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8"/>
              </w:rPr>
              <w:t>Subject</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8"/>
              </w:rPr>
              <w:t>AERA 1.2 WD controlled publication package</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8"/>
              </w:rPr>
              <w:t>Prepared by</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8"/>
              </w:rPr>
              <w:t>Angelis Pseftis</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8"/>
              </w:rPr>
              <w:t>Affiliation</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8"/>
              </w:rPr>
              <w:t>Independent author</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8"/>
              </w:rPr>
              <w:t>Assessment date</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8"/>
              </w:rPr>
              <w:t>7 August 2026</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8"/>
              </w:rPr>
              <w:t>Assurance level</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8"/>
              </w:rPr>
              <w:t>I1 author self-assessment; not independent</w:t>
            </w:r>
          </w:p>
        </w:tc>
      </w:tr>
      <w:tr>
        <w:trPr>
          <w:cantSplit w:val="true"/>
        </w:trPr>
        <w:tc>
          <w:tcPr>
            <w:tcW w:type="dxa" w:w="2300"/>
            <w:vAlign w:val="center"/>
            <w:tcMar>
              <w:top w:w="80" w:type="dxa"/>
              <w:bottom w:w="80" w:type="dxa"/>
              <w:start w:w="120" w:type="dxa"/>
              <w:end w:w="120" w:type="dxa"/>
            </w:tcMar>
          </w:tcPr>
          <w:p>
            <w:pPr>
              <w:spacing w:after="0"/>
            </w:pPr>
            <w:r>
              <w:rPr>
                <w:rFonts w:ascii="Calibri" w:hAnsi="Calibri"/>
                <w:b w:val="0"/>
                <w:i w:val="0"/>
                <w:color w:val="20252B"/>
                <w:sz w:val="18"/>
              </w:rPr>
              <w:t>Review status</w:t>
            </w:r>
          </w:p>
        </w:tc>
        <w:tc>
          <w:tcPr>
            <w:tcW w:type="dxa" w:w="7060"/>
            <w:vAlign w:val="center"/>
            <w:tcMar>
              <w:top w:w="80" w:type="dxa"/>
              <w:bottom w:w="80" w:type="dxa"/>
              <w:start w:w="120" w:type="dxa"/>
              <w:end w:w="120" w:type="dxa"/>
            </w:tcMar>
          </w:tcPr>
          <w:p>
            <w:pPr>
              <w:spacing w:after="0"/>
            </w:pPr>
            <w:r>
              <w:rPr>
                <w:rFonts w:ascii="Calibri" w:hAnsi="Calibri"/>
                <w:b w:val="0"/>
                <w:i w:val="0"/>
                <w:color w:val="20252B"/>
                <w:sz w:val="18"/>
              </w:rPr>
              <w:t>Developmental-review candidate; public review not open</w:t>
            </w:r>
          </w:p>
        </w:tc>
      </w:tr>
    </w:tbl>
    <w:p>
      <w:pPr>
        <w:widowControl/>
        <w:spacing w:before="80" w:after="80"/>
      </w:pPr>
    </w:p>
    <w:tbl>
      <w:tblPr>
        <w:tblW w:type="dxa" w:w="9360"/>
        <w:jc w:val="left"/>
        <w:tblLayout w:type="fixed"/>
        <w:tblLook w:firstColumn="1" w:firstRow="1" w:lastColumn="0" w:lastRow="0" w:noHBand="0" w:noVBand="1" w:val="04A0"/>
        <w:tblInd w:w="120" w:type="dxa"/>
      </w:tblPr>
      <w:tblGrid>
        <w:gridCol w:w="9360"/>
      </w:tblGrid>
      <w:tr>
        <w:trPr>
          <w:tblHeader w:val="true"/>
          <w:cantSplit w:val="true"/>
        </w:trPr>
        <w:tc>
          <w:tcPr>
            <w:tcW w:type="dxa" w:w="9360"/>
            <w:tcMar>
              <w:top w:w="80" w:type="dxa"/>
              <w:bottom w:w="80" w:type="dxa"/>
              <w:start w:w="120" w:type="dxa"/>
              <w:end w:w="120" w:type="dxa"/>
            </w:tcMar>
            <w:shd w:fill="FFF5D6" w:val="clear"/>
            <w:vAlign w:val="center"/>
          </w:tcPr>
          <w:p>
            <w:pPr>
              <w:spacing w:after="0"/>
            </w:pPr>
            <w:r>
              <w:rPr>
                <w:rFonts w:ascii="Calibri" w:hAnsi="Calibri"/>
                <w:b/>
                <w:i w:val="0"/>
                <w:color w:val="A46F00"/>
                <w:sz w:val="21"/>
              </w:rPr>
              <w:t xml:space="preserve">STATUS: </w:t>
            </w:r>
            <w:r>
              <w:rPr>
                <w:rFonts w:ascii="Calibri" w:hAnsi="Calibri"/>
                <w:b w:val="0"/>
                <w:i w:val="0"/>
                <w:color w:val="20252B"/>
                <w:sz w:val="21"/>
              </w:rPr>
              <w:t>This report records an author-conducted I1 review of a working draft. It is not an independent audit, NIST assessment, certification, consensus determination, or government endorsement.</w:t>
            </w:r>
          </w:p>
        </w:tc>
      </w:tr>
    </w:tbl>
    <w:p>
      <w:pPr>
        <w:widowControl/>
        <w:spacing w:after="40"/>
      </w:pPr>
    </w:p>
    <w:p>
      <w:pPr>
        <w:widowControl/>
        <w:spacing w:before="240"/>
        <w:jc w:val="center"/>
      </w:pPr>
      <w:r>
        <w:rPr>
          <w:rFonts w:ascii="Calibri" w:hAnsi="Calibri"/>
          <w:b/>
          <w:i w:val="0"/>
          <w:color w:val="52616B"/>
          <w:sz w:val="18"/>
        </w:rPr>
        <w:t>AERA-001  |  Version 1.2 WD  |  Working Draft</w:t>
      </w:r>
    </w:p>
    <w:p>
      <w:pPr>
        <w:pStyle w:val="Heading1"/>
        <w:pageBreakBefore/>
        <w:widowControl/>
      </w:pPr>
      <w:r>
        <w:t>Executive Disposition</w:t>
      </w:r>
    </w:p>
    <w:p>
      <w:pPr>
        <w:widowControl/>
        <w:spacing w:after="200"/>
      </w:pPr>
      <w:r>
        <w:rPr>
          <w:rFonts w:ascii="Calibri" w:hAnsi="Calibri"/>
          <w:b/>
          <w:i w:val="0"/>
          <w:color w:val="17324D"/>
          <w:sz w:val="23"/>
        </w:rPr>
        <w:t>AERA 1.2 WD is a developmental-review candidate suitable for structured NIST-facing engagement preparation; public review is not open, and the package is not ready for a NIST support, endorsement, adoption, conformance, or OLIR-publication claim.</w:t>
      </w:r>
    </w:p>
    <w:tbl>
      <w:tblPr>
        <w:tblW w:type="dxa" w:w="9360"/>
        <w:jc w:val="left"/>
        <w:tblLayout w:type="fixed"/>
        <w:tblLook w:firstColumn="1" w:firstRow="1" w:lastColumn="0" w:lastRow="0" w:noHBand="0" w:noVBand="1" w:val="04A0"/>
        <w:tblInd w:w="120" w:type="dxa"/>
      </w:tblPr>
      <w:tblGrid>
        <w:gridCol w:w="9360"/>
      </w:tblGrid>
      <w:tr>
        <w:trPr>
          <w:tblHeader w:val="true"/>
          <w:cantSplit w:val="true"/>
        </w:trPr>
        <w:tc>
          <w:tcPr>
            <w:tcW w:type="dxa" w:w="9360"/>
            <w:tcMar>
              <w:top w:w="80" w:type="dxa"/>
              <w:bottom w:w="80" w:type="dxa"/>
              <w:start w:w="120" w:type="dxa"/>
              <w:end w:w="120" w:type="dxa"/>
            </w:tcMar>
            <w:shd w:fill="FFF5D6" w:val="clear"/>
            <w:vAlign w:val="center"/>
          </w:tcPr>
          <w:p>
            <w:pPr>
              <w:spacing w:after="0"/>
            </w:pPr>
            <w:r>
              <w:rPr>
                <w:rFonts w:ascii="Calibri" w:hAnsi="Calibri"/>
                <w:b/>
                <w:i w:val="0"/>
                <w:color w:val="A46F00"/>
                <w:sz w:val="21"/>
              </w:rPr>
              <w:t xml:space="preserve">DISPOSITION: </w:t>
            </w:r>
            <w:r>
              <w:rPr>
                <w:rFonts w:ascii="Calibri" w:hAnsi="Calibri"/>
                <w:b w:val="0"/>
                <w:i w:val="0"/>
                <w:color w:val="20252B"/>
                <w:sz w:val="21"/>
              </w:rPr>
              <w:t>Proceed to release readiness only after final package hash, metadata, rights, and publication-authorization checks. Public review remains closed until those gates are formally cleared. Hold all stronger claims until independent review, consensus controls, atomic mapping adjudication, and multi-organization validation are complete.</w:t>
            </w:r>
          </w:p>
        </w:tc>
      </w:tr>
    </w:tbl>
    <w:p>
      <w:pPr>
        <w:widowControl/>
        <w:spacing w:after="40"/>
      </w:pPr>
    </w:p>
    <w:p>
      <w:pPr>
        <w:widowControl/>
      </w:pPr>
      <w:r>
        <w:rPr>
          <w:rFonts w:ascii="Calibri" w:hAnsi="Calibri"/>
          <w:b w:val="0"/>
          <w:i w:val="0"/>
          <w:color w:val="20252B"/>
          <w:sz w:val="22"/>
        </w:rPr>
        <w:t>AERA addresses a genuine architecture boundary: resource access, identity, model quality, and policy statements do not alone establish authority to cause a specific consequence. The framework's strongest contribution is its treatment of the complete delegated-authority transaction - from grant through observed effect, recovery, and closure - as the unit of assurance.</w:t>
      </w:r>
    </w:p>
    <w:tbl>
      <w:tblPr>
        <w:tblStyle w:val="TableGrid"/>
        <w:tblW w:type="dxa" w:w="9360"/>
        <w:jc w:val="left"/>
        <w:tblLayout w:type="fixed"/>
        <w:tblLook w:firstColumn="1" w:firstRow="1" w:lastColumn="0" w:lastRow="0" w:noHBand="0" w:noVBand="1" w:val="04A0"/>
        <w:tblInd w:w="120" w:type="dxa"/>
      </w:tblPr>
      <w:tblGrid>
        <w:gridCol w:w="1900"/>
        <w:gridCol w:w="1700"/>
        <w:gridCol w:w="5760"/>
      </w:tblGrid>
      <w:tr>
        <w:trPr>
          <w:tblHeader w:val="true"/>
          <w:cantSplit w:val="true"/>
        </w:trPr>
        <w:tc>
          <w:tcPr>
            <w:tcW w:type="dxa" w:w="1900"/>
            <w:shd w:fill="F2F4F7" w:val="clear"/>
            <w:vAlign w:val="center"/>
            <w:tcMar>
              <w:top w:w="80" w:type="dxa"/>
              <w:bottom w:w="80" w:type="dxa"/>
              <w:start w:w="120" w:type="dxa"/>
              <w:end w:w="120" w:type="dxa"/>
            </w:tcMar>
          </w:tcPr>
          <w:p>
            <w:pPr>
              <w:spacing w:after="0"/>
              <w:jc w:val="left"/>
            </w:pPr>
            <w:r>
              <w:rPr>
                <w:rFonts w:ascii="Calibri" w:hAnsi="Calibri"/>
                <w:b/>
                <w:i w:val="0"/>
                <w:color w:val="17324D"/>
                <w:sz w:val="16"/>
              </w:rPr>
              <w:t>Review area</w:t>
            </w:r>
          </w:p>
        </w:tc>
        <w:tc>
          <w:tcPr>
            <w:tcW w:type="dxa" w:w="1700"/>
            <w:shd w:fill="F2F4F7" w:val="clear"/>
            <w:vAlign w:val="center"/>
            <w:tcMar>
              <w:top w:w="80" w:type="dxa"/>
              <w:bottom w:w="80" w:type="dxa"/>
              <w:start w:w="120" w:type="dxa"/>
              <w:end w:w="120" w:type="dxa"/>
            </w:tcMar>
          </w:tcPr>
          <w:p>
            <w:pPr>
              <w:spacing w:after="0"/>
              <w:jc w:val="left"/>
            </w:pPr>
            <w:r>
              <w:rPr>
                <w:rFonts w:ascii="Calibri" w:hAnsi="Calibri"/>
                <w:b/>
                <w:i w:val="0"/>
                <w:color w:val="17324D"/>
                <w:sz w:val="16"/>
              </w:rPr>
              <w:t>I1 result</w:t>
            </w:r>
          </w:p>
        </w:tc>
        <w:tc>
          <w:tcPr>
            <w:tcW w:type="dxa" w:w="5760"/>
            <w:shd w:fill="F2F4F7" w:val="clear"/>
            <w:vAlign w:val="center"/>
            <w:tcMar>
              <w:top w:w="80" w:type="dxa"/>
              <w:bottom w:w="80" w:type="dxa"/>
              <w:start w:w="120" w:type="dxa"/>
              <w:end w:w="120" w:type="dxa"/>
            </w:tcMar>
          </w:tcPr>
          <w:p>
            <w:pPr>
              <w:spacing w:after="0"/>
              <w:jc w:val="left"/>
            </w:pPr>
            <w:r>
              <w:rPr>
                <w:rFonts w:ascii="Calibri" w:hAnsi="Calibri"/>
                <w:b/>
                <w:i w:val="0"/>
                <w:color w:val="17324D"/>
                <w:sz w:val="16"/>
              </w:rPr>
              <w:t>Evidence basis / limitation</w:t>
            </w:r>
          </w:p>
        </w:tc>
      </w:tr>
      <w:tr>
        <w:trPr>
          <w:cantSplit w:val="true"/>
        </w:trPr>
        <w:tc>
          <w:tcPr>
            <w:tcW w:type="dxa" w:w="1900"/>
            <w:vAlign w:val="center"/>
            <w:tcMar>
              <w:top w:w="80" w:type="dxa"/>
              <w:bottom w:w="80" w:type="dxa"/>
              <w:start w:w="120" w:type="dxa"/>
              <w:end w:w="120" w:type="dxa"/>
            </w:tcMar>
          </w:tcPr>
          <w:p>
            <w:pPr>
              <w:spacing w:after="0"/>
            </w:pPr>
            <w:r>
              <w:rPr>
                <w:rFonts w:ascii="Calibri" w:hAnsi="Calibri"/>
                <w:b w:val="0"/>
                <w:i w:val="0"/>
                <w:color w:val="20252B"/>
                <w:sz w:val="16"/>
              </w:rPr>
              <w:t>Controlled requirements</w:t>
            </w:r>
          </w:p>
        </w:tc>
        <w:tc>
          <w:tcPr>
            <w:tcW w:type="dxa" w:w="1700"/>
            <w:vAlign w:val="center"/>
            <w:tcMar>
              <w:top w:w="80" w:type="dxa"/>
              <w:bottom w:w="80" w:type="dxa"/>
              <w:start w:w="120" w:type="dxa"/>
              <w:end w:w="120" w:type="dxa"/>
            </w:tcMar>
          </w:tcPr>
          <w:p>
            <w:pPr>
              <w:spacing w:after="0"/>
            </w:pPr>
            <w:r>
              <w:rPr>
                <w:rFonts w:ascii="Calibri" w:hAnsi="Calibri"/>
                <w:b w:val="0"/>
                <w:i w:val="0"/>
                <w:color w:val="20252B"/>
                <w:sz w:val="16"/>
              </w:rPr>
              <w:t>PASS</w:t>
            </w:r>
          </w:p>
        </w:tc>
        <w:tc>
          <w:tcPr>
            <w:tcW w:type="dxa" w:w="5760"/>
            <w:vAlign w:val="center"/>
            <w:tcMar>
              <w:top w:w="80" w:type="dxa"/>
              <w:bottom w:w="80" w:type="dxa"/>
              <w:start w:w="120" w:type="dxa"/>
              <w:end w:w="120" w:type="dxa"/>
            </w:tcMar>
          </w:tcPr>
          <w:p>
            <w:pPr>
              <w:spacing w:after="0"/>
            </w:pPr>
            <w:r>
              <w:rPr>
                <w:rFonts w:ascii="Calibri" w:hAnsi="Calibri"/>
                <w:b w:val="0"/>
                <w:i w:val="0"/>
                <w:color w:val="20252B"/>
                <w:sz w:val="16"/>
              </w:rPr>
              <w:t>199 unique 1.2 WD rows in the generated canonical register.</w:t>
            </w:r>
          </w:p>
        </w:tc>
      </w:tr>
      <w:tr>
        <w:trPr>
          <w:cantSplit w:val="true"/>
        </w:trPr>
        <w:tc>
          <w:tcPr>
            <w:tcW w:type="dxa" w:w="1900"/>
            <w:vAlign w:val="center"/>
            <w:tcMar>
              <w:top w:w="80" w:type="dxa"/>
              <w:bottom w:w="80" w:type="dxa"/>
              <w:start w:w="120" w:type="dxa"/>
              <w:end w:w="120" w:type="dxa"/>
            </w:tcMar>
          </w:tcPr>
          <w:p>
            <w:pPr>
              <w:spacing w:after="0"/>
            </w:pPr>
            <w:r>
              <w:rPr>
                <w:rFonts w:ascii="Calibri" w:hAnsi="Calibri"/>
                <w:b w:val="0"/>
                <w:i w:val="0"/>
                <w:color w:val="20252B"/>
                <w:sz w:val="16"/>
              </w:rPr>
              <w:t>Threat traceability</w:t>
            </w:r>
          </w:p>
        </w:tc>
        <w:tc>
          <w:tcPr>
            <w:tcW w:type="dxa" w:w="1700"/>
            <w:vAlign w:val="center"/>
            <w:tcMar>
              <w:top w:w="80" w:type="dxa"/>
              <w:bottom w:w="80" w:type="dxa"/>
              <w:start w:w="120" w:type="dxa"/>
              <w:end w:w="120" w:type="dxa"/>
            </w:tcMar>
          </w:tcPr>
          <w:p>
            <w:pPr>
              <w:spacing w:after="0"/>
            </w:pPr>
            <w:r>
              <w:rPr>
                <w:rFonts w:ascii="Calibri" w:hAnsi="Calibri"/>
                <w:b w:val="0"/>
                <w:i w:val="0"/>
                <w:color w:val="20252B"/>
                <w:sz w:val="16"/>
              </w:rPr>
              <w:t>PASS</w:t>
            </w:r>
          </w:p>
        </w:tc>
        <w:tc>
          <w:tcPr>
            <w:tcW w:type="dxa" w:w="5760"/>
            <w:vAlign w:val="center"/>
            <w:tcMar>
              <w:top w:w="80" w:type="dxa"/>
              <w:bottom w:w="80" w:type="dxa"/>
              <w:start w:w="120" w:type="dxa"/>
              <w:end w:w="120" w:type="dxa"/>
            </w:tcMar>
          </w:tcPr>
          <w:p>
            <w:pPr>
              <w:spacing w:after="0"/>
            </w:pPr>
            <w:r>
              <w:rPr>
                <w:rFonts w:ascii="Calibri" w:hAnsi="Calibri"/>
                <w:b w:val="0"/>
                <w:i w:val="0"/>
                <w:color w:val="20252B"/>
                <w:sz w:val="16"/>
              </w:rPr>
              <w:t>25 decision-authority threat rows in the generated matrix.</w:t>
            </w:r>
          </w:p>
        </w:tc>
      </w:tr>
      <w:tr>
        <w:trPr>
          <w:cantSplit w:val="true"/>
        </w:trPr>
        <w:tc>
          <w:tcPr>
            <w:tcW w:type="dxa" w:w="1900"/>
            <w:vAlign w:val="center"/>
            <w:tcMar>
              <w:top w:w="80" w:type="dxa"/>
              <w:bottom w:w="80" w:type="dxa"/>
              <w:start w:w="120" w:type="dxa"/>
              <w:end w:w="120" w:type="dxa"/>
            </w:tcMar>
          </w:tcPr>
          <w:p>
            <w:pPr>
              <w:spacing w:after="0"/>
            </w:pPr>
            <w:r>
              <w:rPr>
                <w:rFonts w:ascii="Calibri" w:hAnsi="Calibri"/>
                <w:b w:val="0"/>
                <w:i w:val="0"/>
                <w:color w:val="20252B"/>
                <w:sz w:val="16"/>
              </w:rPr>
              <w:t>Controlled sources</w:t>
            </w:r>
          </w:p>
        </w:tc>
        <w:tc>
          <w:tcPr>
            <w:tcW w:type="dxa" w:w="1700"/>
            <w:vAlign w:val="center"/>
            <w:tcMar>
              <w:top w:w="80" w:type="dxa"/>
              <w:bottom w:w="80" w:type="dxa"/>
              <w:start w:w="120" w:type="dxa"/>
              <w:end w:w="120" w:type="dxa"/>
            </w:tcMar>
          </w:tcPr>
          <w:p>
            <w:pPr>
              <w:spacing w:after="0"/>
            </w:pPr>
            <w:r>
              <w:rPr>
                <w:rFonts w:ascii="Calibri" w:hAnsi="Calibri"/>
                <w:b w:val="0"/>
                <w:i w:val="0"/>
                <w:color w:val="20252B"/>
                <w:sz w:val="16"/>
              </w:rPr>
              <w:t>PASS WITH STATUS CONTROL</w:t>
            </w:r>
          </w:p>
        </w:tc>
        <w:tc>
          <w:tcPr>
            <w:tcW w:type="dxa" w:w="5760"/>
            <w:vAlign w:val="center"/>
            <w:tcMar>
              <w:top w:w="80" w:type="dxa"/>
              <w:bottom w:w="80" w:type="dxa"/>
              <w:start w:w="120" w:type="dxa"/>
              <w:end w:w="120" w:type="dxa"/>
            </w:tcMar>
          </w:tcPr>
          <w:p>
            <w:pPr>
              <w:spacing w:after="0"/>
            </w:pPr>
            <w:r>
              <w:rPr>
                <w:rFonts w:ascii="Calibri" w:hAnsi="Calibri"/>
                <w:b w:val="0"/>
                <w:i w:val="0"/>
                <w:color w:val="20252B"/>
                <w:sz w:val="16"/>
              </w:rPr>
              <w:t>69 source rows; draft, living, and final status must remain distinct.</w:t>
            </w:r>
          </w:p>
        </w:tc>
      </w:tr>
      <w:tr>
        <w:trPr>
          <w:cantSplit w:val="true"/>
        </w:trPr>
        <w:tc>
          <w:tcPr>
            <w:tcW w:type="dxa" w:w="1900"/>
            <w:vAlign w:val="center"/>
            <w:tcMar>
              <w:top w:w="80" w:type="dxa"/>
              <w:bottom w:w="80" w:type="dxa"/>
              <w:start w:w="120" w:type="dxa"/>
              <w:end w:w="120" w:type="dxa"/>
            </w:tcMar>
          </w:tcPr>
          <w:p>
            <w:pPr>
              <w:spacing w:after="0"/>
            </w:pPr>
            <w:r>
              <w:rPr>
                <w:rFonts w:ascii="Calibri" w:hAnsi="Calibri"/>
                <w:b w:val="0"/>
                <w:i w:val="0"/>
                <w:color w:val="20252B"/>
                <w:sz w:val="16"/>
              </w:rPr>
              <w:t>Normative boundary</w:t>
            </w:r>
          </w:p>
        </w:tc>
        <w:tc>
          <w:tcPr>
            <w:tcW w:type="dxa" w:w="1700"/>
            <w:vAlign w:val="center"/>
            <w:tcMar>
              <w:top w:w="80" w:type="dxa"/>
              <w:bottom w:w="80" w:type="dxa"/>
              <w:start w:w="120" w:type="dxa"/>
              <w:end w:w="120" w:type="dxa"/>
            </w:tcMar>
          </w:tcPr>
          <w:p>
            <w:pPr>
              <w:spacing w:after="0"/>
            </w:pPr>
            <w:r>
              <w:rPr>
                <w:rFonts w:ascii="Calibri" w:hAnsi="Calibri"/>
                <w:b w:val="0"/>
                <w:i w:val="0"/>
                <w:color w:val="20252B"/>
                <w:sz w:val="16"/>
              </w:rPr>
              <w:t>PASS AT SOURCE</w:t>
            </w:r>
          </w:p>
        </w:tc>
        <w:tc>
          <w:tcPr>
            <w:tcW w:type="dxa" w:w="5760"/>
            <w:vAlign w:val="center"/>
            <w:tcMar>
              <w:top w:w="80" w:type="dxa"/>
              <w:bottom w:w="80" w:type="dxa"/>
              <w:start w:w="120" w:type="dxa"/>
              <w:end w:w="120" w:type="dxa"/>
            </w:tcMar>
          </w:tcPr>
          <w:p>
            <w:pPr>
              <w:spacing w:after="0"/>
            </w:pPr>
            <w:r>
              <w:rPr>
                <w:rFonts w:ascii="Calibri" w:hAnsi="Calibri"/>
                <w:b w:val="0"/>
                <w:i w:val="0"/>
                <w:color w:val="20252B"/>
                <w:sz w:val="16"/>
              </w:rPr>
              <w:t>Normative modalities, canonical register, conformance states, and publication-defect rule are explicit.</w:t>
            </w:r>
          </w:p>
        </w:tc>
      </w:tr>
      <w:tr>
        <w:trPr>
          <w:cantSplit w:val="true"/>
        </w:trPr>
        <w:tc>
          <w:tcPr>
            <w:tcW w:type="dxa" w:w="1900"/>
            <w:vAlign w:val="center"/>
            <w:tcMar>
              <w:top w:w="80" w:type="dxa"/>
              <w:bottom w:w="80" w:type="dxa"/>
              <w:start w:w="120" w:type="dxa"/>
              <w:end w:w="120" w:type="dxa"/>
            </w:tcMar>
          </w:tcPr>
          <w:p>
            <w:pPr>
              <w:spacing w:after="0"/>
            </w:pPr>
            <w:r>
              <w:rPr>
                <w:rFonts w:ascii="Calibri" w:hAnsi="Calibri"/>
                <w:b w:val="0"/>
                <w:i w:val="0"/>
                <w:color w:val="20252B"/>
                <w:sz w:val="16"/>
              </w:rPr>
              <w:t>NIST mapping</w:t>
            </w:r>
          </w:p>
        </w:tc>
        <w:tc>
          <w:tcPr>
            <w:tcW w:type="dxa" w:w="1700"/>
            <w:vAlign w:val="center"/>
            <w:tcMar>
              <w:top w:w="80" w:type="dxa"/>
              <w:bottom w:w="80" w:type="dxa"/>
              <w:start w:w="120" w:type="dxa"/>
              <w:end w:w="120" w:type="dxa"/>
            </w:tcMar>
          </w:tcPr>
          <w:p>
            <w:pPr>
              <w:spacing w:after="0"/>
            </w:pPr>
            <w:r>
              <w:rPr>
                <w:rFonts w:ascii="Calibri" w:hAnsi="Calibri"/>
                <w:b w:val="0"/>
                <w:i w:val="0"/>
                <w:color w:val="20252B"/>
                <w:sz w:val="16"/>
              </w:rPr>
              <w:t>DEVELOPMENTAL</w:t>
            </w:r>
          </w:p>
        </w:tc>
        <w:tc>
          <w:tcPr>
            <w:tcW w:type="dxa" w:w="5760"/>
            <w:vAlign w:val="center"/>
            <w:tcMar>
              <w:top w:w="80" w:type="dxa"/>
              <w:bottom w:w="80" w:type="dxa"/>
              <w:start w:w="120" w:type="dxa"/>
              <w:end w:w="120" w:type="dxa"/>
            </w:tcMar>
          </w:tcPr>
          <w:p>
            <w:pPr>
              <w:spacing w:after="0"/>
            </w:pPr>
            <w:r>
              <w:rPr>
                <w:rFonts w:ascii="Calibri" w:hAnsi="Calibri"/>
                <w:b w:val="0"/>
                <w:i w:val="0"/>
                <w:color w:val="20252B"/>
                <w:sz w:val="16"/>
              </w:rPr>
              <w:t>Candidate lanes exist; atomic target identifiers, rationales, and independent SME adjudication remain open.</w:t>
            </w:r>
          </w:p>
        </w:tc>
      </w:tr>
      <w:tr>
        <w:trPr>
          <w:cantSplit w:val="true"/>
        </w:trPr>
        <w:tc>
          <w:tcPr>
            <w:tcW w:type="dxa" w:w="1900"/>
            <w:vAlign w:val="center"/>
            <w:tcMar>
              <w:top w:w="80" w:type="dxa"/>
              <w:bottom w:w="80" w:type="dxa"/>
              <w:start w:w="120" w:type="dxa"/>
              <w:end w:w="120" w:type="dxa"/>
            </w:tcMar>
          </w:tcPr>
          <w:p>
            <w:pPr>
              <w:spacing w:after="0"/>
            </w:pPr>
            <w:r>
              <w:rPr>
                <w:rFonts w:ascii="Calibri" w:hAnsi="Calibri"/>
                <w:b w:val="0"/>
                <w:i w:val="0"/>
                <w:color w:val="20252B"/>
                <w:sz w:val="16"/>
              </w:rPr>
              <w:t>Consensus and empirical validity</w:t>
            </w:r>
          </w:p>
        </w:tc>
        <w:tc>
          <w:tcPr>
            <w:tcW w:type="dxa" w:w="1700"/>
            <w:vAlign w:val="center"/>
            <w:tcMar>
              <w:top w:w="80" w:type="dxa"/>
              <w:bottom w:w="80" w:type="dxa"/>
              <w:start w:w="120" w:type="dxa"/>
              <w:end w:w="120" w:type="dxa"/>
            </w:tcMar>
          </w:tcPr>
          <w:p>
            <w:pPr>
              <w:spacing w:after="0"/>
            </w:pPr>
            <w:r>
              <w:rPr>
                <w:rFonts w:ascii="Calibri" w:hAnsi="Calibri"/>
                <w:b w:val="0"/>
                <w:i w:val="0"/>
                <w:color w:val="20252B"/>
                <w:sz w:val="16"/>
              </w:rPr>
              <w:t>OPEN</w:t>
            </w:r>
          </w:p>
        </w:tc>
        <w:tc>
          <w:tcPr>
            <w:tcW w:type="dxa" w:w="5760"/>
            <w:vAlign w:val="center"/>
            <w:tcMar>
              <w:top w:w="80" w:type="dxa"/>
              <w:bottom w:w="80" w:type="dxa"/>
              <w:start w:w="120" w:type="dxa"/>
              <w:end w:w="120" w:type="dxa"/>
            </w:tcMar>
          </w:tcPr>
          <w:p>
            <w:pPr>
              <w:spacing w:after="0"/>
            </w:pPr>
            <w:r>
              <w:rPr>
                <w:rFonts w:ascii="Calibri" w:hAnsi="Calibri"/>
                <w:b w:val="0"/>
                <w:i w:val="0"/>
                <w:color w:val="20252B"/>
                <w:sz w:val="16"/>
              </w:rPr>
              <w:t>No completed balanced consensus cycle, multi-organization pilot, or inter-rater study.</w:t>
            </w:r>
          </w:p>
        </w:tc>
      </w:tr>
      <w:tr>
        <w:trPr>
          <w:cantSplit w:val="true"/>
        </w:trPr>
        <w:tc>
          <w:tcPr>
            <w:tcW w:type="dxa" w:w="1900"/>
            <w:vAlign w:val="center"/>
            <w:tcMar>
              <w:top w:w="80" w:type="dxa"/>
              <w:bottom w:w="80" w:type="dxa"/>
              <w:start w:w="120" w:type="dxa"/>
              <w:end w:w="120" w:type="dxa"/>
            </w:tcMar>
          </w:tcPr>
          <w:p>
            <w:pPr>
              <w:spacing w:after="0"/>
            </w:pPr>
            <w:r>
              <w:rPr>
                <w:rFonts w:ascii="Calibri" w:hAnsi="Calibri"/>
                <w:b w:val="0"/>
                <w:i w:val="0"/>
                <w:color w:val="20252B"/>
                <w:sz w:val="16"/>
              </w:rPr>
              <w:t>Release integrity</w:t>
            </w:r>
          </w:p>
        </w:tc>
        <w:tc>
          <w:tcPr>
            <w:tcW w:type="dxa" w:w="1700"/>
            <w:vAlign w:val="center"/>
            <w:tcMar>
              <w:top w:w="80" w:type="dxa"/>
              <w:bottom w:w="80" w:type="dxa"/>
              <w:start w:w="120" w:type="dxa"/>
              <w:end w:w="120" w:type="dxa"/>
            </w:tcMar>
          </w:tcPr>
          <w:p>
            <w:pPr>
              <w:spacing w:after="0"/>
            </w:pPr>
            <w:r>
              <w:rPr>
                <w:rFonts w:ascii="Calibri" w:hAnsi="Calibri"/>
                <w:b w:val="0"/>
                <w:i w:val="0"/>
                <w:color w:val="20252B"/>
                <w:sz w:val="16"/>
              </w:rPr>
              <w:t>CONDITIONAL</w:t>
            </w:r>
          </w:p>
        </w:tc>
        <w:tc>
          <w:tcPr>
            <w:tcW w:type="dxa" w:w="5760"/>
            <w:vAlign w:val="center"/>
            <w:tcMar>
              <w:top w:w="80" w:type="dxa"/>
              <w:bottom w:w="80" w:type="dxa"/>
              <w:start w:w="120" w:type="dxa"/>
              <w:end w:w="120" w:type="dxa"/>
            </w:tcMar>
          </w:tcPr>
          <w:p>
            <w:pPr>
              <w:spacing w:after="0"/>
            </w:pPr>
            <w:r>
              <w:rPr>
                <w:rFonts w:ascii="Calibri" w:hAnsi="Calibri"/>
                <w:b w:val="0"/>
                <w:i w:val="0"/>
                <w:color w:val="20252B"/>
                <w:sz w:val="16"/>
              </w:rPr>
              <w:t>Final signed/hash manifest, license terms, and complete fixed-layout package remain release gates.</w:t>
            </w:r>
          </w:p>
        </w:tc>
      </w:tr>
    </w:tbl>
    <w:p>
      <w:pPr>
        <w:widowControl/>
        <w:spacing w:before="80" w:after="80"/>
      </w:pPr>
    </w:p>
    <w:tbl>
      <w:tblPr>
        <w:tblW w:type="dxa" w:w="9360"/>
        <w:jc w:val="left"/>
        <w:tblLayout w:type="fixed"/>
        <w:tblLook w:firstColumn="1" w:firstRow="1" w:lastColumn="0" w:lastRow="0" w:noHBand="0" w:noVBand="1" w:val="04A0"/>
        <w:tblInd w:w="120" w:type="dxa"/>
      </w:tblPr>
      <w:tblGrid>
        <w:gridCol w:w="9360"/>
      </w:tblGrid>
      <w:tr>
        <w:trPr>
          <w:tblHeader w:val="true"/>
          <w:cantSplit w:val="true"/>
        </w:trPr>
        <w:tc>
          <w:tcPr>
            <w:tcW w:type="dxa" w:w="9360"/>
            <w:tcMar>
              <w:top w:w="80" w:type="dxa"/>
              <w:bottom w:w="80" w:type="dxa"/>
              <w:start w:w="120" w:type="dxa"/>
              <w:end w:w="120" w:type="dxa"/>
            </w:tcMar>
            <w:shd w:fill="FCEDED" w:val="clear"/>
            <w:vAlign w:val="center"/>
          </w:tcPr>
          <w:p>
            <w:pPr>
              <w:spacing w:after="0"/>
            </w:pPr>
            <w:r>
              <w:rPr>
                <w:rFonts w:ascii="Calibri" w:hAnsi="Calibri"/>
                <w:b/>
                <w:i w:val="0"/>
                <w:color w:val="9B1C1C"/>
                <w:sz w:val="21"/>
              </w:rPr>
              <w:t xml:space="preserve">CLAIM BOUNDARY: </w:t>
            </w:r>
            <w:r>
              <w:rPr>
                <w:rFonts w:ascii="Calibri" w:hAnsi="Calibri"/>
                <w:b w:val="0"/>
                <w:i w:val="0"/>
                <w:color w:val="20252B"/>
                <w:sz w:val="21"/>
              </w:rPr>
              <w:t>NIST compatibility is a design objective. A NIST citation, community participation, mapping submission, or comment acknowledgment would not establish NIST support for AERA.</w:t>
            </w:r>
          </w:p>
        </w:tc>
      </w:tr>
    </w:tbl>
    <w:p>
      <w:pPr>
        <w:widowControl/>
        <w:spacing w:after="40"/>
      </w:pPr>
    </w:p>
    <w:p>
      <w:pPr>
        <w:pStyle w:val="Heading1"/>
        <w:pageBreakBefore/>
        <w:widowControl/>
      </w:pPr>
      <w:r>
        <w:t>1. Review Scope, Method, and Assurance Boundary</w:t>
      </w:r>
    </w:p>
    <w:p>
      <w:pPr>
        <w:pStyle w:val="Heading2"/>
        <w:widowControl/>
      </w:pPr>
      <w:r>
        <w:t>1.1 Manifest-scoped review</w:t>
      </w:r>
    </w:p>
    <w:p>
      <w:pPr>
        <w:widowControl/>
      </w:pPr>
      <w:r>
        <w:rPr>
          <w:rFonts w:ascii="Calibri" w:hAnsi="Calibri"/>
          <w:b w:val="0"/>
          <w:i w:val="0"/>
          <w:color w:val="20252B"/>
          <w:sz w:val="22"/>
        </w:rPr>
        <w:t>This assessment covers the AERA 1.2 WD controlled source state and the document, register, threat, source, comment, and mapping artifacts generated from it. It does not extend to deployment performance, legal sufficiency, sector authorization, or a third-party implementation. Final hash verification is intentionally deferred until every release artifact is frozen.</w:t>
      </w:r>
    </w:p>
    <w:tbl>
      <w:tblPr>
        <w:tblStyle w:val="TableGrid"/>
        <w:tblW w:type="dxa" w:w="9360"/>
        <w:jc w:val="left"/>
        <w:tblLayout w:type="fixed"/>
        <w:tblLook w:firstColumn="1" w:firstRow="1" w:lastColumn="0" w:lastRow="0" w:noHBand="0" w:noVBand="1" w:val="04A0"/>
        <w:tblInd w:w="120" w:type="dxa"/>
      </w:tblPr>
      <w:tblGrid>
        <w:gridCol w:w="1100"/>
        <w:gridCol w:w="4500"/>
        <w:gridCol w:w="3760"/>
      </w:tblGrid>
      <w:tr>
        <w:trPr>
          <w:tblHeader w:val="true"/>
          <w:cantSplit w:val="true"/>
        </w:trPr>
        <w:tc>
          <w:tcPr>
            <w:tcW w:type="dxa" w:w="1100"/>
            <w:shd w:fill="F2F4F7" w:val="clear"/>
            <w:vAlign w:val="center"/>
            <w:tcMar>
              <w:top w:w="80" w:type="dxa"/>
              <w:bottom w:w="80" w:type="dxa"/>
              <w:start w:w="120" w:type="dxa"/>
              <w:end w:w="120" w:type="dxa"/>
            </w:tcMar>
          </w:tcPr>
          <w:p>
            <w:pPr>
              <w:spacing w:after="0"/>
              <w:jc w:val="left"/>
            </w:pPr>
            <w:r>
              <w:rPr>
                <w:rFonts w:ascii="Calibri" w:hAnsi="Calibri"/>
                <w:b/>
                <w:i w:val="0"/>
                <w:color w:val="17324D"/>
                <w:sz w:val="16"/>
              </w:rPr>
              <w:t>Assurance tier</w:t>
            </w:r>
          </w:p>
        </w:tc>
        <w:tc>
          <w:tcPr>
            <w:tcW w:type="dxa" w:w="4500"/>
            <w:shd w:fill="F2F4F7" w:val="clear"/>
            <w:vAlign w:val="center"/>
            <w:tcMar>
              <w:top w:w="80" w:type="dxa"/>
              <w:bottom w:w="80" w:type="dxa"/>
              <w:start w:w="120" w:type="dxa"/>
              <w:end w:w="120" w:type="dxa"/>
            </w:tcMar>
          </w:tcPr>
          <w:p>
            <w:pPr>
              <w:spacing w:after="0"/>
              <w:jc w:val="left"/>
            </w:pPr>
            <w:r>
              <w:rPr>
                <w:rFonts w:ascii="Calibri" w:hAnsi="Calibri"/>
                <w:b/>
                <w:i w:val="0"/>
                <w:color w:val="17324D"/>
                <w:sz w:val="16"/>
              </w:rPr>
              <w:t>Meaning</w:t>
            </w:r>
          </w:p>
        </w:tc>
        <w:tc>
          <w:tcPr>
            <w:tcW w:type="dxa" w:w="3760"/>
            <w:shd w:fill="F2F4F7" w:val="clear"/>
            <w:vAlign w:val="center"/>
            <w:tcMar>
              <w:top w:w="80" w:type="dxa"/>
              <w:bottom w:w="80" w:type="dxa"/>
              <w:start w:w="120" w:type="dxa"/>
              <w:end w:w="120" w:type="dxa"/>
            </w:tcMar>
          </w:tcPr>
          <w:p>
            <w:pPr>
              <w:spacing w:after="0"/>
              <w:jc w:val="left"/>
            </w:pPr>
            <w:r>
              <w:rPr>
                <w:rFonts w:ascii="Calibri" w:hAnsi="Calibri"/>
                <w:b/>
                <w:i w:val="0"/>
                <w:color w:val="17324D"/>
                <w:sz w:val="16"/>
              </w:rPr>
              <w:t>Status for this report</w:t>
            </w:r>
          </w:p>
        </w:tc>
      </w:tr>
      <w:tr>
        <w:trPr>
          <w:cantSplit w:val="true"/>
        </w:trPr>
        <w:tc>
          <w:tcPr>
            <w:tcW w:type="dxa" w:w="1100"/>
            <w:vAlign w:val="center"/>
            <w:tcMar>
              <w:top w:w="80" w:type="dxa"/>
              <w:bottom w:w="80" w:type="dxa"/>
              <w:start w:w="120" w:type="dxa"/>
              <w:end w:w="120" w:type="dxa"/>
            </w:tcMar>
          </w:tcPr>
          <w:p>
            <w:pPr>
              <w:spacing w:after="0"/>
            </w:pPr>
            <w:r>
              <w:rPr>
                <w:rFonts w:ascii="Calibri" w:hAnsi="Calibri"/>
                <w:b w:val="0"/>
                <w:i w:val="0"/>
                <w:color w:val="20252B"/>
                <w:sz w:val="16"/>
              </w:rPr>
              <w:t>I0</w:t>
            </w:r>
          </w:p>
        </w:tc>
        <w:tc>
          <w:tcPr>
            <w:tcW w:type="dxa" w:w="4500"/>
            <w:vAlign w:val="center"/>
            <w:tcMar>
              <w:top w:w="80" w:type="dxa"/>
              <w:bottom w:w="80" w:type="dxa"/>
              <w:start w:w="120" w:type="dxa"/>
              <w:end w:w="120" w:type="dxa"/>
            </w:tcMar>
          </w:tcPr>
          <w:p>
            <w:pPr>
              <w:spacing w:after="0"/>
            </w:pPr>
            <w:r>
              <w:rPr>
                <w:rFonts w:ascii="Calibri" w:hAnsi="Calibri"/>
                <w:b w:val="0"/>
                <w:i w:val="0"/>
                <w:color w:val="20252B"/>
                <w:sz w:val="16"/>
              </w:rPr>
              <w:t>Automated build, structural, formula, metadata, and render checks.</w:t>
            </w:r>
          </w:p>
        </w:tc>
        <w:tc>
          <w:tcPr>
            <w:tcW w:type="dxa" w:w="3760"/>
            <w:vAlign w:val="center"/>
            <w:tcMar>
              <w:top w:w="80" w:type="dxa"/>
              <w:bottom w:w="80" w:type="dxa"/>
              <w:start w:w="120" w:type="dxa"/>
              <w:end w:w="120" w:type="dxa"/>
            </w:tcMar>
          </w:tcPr>
          <w:p>
            <w:pPr>
              <w:spacing w:after="0"/>
            </w:pPr>
            <w:r>
              <w:rPr>
                <w:rFonts w:ascii="Calibri" w:hAnsi="Calibri"/>
                <w:b w:val="0"/>
                <w:i w:val="0"/>
                <w:color w:val="20252B"/>
                <w:sz w:val="16"/>
              </w:rPr>
              <w:t>Applied where tooling exists; package-level freeze checks remain.</w:t>
            </w:r>
          </w:p>
        </w:tc>
      </w:tr>
      <w:tr>
        <w:trPr>
          <w:cantSplit w:val="true"/>
        </w:trPr>
        <w:tc>
          <w:tcPr>
            <w:tcW w:type="dxa" w:w="1100"/>
            <w:vAlign w:val="center"/>
            <w:tcMar>
              <w:top w:w="80" w:type="dxa"/>
              <w:bottom w:w="80" w:type="dxa"/>
              <w:start w:w="120" w:type="dxa"/>
              <w:end w:w="120" w:type="dxa"/>
            </w:tcMar>
          </w:tcPr>
          <w:p>
            <w:pPr>
              <w:spacing w:after="0"/>
            </w:pPr>
            <w:r>
              <w:rPr>
                <w:rFonts w:ascii="Calibri" w:hAnsi="Calibri"/>
                <w:b w:val="0"/>
                <w:i w:val="0"/>
                <w:color w:val="20252B"/>
                <w:sz w:val="16"/>
              </w:rPr>
              <w:t>I1</w:t>
            </w:r>
          </w:p>
        </w:tc>
        <w:tc>
          <w:tcPr>
            <w:tcW w:type="dxa" w:w="4500"/>
            <w:vAlign w:val="center"/>
            <w:tcMar>
              <w:top w:w="80" w:type="dxa"/>
              <w:bottom w:w="80" w:type="dxa"/>
              <w:start w:w="120" w:type="dxa"/>
              <w:end w:w="120" w:type="dxa"/>
            </w:tcMar>
          </w:tcPr>
          <w:p>
            <w:pPr>
              <w:spacing w:after="0"/>
            </w:pPr>
            <w:r>
              <w:rPr>
                <w:rFonts w:ascii="Calibri" w:hAnsi="Calibri"/>
                <w:b w:val="0"/>
                <w:i w:val="0"/>
                <w:color w:val="20252B"/>
                <w:sz w:val="16"/>
              </w:rPr>
              <w:t>Author or maintainer reviews content, mappings, and release integrity.</w:t>
            </w:r>
          </w:p>
        </w:tc>
        <w:tc>
          <w:tcPr>
            <w:tcW w:type="dxa" w:w="3760"/>
            <w:vAlign w:val="center"/>
            <w:tcMar>
              <w:top w:w="80" w:type="dxa"/>
              <w:bottom w:w="80" w:type="dxa"/>
              <w:start w:w="120" w:type="dxa"/>
              <w:end w:w="120" w:type="dxa"/>
            </w:tcMar>
          </w:tcPr>
          <w:p>
            <w:pPr>
              <w:spacing w:after="0"/>
            </w:pPr>
            <w:r>
              <w:rPr>
                <w:rFonts w:ascii="Calibri" w:hAnsi="Calibri"/>
                <w:b w:val="0"/>
                <w:i w:val="0"/>
                <w:color w:val="20252B"/>
                <w:sz w:val="16"/>
              </w:rPr>
              <w:t>This report.</w:t>
            </w:r>
          </w:p>
        </w:tc>
      </w:tr>
      <w:tr>
        <w:trPr>
          <w:cantSplit w:val="true"/>
        </w:trPr>
        <w:tc>
          <w:tcPr>
            <w:tcW w:type="dxa" w:w="1100"/>
            <w:vAlign w:val="center"/>
            <w:tcMar>
              <w:top w:w="80" w:type="dxa"/>
              <w:bottom w:w="80" w:type="dxa"/>
              <w:start w:w="120" w:type="dxa"/>
              <w:end w:w="120" w:type="dxa"/>
            </w:tcMar>
          </w:tcPr>
          <w:p>
            <w:pPr>
              <w:spacing w:after="0"/>
            </w:pPr>
            <w:r>
              <w:rPr>
                <w:rFonts w:ascii="Calibri" w:hAnsi="Calibri"/>
                <w:b w:val="0"/>
                <w:i w:val="0"/>
                <w:color w:val="20252B"/>
                <w:sz w:val="16"/>
              </w:rPr>
              <w:t>I2</w:t>
            </w:r>
          </w:p>
        </w:tc>
        <w:tc>
          <w:tcPr>
            <w:tcW w:type="dxa" w:w="4500"/>
            <w:vAlign w:val="center"/>
            <w:tcMar>
              <w:top w:w="80" w:type="dxa"/>
              <w:bottom w:w="80" w:type="dxa"/>
              <w:start w:w="120" w:type="dxa"/>
              <w:end w:w="120" w:type="dxa"/>
            </w:tcMar>
          </w:tcPr>
          <w:p>
            <w:pPr>
              <w:spacing w:after="0"/>
            </w:pPr>
            <w:r>
              <w:rPr>
                <w:rFonts w:ascii="Calibri" w:hAnsi="Calibri"/>
                <w:b w:val="0"/>
                <w:i w:val="0"/>
                <w:color w:val="20252B"/>
                <w:sz w:val="16"/>
              </w:rPr>
              <w:t>Independent technical and publication review by qualified reviewers.</w:t>
            </w:r>
          </w:p>
        </w:tc>
        <w:tc>
          <w:tcPr>
            <w:tcW w:type="dxa" w:w="3760"/>
            <w:vAlign w:val="center"/>
            <w:tcMar>
              <w:top w:w="80" w:type="dxa"/>
              <w:bottom w:w="80" w:type="dxa"/>
              <w:start w:w="120" w:type="dxa"/>
              <w:end w:w="120" w:type="dxa"/>
            </w:tcMar>
          </w:tcPr>
          <w:p>
            <w:pPr>
              <w:spacing w:after="0"/>
            </w:pPr>
            <w:r>
              <w:rPr>
                <w:rFonts w:ascii="Calibri" w:hAnsi="Calibri"/>
                <w:b w:val="0"/>
                <w:i w:val="0"/>
                <w:color w:val="20252B"/>
                <w:sz w:val="16"/>
              </w:rPr>
              <w:t>Not completed.</w:t>
            </w:r>
          </w:p>
        </w:tc>
      </w:tr>
      <w:tr>
        <w:trPr>
          <w:cantSplit w:val="true"/>
        </w:trPr>
        <w:tc>
          <w:tcPr>
            <w:tcW w:type="dxa" w:w="1100"/>
            <w:vAlign w:val="center"/>
            <w:tcMar>
              <w:top w:w="80" w:type="dxa"/>
              <w:bottom w:w="80" w:type="dxa"/>
              <w:start w:w="120" w:type="dxa"/>
              <w:end w:w="120" w:type="dxa"/>
            </w:tcMar>
          </w:tcPr>
          <w:p>
            <w:pPr>
              <w:spacing w:after="0"/>
            </w:pPr>
            <w:r>
              <w:rPr>
                <w:rFonts w:ascii="Calibri" w:hAnsi="Calibri"/>
                <w:b w:val="0"/>
                <w:i w:val="0"/>
                <w:color w:val="20252B"/>
                <w:sz w:val="16"/>
              </w:rPr>
              <w:t>I3</w:t>
            </w:r>
          </w:p>
        </w:tc>
        <w:tc>
          <w:tcPr>
            <w:tcW w:type="dxa" w:w="4500"/>
            <w:vAlign w:val="center"/>
            <w:tcMar>
              <w:top w:w="80" w:type="dxa"/>
              <w:bottom w:w="80" w:type="dxa"/>
              <w:start w:w="120" w:type="dxa"/>
              <w:end w:w="120" w:type="dxa"/>
            </w:tcMar>
          </w:tcPr>
          <w:p>
            <w:pPr>
              <w:spacing w:after="0"/>
            </w:pPr>
            <w:r>
              <w:rPr>
                <w:rFonts w:ascii="Calibri" w:hAnsi="Calibri"/>
                <w:b w:val="0"/>
                <w:i w:val="0"/>
                <w:color w:val="20252B"/>
                <w:sz w:val="16"/>
              </w:rPr>
              <w:t>Multi-organization implementation, inter-rater, and operational validation.</w:t>
            </w:r>
          </w:p>
        </w:tc>
        <w:tc>
          <w:tcPr>
            <w:tcW w:type="dxa" w:w="3760"/>
            <w:vAlign w:val="center"/>
            <w:tcMar>
              <w:top w:w="80" w:type="dxa"/>
              <w:bottom w:w="80" w:type="dxa"/>
              <w:start w:w="120" w:type="dxa"/>
              <w:end w:w="120" w:type="dxa"/>
            </w:tcMar>
          </w:tcPr>
          <w:p>
            <w:pPr>
              <w:spacing w:after="0"/>
            </w:pPr>
            <w:r>
              <w:rPr>
                <w:rFonts w:ascii="Calibri" w:hAnsi="Calibri"/>
                <w:b w:val="0"/>
                <w:i w:val="0"/>
                <w:color w:val="20252B"/>
                <w:sz w:val="16"/>
              </w:rPr>
              <w:t>Not completed.</w:t>
            </w:r>
          </w:p>
        </w:tc>
      </w:tr>
    </w:tbl>
    <w:p>
      <w:pPr>
        <w:widowControl/>
        <w:spacing w:before="80" w:after="80"/>
      </w:pPr>
    </w:p>
    <w:tbl>
      <w:tblPr>
        <w:tblW w:type="dxa" w:w="9360"/>
        <w:jc w:val="left"/>
        <w:tblLayout w:type="fixed"/>
        <w:tblLook w:firstColumn="1" w:firstRow="1" w:lastColumn="0" w:lastRow="0" w:noHBand="0" w:noVBand="1" w:val="04A0"/>
        <w:tblInd w:w="120" w:type="dxa"/>
      </w:tblPr>
      <w:tblGrid>
        <w:gridCol w:w="9360"/>
      </w:tblGrid>
      <w:tr>
        <w:trPr>
          <w:tblHeader w:val="true"/>
          <w:cantSplit w:val="true"/>
        </w:trPr>
        <w:tc>
          <w:tcPr>
            <w:tcW w:type="dxa" w:w="9360"/>
            <w:tcMar>
              <w:top w:w="80" w:type="dxa"/>
              <w:bottom w:w="80" w:type="dxa"/>
              <w:start w:w="120" w:type="dxa"/>
              <w:end w:w="120" w:type="dxa"/>
            </w:tcMar>
            <w:shd w:fill="E8EEF5" w:val="clear"/>
            <w:vAlign w:val="center"/>
          </w:tcPr>
          <w:p>
            <w:pPr>
              <w:spacing w:after="0"/>
            </w:pPr>
            <w:r>
              <w:rPr>
                <w:rFonts w:ascii="Calibri" w:hAnsi="Calibri"/>
                <w:b/>
                <w:i w:val="0"/>
                <w:color w:val="17324D"/>
                <w:sz w:val="21"/>
              </w:rPr>
              <w:t xml:space="preserve">IMPORTANT: </w:t>
            </w:r>
            <w:r>
              <w:rPr>
                <w:rFonts w:ascii="Calibri" w:hAnsi="Calibri"/>
                <w:b w:val="0"/>
                <w:i w:val="0"/>
                <w:color w:val="20252B"/>
                <w:sz w:val="21"/>
              </w:rPr>
              <w:t>I0-I3 are AERA review-planning labels, not NIST assurance levels and not an external certification scheme.</w:t>
            </w:r>
          </w:p>
        </w:tc>
      </w:tr>
    </w:tbl>
    <w:p>
      <w:pPr>
        <w:widowControl/>
        <w:spacing w:after="40"/>
      </w:pPr>
    </w:p>
    <w:p>
      <w:pPr>
        <w:pStyle w:val="Heading2"/>
        <w:widowControl/>
      </w:pPr>
      <w:r>
        <w:t>1.2 Review activities</w:t>
      </w:r>
    </w:p>
    <w:p>
      <w:pPr>
        <w:pStyle w:val="AERABullet"/>
        <w:widowControl/>
        <w:numPr>
          <w:ilvl w:val="0"/>
          <w:numId w:val="10"/>
        </w:numPr>
      </w:pPr>
      <w:r>
        <w:rPr>
          <w:rFonts w:ascii="Calibri" w:hAnsi="Calibri"/>
          <w:b w:val="0"/>
          <w:i w:val="0"/>
          <w:color w:val="20252B"/>
          <w:sz w:val="22"/>
        </w:rPr>
        <w:t>Reconciled the generated requirement, threat, and source counts and examined the specification source for status, authority, conformance, mapping, governance, and evidence-boundary controls.</w:t>
      </w:r>
    </w:p>
    <w:p>
      <w:pPr>
        <w:pStyle w:val="AERABullet"/>
        <w:widowControl/>
        <w:numPr>
          <w:ilvl w:val="0"/>
          <w:numId w:val="10"/>
        </w:numPr>
      </w:pPr>
      <w:r>
        <w:rPr>
          <w:rFonts w:ascii="Calibri" w:hAnsi="Calibri"/>
          <w:b w:val="0"/>
          <w:i w:val="0"/>
          <w:color w:val="20252B"/>
          <w:sz w:val="22"/>
        </w:rPr>
        <w:t>Assessed NIST-facing claims against AI RMF, CSF, SP 800-53, IR 8477, National OLIR, AIRC, and current engagement pathways.</w:t>
      </w:r>
    </w:p>
    <w:p>
      <w:pPr>
        <w:pStyle w:val="AERABullet"/>
        <w:widowControl/>
        <w:numPr>
          <w:ilvl w:val="0"/>
          <w:numId w:val="10"/>
        </w:numPr>
      </w:pPr>
      <w:r>
        <w:rPr>
          <w:rFonts w:ascii="Calibri" w:hAnsi="Calibri"/>
          <w:b w:val="0"/>
          <w:i w:val="0"/>
          <w:color w:val="20252B"/>
          <w:sz w:val="22"/>
        </w:rPr>
        <w:t>Separated completed publication corrections from open empirical, consensus, licensing, and external-review work; defined objective release blockers and closure evidence.</w:t>
      </w:r>
    </w:p>
    <w:p>
      <w:pPr>
        <w:pStyle w:val="Heading2"/>
        <w:widowControl/>
      </w:pPr>
      <w:r>
        <w:t>1.3 Limitations</w:t>
      </w:r>
    </w:p>
    <w:p>
      <w:pPr>
        <w:widowControl/>
      </w:pPr>
      <w:r>
        <w:rPr>
          <w:rFonts w:ascii="Calibri" w:hAnsi="Calibri"/>
          <w:b w:val="0"/>
          <w:i w:val="0"/>
          <w:color w:val="20252B"/>
          <w:sz w:val="22"/>
        </w:rPr>
        <w:t>This review uses public publisher-controlled source information. It does not assert clause-level equivalence to proprietary ISO or IEEE standards without authorized full-text review. Continuously maintained sources require version or access-date control at each release.</w:t>
      </w:r>
    </w:p>
    <w:p>
      <w:pPr>
        <w:pStyle w:val="Heading1"/>
        <w:pageBreakBefore/>
        <w:widowControl/>
      </w:pPr>
      <w:r>
        <w:t>2. Publication and Cross-Document Integrity</w:t>
      </w:r>
    </w:p>
    <w:p>
      <w:pPr>
        <w:widowControl/>
      </w:pPr>
      <w:r>
        <w:rPr>
          <w:rFonts w:ascii="Calibri" w:hAnsi="Calibri"/>
          <w:b w:val="0"/>
          <w:i w:val="0"/>
          <w:color w:val="20252B"/>
          <w:sz w:val="22"/>
        </w:rPr>
        <w:t>The 1.2 WD package corrects the central publication-control failures observed in the 1.1 RC1 set: stale fixed-layout navigation, source drift between human- and machine-readable artifacts, references to filenames not actually released, and an improperly characterized same-author 'independent' review.</w:t>
      </w:r>
    </w:p>
    <w:tbl>
      <w:tblPr>
        <w:tblStyle w:val="TableGrid"/>
        <w:tblW w:type="dxa" w:w="9360"/>
        <w:jc w:val="left"/>
        <w:tblLayout w:type="fixed"/>
        <w:tblLook w:firstColumn="1" w:firstRow="1" w:lastColumn="0" w:lastRow="0" w:noHBand="0" w:noVBand="1" w:val="04A0"/>
        <w:tblInd w:w="120" w:type="dxa"/>
      </w:tblPr>
      <w:tblGrid>
        <w:gridCol w:w="1850"/>
        <w:gridCol w:w="3940"/>
        <w:gridCol w:w="3570"/>
      </w:tblGrid>
      <w:tr>
        <w:trPr>
          <w:tblHeader w:val="true"/>
          <w:cantSplit w:val="true"/>
        </w:trPr>
        <w:tc>
          <w:tcPr>
            <w:tcW w:type="dxa" w:w="1850"/>
            <w:shd w:fill="F2F4F7" w:val="clear"/>
            <w:vAlign w:val="center"/>
            <w:tcMar>
              <w:top w:w="80" w:type="dxa"/>
              <w:bottom w:w="80" w:type="dxa"/>
              <w:start w:w="120" w:type="dxa"/>
              <w:end w:w="120" w:type="dxa"/>
            </w:tcMar>
          </w:tcPr>
          <w:p>
            <w:pPr>
              <w:spacing w:after="0"/>
              <w:jc w:val="left"/>
            </w:pPr>
            <w:r>
              <w:rPr>
                <w:rFonts w:ascii="Calibri" w:hAnsi="Calibri"/>
                <w:b/>
                <w:i w:val="0"/>
                <w:color w:val="17324D"/>
                <w:sz w:val="15"/>
              </w:rPr>
              <w:t>Integrity object</w:t>
            </w:r>
          </w:p>
        </w:tc>
        <w:tc>
          <w:tcPr>
            <w:tcW w:type="dxa" w:w="3940"/>
            <w:shd w:fill="F2F4F7" w:val="clear"/>
            <w:vAlign w:val="center"/>
            <w:tcMar>
              <w:top w:w="80" w:type="dxa"/>
              <w:bottom w:w="80" w:type="dxa"/>
              <w:start w:w="120" w:type="dxa"/>
              <w:end w:w="120" w:type="dxa"/>
            </w:tcMar>
          </w:tcPr>
          <w:p>
            <w:pPr>
              <w:spacing w:after="0"/>
              <w:jc w:val="left"/>
            </w:pPr>
            <w:r>
              <w:rPr>
                <w:rFonts w:ascii="Calibri" w:hAnsi="Calibri"/>
                <w:b/>
                <w:i w:val="0"/>
                <w:color w:val="17324D"/>
                <w:sz w:val="15"/>
              </w:rPr>
              <w:t>Controlled 1.2 WD state</w:t>
            </w:r>
          </w:p>
        </w:tc>
        <w:tc>
          <w:tcPr>
            <w:tcW w:type="dxa" w:w="3570"/>
            <w:shd w:fill="F2F4F7" w:val="clear"/>
            <w:vAlign w:val="center"/>
            <w:tcMar>
              <w:top w:w="80" w:type="dxa"/>
              <w:bottom w:w="80" w:type="dxa"/>
              <w:start w:w="120" w:type="dxa"/>
              <w:end w:w="120" w:type="dxa"/>
            </w:tcMar>
          </w:tcPr>
          <w:p>
            <w:pPr>
              <w:spacing w:after="0"/>
              <w:jc w:val="left"/>
            </w:pPr>
            <w:r>
              <w:rPr>
                <w:rFonts w:ascii="Calibri" w:hAnsi="Calibri"/>
                <w:b/>
                <w:i w:val="0"/>
                <w:color w:val="17324D"/>
                <w:sz w:val="15"/>
              </w:rPr>
              <w:t>Release condition</w:t>
            </w:r>
          </w:p>
        </w:tc>
      </w:tr>
      <w:tr>
        <w:trPr>
          <w:cantSplit w:val="true"/>
        </w:trPr>
        <w:tc>
          <w:tcPr>
            <w:tcW w:type="dxa" w:w="1850"/>
            <w:vAlign w:val="center"/>
            <w:tcMar>
              <w:top w:w="80" w:type="dxa"/>
              <w:bottom w:w="80" w:type="dxa"/>
              <w:start w:w="120" w:type="dxa"/>
              <w:end w:w="120" w:type="dxa"/>
            </w:tcMar>
          </w:tcPr>
          <w:p>
            <w:pPr>
              <w:spacing w:after="0"/>
            </w:pPr>
            <w:r>
              <w:rPr>
                <w:rFonts w:ascii="Calibri" w:hAnsi="Calibri"/>
                <w:b w:val="0"/>
                <w:i w:val="0"/>
                <w:color w:val="20252B"/>
                <w:sz w:val="15"/>
              </w:rPr>
              <w:t>Edition and status</w:t>
            </w:r>
          </w:p>
        </w:tc>
        <w:tc>
          <w:tcPr>
            <w:tcW w:type="dxa" w:w="3940"/>
            <w:vAlign w:val="center"/>
            <w:tcMar>
              <w:top w:w="80" w:type="dxa"/>
              <w:bottom w:w="80" w:type="dxa"/>
              <w:start w:w="120" w:type="dxa"/>
              <w:end w:w="120" w:type="dxa"/>
            </w:tcMar>
          </w:tcPr>
          <w:p>
            <w:pPr>
              <w:spacing w:after="0"/>
            </w:pPr>
            <w:r>
              <w:rPr>
                <w:rFonts w:ascii="Calibri" w:hAnsi="Calibri"/>
                <w:b w:val="0"/>
                <w:i w:val="0"/>
                <w:color w:val="20252B"/>
                <w:sz w:val="15"/>
              </w:rPr>
              <w:t>AERA-001, Version 1.2 WD; independently authored working draft.</w:t>
            </w:r>
          </w:p>
        </w:tc>
        <w:tc>
          <w:tcPr>
            <w:tcW w:type="dxa" w:w="3570"/>
            <w:vAlign w:val="center"/>
            <w:tcMar>
              <w:top w:w="80" w:type="dxa"/>
              <w:bottom w:w="80" w:type="dxa"/>
              <w:start w:w="120" w:type="dxa"/>
              <w:end w:w="120" w:type="dxa"/>
            </w:tcMar>
          </w:tcPr>
          <w:p>
            <w:pPr>
              <w:spacing w:after="0"/>
            </w:pPr>
            <w:r>
              <w:rPr>
                <w:rFonts w:ascii="Calibri" w:hAnsi="Calibri"/>
                <w:b w:val="0"/>
                <w:i w:val="0"/>
                <w:color w:val="20252B"/>
                <w:sz w:val="15"/>
              </w:rPr>
              <w:t>Every artifact and metadata field must use the same edition/status.</w:t>
            </w:r>
          </w:p>
        </w:tc>
      </w:tr>
      <w:tr>
        <w:trPr>
          <w:cantSplit w:val="true"/>
        </w:trPr>
        <w:tc>
          <w:tcPr>
            <w:tcW w:type="dxa" w:w="1850"/>
            <w:vAlign w:val="center"/>
            <w:tcMar>
              <w:top w:w="80" w:type="dxa"/>
              <w:bottom w:w="80" w:type="dxa"/>
              <w:start w:w="120" w:type="dxa"/>
              <w:end w:w="120" w:type="dxa"/>
            </w:tcMar>
          </w:tcPr>
          <w:p>
            <w:pPr>
              <w:spacing w:after="0"/>
            </w:pPr>
            <w:r>
              <w:rPr>
                <w:rFonts w:ascii="Calibri" w:hAnsi="Calibri"/>
                <w:b w:val="0"/>
                <w:i w:val="0"/>
                <w:color w:val="20252B"/>
                <w:sz w:val="15"/>
              </w:rPr>
              <w:t>Normative requirements</w:t>
            </w:r>
          </w:p>
        </w:tc>
        <w:tc>
          <w:tcPr>
            <w:tcW w:type="dxa" w:w="3940"/>
            <w:vAlign w:val="center"/>
            <w:tcMar>
              <w:top w:w="80" w:type="dxa"/>
              <w:bottom w:w="80" w:type="dxa"/>
              <w:start w:w="120" w:type="dxa"/>
              <w:end w:w="120" w:type="dxa"/>
            </w:tcMar>
          </w:tcPr>
          <w:p>
            <w:pPr>
              <w:spacing w:after="0"/>
            </w:pPr>
            <w:r>
              <w:rPr>
                <w:rFonts w:ascii="Calibri" w:hAnsi="Calibri"/>
                <w:b w:val="0"/>
                <w:i w:val="0"/>
                <w:color w:val="20252B"/>
                <w:sz w:val="15"/>
              </w:rPr>
              <w:t>199 active rows; Appendix A / controlled registry is canonical.</w:t>
            </w:r>
          </w:p>
        </w:tc>
        <w:tc>
          <w:tcPr>
            <w:tcW w:type="dxa" w:w="3570"/>
            <w:vAlign w:val="center"/>
            <w:tcMar>
              <w:top w:w="80" w:type="dxa"/>
              <w:bottom w:w="80" w:type="dxa"/>
              <w:start w:w="120" w:type="dxa"/>
              <w:end w:w="120" w:type="dxa"/>
            </w:tcMar>
          </w:tcPr>
          <w:p>
            <w:pPr>
              <w:spacing w:after="0"/>
            </w:pPr>
            <w:r>
              <w:rPr>
                <w:rFonts w:ascii="Calibri" w:hAnsi="Calibri"/>
                <w:b w:val="0"/>
                <w:i w:val="0"/>
                <w:color w:val="20252B"/>
                <w:sz w:val="15"/>
              </w:rPr>
              <w:t>DOCX, PDF, XLSX, and CSV text must reconcile exactly.</w:t>
            </w:r>
          </w:p>
        </w:tc>
      </w:tr>
      <w:tr>
        <w:trPr>
          <w:cantSplit w:val="true"/>
        </w:trPr>
        <w:tc>
          <w:tcPr>
            <w:tcW w:type="dxa" w:w="1850"/>
            <w:vAlign w:val="center"/>
            <w:tcMar>
              <w:top w:w="80" w:type="dxa"/>
              <w:bottom w:w="80" w:type="dxa"/>
              <w:start w:w="120" w:type="dxa"/>
              <w:end w:w="120" w:type="dxa"/>
            </w:tcMar>
          </w:tcPr>
          <w:p>
            <w:pPr>
              <w:spacing w:after="0"/>
            </w:pPr>
            <w:r>
              <w:rPr>
                <w:rFonts w:ascii="Calibri" w:hAnsi="Calibri"/>
                <w:b w:val="0"/>
                <w:i w:val="0"/>
                <w:color w:val="20252B"/>
                <w:sz w:val="15"/>
              </w:rPr>
              <w:t>Threat-control-test trace</w:t>
            </w:r>
          </w:p>
        </w:tc>
        <w:tc>
          <w:tcPr>
            <w:tcW w:type="dxa" w:w="3940"/>
            <w:vAlign w:val="center"/>
            <w:tcMar>
              <w:top w:w="80" w:type="dxa"/>
              <w:bottom w:w="80" w:type="dxa"/>
              <w:start w:w="120" w:type="dxa"/>
              <w:end w:w="120" w:type="dxa"/>
            </w:tcMar>
          </w:tcPr>
          <w:p>
            <w:pPr>
              <w:spacing w:after="0"/>
            </w:pPr>
            <w:r>
              <w:rPr>
                <w:rFonts w:ascii="Calibri" w:hAnsi="Calibri"/>
                <w:b w:val="0"/>
                <w:i w:val="0"/>
                <w:color w:val="20252B"/>
                <w:sz w:val="15"/>
              </w:rPr>
              <w:t>25 DAT rows.</w:t>
            </w:r>
          </w:p>
        </w:tc>
        <w:tc>
          <w:tcPr>
            <w:tcW w:type="dxa" w:w="3570"/>
            <w:vAlign w:val="center"/>
            <w:tcMar>
              <w:top w:w="80" w:type="dxa"/>
              <w:bottom w:w="80" w:type="dxa"/>
              <w:start w:w="120" w:type="dxa"/>
              <w:end w:w="120" w:type="dxa"/>
            </w:tcMar>
          </w:tcPr>
          <w:p>
            <w:pPr>
              <w:spacing w:after="0"/>
            </w:pPr>
            <w:r>
              <w:rPr>
                <w:rFonts w:ascii="Calibri" w:hAnsi="Calibri"/>
                <w:b w:val="0"/>
                <w:i w:val="0"/>
                <w:color w:val="20252B"/>
                <w:sz w:val="15"/>
              </w:rPr>
              <w:t>Every referenced AERA requirement must resolve; all test/evidence fields remain present.</w:t>
            </w:r>
          </w:p>
        </w:tc>
      </w:tr>
      <w:tr>
        <w:trPr>
          <w:cantSplit w:val="true"/>
        </w:trPr>
        <w:tc>
          <w:tcPr>
            <w:tcW w:type="dxa" w:w="1850"/>
            <w:vAlign w:val="center"/>
            <w:tcMar>
              <w:top w:w="80" w:type="dxa"/>
              <w:bottom w:w="80" w:type="dxa"/>
              <w:start w:w="120" w:type="dxa"/>
              <w:end w:w="120" w:type="dxa"/>
            </w:tcMar>
          </w:tcPr>
          <w:p>
            <w:pPr>
              <w:spacing w:after="0"/>
            </w:pPr>
            <w:r>
              <w:rPr>
                <w:rFonts w:ascii="Calibri" w:hAnsi="Calibri"/>
                <w:b w:val="0"/>
                <w:i w:val="0"/>
                <w:color w:val="20252B"/>
                <w:sz w:val="15"/>
              </w:rPr>
              <w:t>Controlled sources</w:t>
            </w:r>
          </w:p>
        </w:tc>
        <w:tc>
          <w:tcPr>
            <w:tcW w:type="dxa" w:w="3940"/>
            <w:vAlign w:val="center"/>
            <w:tcMar>
              <w:top w:w="80" w:type="dxa"/>
              <w:bottom w:w="80" w:type="dxa"/>
              <w:start w:w="120" w:type="dxa"/>
              <w:end w:w="120" w:type="dxa"/>
            </w:tcMar>
          </w:tcPr>
          <w:p>
            <w:pPr>
              <w:spacing w:after="0"/>
            </w:pPr>
            <w:r>
              <w:rPr>
                <w:rFonts w:ascii="Calibri" w:hAnsi="Calibri"/>
                <w:b w:val="0"/>
                <w:i w:val="0"/>
                <w:color w:val="20252B"/>
                <w:sz w:val="15"/>
              </w:rPr>
              <w:t>69 rows.</w:t>
            </w:r>
          </w:p>
        </w:tc>
        <w:tc>
          <w:tcPr>
            <w:tcW w:type="dxa" w:w="3570"/>
            <w:vAlign w:val="center"/>
            <w:tcMar>
              <w:top w:w="80" w:type="dxa"/>
              <w:bottom w:w="80" w:type="dxa"/>
              <w:start w:w="120" w:type="dxa"/>
              <w:end w:w="120" w:type="dxa"/>
            </w:tcMar>
          </w:tcPr>
          <w:p>
            <w:pPr>
              <w:spacing w:after="0"/>
            </w:pPr>
            <w:r>
              <w:rPr>
                <w:rFonts w:ascii="Calibri" w:hAnsi="Calibri"/>
                <w:b w:val="0"/>
                <w:i w:val="0"/>
                <w:color w:val="20252B"/>
                <w:sz w:val="15"/>
              </w:rPr>
              <w:t>Edition, publication status, access date, direction, and caveat must reconcile.</w:t>
            </w:r>
          </w:p>
        </w:tc>
      </w:tr>
      <w:tr>
        <w:trPr>
          <w:cantSplit w:val="true"/>
        </w:trPr>
        <w:tc>
          <w:tcPr>
            <w:tcW w:type="dxa" w:w="1850"/>
            <w:vAlign w:val="center"/>
            <w:tcMar>
              <w:top w:w="80" w:type="dxa"/>
              <w:bottom w:w="80" w:type="dxa"/>
              <w:start w:w="120" w:type="dxa"/>
              <w:end w:w="120" w:type="dxa"/>
            </w:tcMar>
          </w:tcPr>
          <w:p>
            <w:pPr>
              <w:spacing w:after="0"/>
            </w:pPr>
            <w:r>
              <w:rPr>
                <w:rFonts w:ascii="Calibri" w:hAnsi="Calibri"/>
                <w:b w:val="0"/>
                <w:i w:val="0"/>
                <w:color w:val="20252B"/>
                <w:sz w:val="15"/>
              </w:rPr>
              <w:t>Review records</w:t>
            </w:r>
          </w:p>
        </w:tc>
        <w:tc>
          <w:tcPr>
            <w:tcW w:type="dxa" w:w="3940"/>
            <w:vAlign w:val="center"/>
            <w:tcMar>
              <w:top w:w="80" w:type="dxa"/>
              <w:bottom w:w="80" w:type="dxa"/>
              <w:start w:w="120" w:type="dxa"/>
              <w:end w:w="120" w:type="dxa"/>
            </w:tcMar>
          </w:tcPr>
          <w:p>
            <w:pPr>
              <w:spacing w:after="0"/>
            </w:pPr>
            <w:r>
              <w:rPr>
                <w:rFonts w:ascii="Calibri" w:hAnsi="Calibri"/>
                <w:b w:val="0"/>
                <w:i w:val="0"/>
                <w:color w:val="20252B"/>
                <w:sz w:val="15"/>
              </w:rPr>
              <w:t>Immutable reviewer-entered comment identifiers in the 1.2 matrix.</w:t>
            </w:r>
          </w:p>
        </w:tc>
        <w:tc>
          <w:tcPr>
            <w:tcW w:type="dxa" w:w="3570"/>
            <w:vAlign w:val="center"/>
            <w:tcMar>
              <w:top w:w="80" w:type="dxa"/>
              <w:bottom w:w="80" w:type="dxa"/>
              <w:start w:w="120" w:type="dxa"/>
              <w:end w:w="120" w:type="dxa"/>
            </w:tcMar>
          </w:tcPr>
          <w:p>
            <w:pPr>
              <w:spacing w:after="0"/>
            </w:pPr>
            <w:r>
              <w:rPr>
                <w:rFonts w:ascii="Calibri" w:hAnsi="Calibri"/>
                <w:b w:val="0"/>
                <w:i w:val="0"/>
                <w:color w:val="20252B"/>
                <w:sz w:val="15"/>
              </w:rPr>
              <w:t>No row-derived identifier may change when rows are sorted or inserted.</w:t>
            </w:r>
          </w:p>
        </w:tc>
      </w:tr>
      <w:tr>
        <w:trPr>
          <w:cantSplit w:val="true"/>
        </w:trPr>
        <w:tc>
          <w:tcPr>
            <w:tcW w:type="dxa" w:w="1850"/>
            <w:vAlign w:val="center"/>
            <w:tcMar>
              <w:top w:w="80" w:type="dxa"/>
              <w:bottom w:w="80" w:type="dxa"/>
              <w:start w:w="120" w:type="dxa"/>
              <w:end w:w="120" w:type="dxa"/>
            </w:tcMar>
          </w:tcPr>
          <w:p>
            <w:pPr>
              <w:spacing w:after="0"/>
            </w:pPr>
            <w:r>
              <w:rPr>
                <w:rFonts w:ascii="Calibri" w:hAnsi="Calibri"/>
                <w:b w:val="0"/>
                <w:i w:val="0"/>
                <w:color w:val="20252B"/>
                <w:sz w:val="15"/>
              </w:rPr>
              <w:t>Machine mappings</w:t>
            </w:r>
          </w:p>
        </w:tc>
        <w:tc>
          <w:tcPr>
            <w:tcW w:type="dxa" w:w="3940"/>
            <w:vAlign w:val="center"/>
            <w:tcMar>
              <w:top w:w="80" w:type="dxa"/>
              <w:bottom w:w="80" w:type="dxa"/>
              <w:start w:w="120" w:type="dxa"/>
              <w:end w:w="120" w:type="dxa"/>
            </w:tcMar>
          </w:tcPr>
          <w:p>
            <w:pPr>
              <w:spacing w:after="0"/>
            </w:pPr>
            <w:r>
              <w:rPr>
                <w:rFonts w:ascii="Calibri" w:hAnsi="Calibri"/>
                <w:b w:val="0"/>
                <w:i w:val="0"/>
                <w:color w:val="20252B"/>
                <w:sz w:val="15"/>
              </w:rPr>
              <w:t>Separate developmental ledger for AI RMF, CSF 2.0, and SP 800-53 lanes.</w:t>
            </w:r>
          </w:p>
        </w:tc>
        <w:tc>
          <w:tcPr>
            <w:tcW w:type="dxa" w:w="3570"/>
            <w:vAlign w:val="center"/>
            <w:tcMar>
              <w:top w:w="80" w:type="dxa"/>
              <w:bottom w:w="80" w:type="dxa"/>
              <w:start w:w="120" w:type="dxa"/>
              <w:end w:w="120" w:type="dxa"/>
            </w:tcMar>
          </w:tcPr>
          <w:p>
            <w:pPr>
              <w:spacing w:after="0"/>
            </w:pPr>
            <w:r>
              <w:rPr>
                <w:rFonts w:ascii="Calibri" w:hAnsi="Calibri"/>
                <w:b w:val="0"/>
                <w:i w:val="0"/>
                <w:color w:val="20252B"/>
                <w:sz w:val="15"/>
              </w:rPr>
              <w:t>No relationship claim without one atomic pair and adjudication metadata.</w:t>
            </w:r>
          </w:p>
        </w:tc>
      </w:tr>
      <w:tr>
        <w:trPr>
          <w:cantSplit w:val="true"/>
        </w:trPr>
        <w:tc>
          <w:tcPr>
            <w:tcW w:type="dxa" w:w="1850"/>
            <w:vAlign w:val="center"/>
            <w:tcMar>
              <w:top w:w="80" w:type="dxa"/>
              <w:bottom w:w="80" w:type="dxa"/>
              <w:start w:w="120" w:type="dxa"/>
              <w:end w:w="120" w:type="dxa"/>
            </w:tcMar>
          </w:tcPr>
          <w:p>
            <w:pPr>
              <w:spacing w:after="0"/>
            </w:pPr>
            <w:r>
              <w:rPr>
                <w:rFonts w:ascii="Calibri" w:hAnsi="Calibri"/>
                <w:b w:val="0"/>
                <w:i w:val="0"/>
                <w:color w:val="20252B"/>
                <w:sz w:val="15"/>
              </w:rPr>
              <w:t>Package inventory</w:t>
            </w:r>
          </w:p>
        </w:tc>
        <w:tc>
          <w:tcPr>
            <w:tcW w:type="dxa" w:w="3940"/>
            <w:vAlign w:val="center"/>
            <w:tcMar>
              <w:top w:w="80" w:type="dxa"/>
              <w:bottom w:w="80" w:type="dxa"/>
              <w:start w:w="120" w:type="dxa"/>
              <w:end w:w="120" w:type="dxa"/>
            </w:tcMar>
          </w:tcPr>
          <w:p>
            <w:pPr>
              <w:spacing w:after="0"/>
            </w:pPr>
            <w:r>
              <w:rPr>
                <w:rFonts w:ascii="Calibri" w:hAnsi="Calibri"/>
                <w:b w:val="0"/>
                <w:i w:val="0"/>
                <w:color w:val="20252B"/>
                <w:sz w:val="15"/>
              </w:rPr>
              <w:t>Actual 1.2 filenames only.</w:t>
            </w:r>
          </w:p>
        </w:tc>
        <w:tc>
          <w:tcPr>
            <w:tcW w:type="dxa" w:w="3570"/>
            <w:vAlign w:val="center"/>
            <w:tcMar>
              <w:top w:w="80" w:type="dxa"/>
              <w:bottom w:w="80" w:type="dxa"/>
              <w:start w:w="120" w:type="dxa"/>
              <w:end w:w="120" w:type="dxa"/>
            </w:tcMar>
          </w:tcPr>
          <w:p>
            <w:pPr>
              <w:spacing w:after="0"/>
            </w:pPr>
            <w:r>
              <w:rPr>
                <w:rFonts w:ascii="Calibri" w:hAnsi="Calibri"/>
                <w:b w:val="0"/>
                <w:i w:val="0"/>
                <w:color w:val="20252B"/>
                <w:sz w:val="15"/>
              </w:rPr>
              <w:t>Final checksum manifest must match every published byte stream.</w:t>
            </w:r>
          </w:p>
        </w:tc>
      </w:tr>
    </w:tbl>
    <w:p>
      <w:pPr>
        <w:widowControl/>
        <w:spacing w:before="80" w:after="80"/>
      </w:pPr>
    </w:p>
    <w:p>
      <w:pPr>
        <w:pStyle w:val="Heading2"/>
        <w:widowControl/>
      </w:pPr>
      <w:r>
        <w:t>2.1 Normative-control improvements</w:t>
      </w:r>
    </w:p>
    <w:p>
      <w:pPr>
        <w:pStyle w:val="AERABullet"/>
        <w:widowControl/>
        <w:numPr>
          <w:ilvl w:val="0"/>
          <w:numId w:val="10"/>
        </w:numPr>
      </w:pPr>
      <w:r>
        <w:rPr>
          <w:rFonts w:ascii="Calibri" w:hAnsi="Calibri"/>
          <w:b w:val="0"/>
          <w:i w:val="0"/>
          <w:color w:val="20252B"/>
          <w:sz w:val="22"/>
        </w:rPr>
        <w:t>Conformance outcomes are separated: CONFORMING, CONDITIONALLY CONFORMING, NONCONFORMING, and INDETERMINATE.</w:t>
      </w:r>
    </w:p>
    <w:p>
      <w:pPr>
        <w:pStyle w:val="AERABullet"/>
        <w:widowControl/>
        <w:numPr>
          <w:ilvl w:val="0"/>
          <w:numId w:val="10"/>
        </w:numPr>
      </w:pPr>
      <w:r>
        <w:rPr>
          <w:rFonts w:ascii="Calibri" w:hAnsi="Calibri"/>
          <w:b w:val="0"/>
          <w:i w:val="0"/>
          <w:color w:val="20252B"/>
          <w:sz w:val="22"/>
        </w:rPr>
        <w:t>The normative perimeter identifies Section 1, Section 3 definitions, uniquely identified requirements, and clauses or tables explicitly marked [NORMATIVE].</w:t>
      </w:r>
    </w:p>
    <w:p>
      <w:pPr>
        <w:pStyle w:val="AERABullet"/>
        <w:widowControl/>
        <w:numPr>
          <w:ilvl w:val="0"/>
          <w:numId w:val="10"/>
        </w:numPr>
      </w:pPr>
      <w:r>
        <w:rPr>
          <w:rFonts w:ascii="Calibri" w:hAnsi="Calibri"/>
          <w:b w:val="0"/>
          <w:i w:val="0"/>
          <w:color w:val="20252B"/>
          <w:sz w:val="22"/>
        </w:rPr>
        <w:t>Different text for one requirement identifier is a release-blocking publication defect; it does not create an alternate requirement.</w:t>
      </w:r>
    </w:p>
    <w:p>
      <w:pPr>
        <w:pStyle w:val="AERABullet"/>
        <w:widowControl/>
        <w:numPr>
          <w:ilvl w:val="0"/>
          <w:numId w:val="10"/>
        </w:numPr>
      </w:pPr>
      <w:r>
        <w:rPr>
          <w:rFonts w:ascii="Calibri" w:hAnsi="Calibri"/>
          <w:b w:val="0"/>
          <w:i w:val="0"/>
          <w:color w:val="20252B"/>
          <w:sz w:val="22"/>
        </w:rPr>
        <w:t>Applicability and assessment result are separate, with evidence, owner, inheritance, deviation, approval, and invalidating-condition fields.</w:t>
      </w:r>
    </w:p>
    <w:p>
      <w:pPr>
        <w:pStyle w:val="AERABullet"/>
        <w:widowControl/>
        <w:numPr>
          <w:ilvl w:val="0"/>
          <w:numId w:val="10"/>
        </w:numPr>
      </w:pPr>
      <w:r>
        <w:rPr>
          <w:rFonts w:ascii="Calibri" w:hAnsi="Calibri"/>
          <w:b w:val="0"/>
          <w:i w:val="0"/>
          <w:color w:val="20252B"/>
          <w:sz w:val="22"/>
        </w:rPr>
        <w:t>Capabilities are reported by evidenced operational state: PRESENT, MONITORED, ACTIVE IN PATH, USED IN COMPUTATION, or VALIDATED EFFECTIVE.</w:t>
      </w:r>
    </w:p>
    <w:tbl>
      <w:tblPr>
        <w:tblW w:type="dxa" w:w="9360"/>
        <w:jc w:val="left"/>
        <w:tblLayout w:type="fixed"/>
        <w:tblLook w:firstColumn="1" w:firstRow="1" w:lastColumn="0" w:lastRow="0" w:noHBand="0" w:noVBand="1" w:val="04A0"/>
        <w:tblInd w:w="120" w:type="dxa"/>
      </w:tblPr>
      <w:tblGrid>
        <w:gridCol w:w="9360"/>
      </w:tblGrid>
      <w:tr>
        <w:trPr>
          <w:tblHeader w:val="true"/>
          <w:cantSplit w:val="true"/>
        </w:trPr>
        <w:tc>
          <w:tcPr>
            <w:tcW w:type="dxa" w:w="9360"/>
            <w:tcMar>
              <w:top w:w="80" w:type="dxa"/>
              <w:bottom w:w="80" w:type="dxa"/>
              <w:start w:w="120" w:type="dxa"/>
              <w:end w:w="120" w:type="dxa"/>
            </w:tcMar>
            <w:shd w:fill="FFF5D6" w:val="clear"/>
            <w:vAlign w:val="center"/>
          </w:tcPr>
          <w:p>
            <w:pPr>
              <w:spacing w:after="0"/>
            </w:pPr>
            <w:r>
              <w:rPr>
                <w:rFonts w:ascii="Calibri" w:hAnsi="Calibri"/>
                <w:b/>
                <w:i w:val="0"/>
                <w:color w:val="A46F00"/>
                <w:sz w:val="21"/>
              </w:rPr>
              <w:t xml:space="preserve">RESIDUAL CONTROL: </w:t>
            </w:r>
            <w:r>
              <w:rPr>
                <w:rFonts w:ascii="Calibri" w:hAnsi="Calibri"/>
                <w:b w:val="0"/>
                <w:i w:val="0"/>
                <w:color w:val="20252B"/>
                <w:sz w:val="21"/>
              </w:rPr>
              <w:t>The published PDF must be frozen, signed or hashed, and reconciled to the editable and machine-readable derivatives before any release-candidate integrity claim.</w:t>
            </w:r>
          </w:p>
        </w:tc>
      </w:tr>
    </w:tbl>
    <w:p>
      <w:pPr>
        <w:widowControl/>
        <w:spacing w:after="40"/>
      </w:pPr>
    </w:p>
    <w:p>
      <w:pPr>
        <w:pStyle w:val="Heading1"/>
        <w:pageBreakBefore/>
        <w:widowControl/>
      </w:pPr>
      <w:r>
        <w:t>3. Technical Architecture Assessment</w:t>
      </w:r>
    </w:p>
    <w:tbl>
      <w:tblPr>
        <w:tblW w:type="dxa" w:w="9360"/>
        <w:jc w:val="left"/>
        <w:tblLayout w:type="fixed"/>
        <w:tblLook w:firstColumn="1" w:firstRow="1" w:lastColumn="0" w:lastRow="0" w:noHBand="0" w:noVBand="1" w:val="04A0"/>
        <w:tblInd w:w="120" w:type="dxa"/>
      </w:tblPr>
      <w:tblGrid>
        <w:gridCol w:w="9360"/>
      </w:tblGrid>
      <w:tr>
        <w:trPr>
          <w:tblHeader w:val="true"/>
          <w:cantSplit w:val="true"/>
        </w:trPr>
        <w:tc>
          <w:tcPr>
            <w:tcW w:type="dxa" w:w="9360"/>
            <w:tcMar>
              <w:top w:w="80" w:type="dxa"/>
              <w:bottom w:w="80" w:type="dxa"/>
              <w:start w:w="120" w:type="dxa"/>
              <w:end w:w="120" w:type="dxa"/>
            </w:tcMar>
            <w:shd w:fill="EAF4EE" w:val="clear"/>
            <w:vAlign w:val="center"/>
          </w:tcPr>
          <w:p>
            <w:pPr>
              <w:spacing w:after="0"/>
            </w:pPr>
            <w:r>
              <w:rPr>
                <w:rFonts w:ascii="Calibri" w:hAnsi="Calibri"/>
                <w:b/>
                <w:i w:val="0"/>
                <w:color w:val="2D6A4F"/>
                <w:sz w:val="21"/>
              </w:rPr>
              <w:t xml:space="preserve">ARCHITECTURAL JUDGMENT: </w:t>
            </w:r>
            <w:r>
              <w:rPr>
                <w:rFonts w:ascii="Calibri" w:hAnsi="Calibri"/>
                <w:b w:val="0"/>
                <w:i w:val="0"/>
                <w:color w:val="20252B"/>
                <w:sz w:val="21"/>
              </w:rPr>
              <w:t>AERA is technically differentiated where it binds delegated authority, current evidence, policy, consequence, time/PNT, independent enforcement, effect observation, and recovery into one reconstructable transaction.</w:t>
            </w:r>
          </w:p>
        </w:tc>
      </w:tr>
    </w:tbl>
    <w:p>
      <w:pPr>
        <w:widowControl/>
        <w:spacing w:after="40"/>
      </w:pPr>
    </w:p>
    <w:tbl>
      <w:tblPr>
        <w:tblStyle w:val="TableGrid"/>
        <w:tblW w:type="dxa" w:w="9360"/>
        <w:jc w:val="left"/>
        <w:tblLayout w:type="fixed"/>
        <w:tblLook w:firstColumn="1" w:firstRow="1" w:lastColumn="0" w:lastRow="0" w:noHBand="0" w:noVBand="1" w:val="04A0"/>
        <w:tblInd w:w="120" w:type="dxa"/>
      </w:tblPr>
      <w:tblGrid>
        <w:gridCol w:w="2200"/>
        <w:gridCol w:w="3660"/>
        <w:gridCol w:w="3500"/>
      </w:tblGrid>
      <w:tr>
        <w:trPr>
          <w:tblHeader w:val="true"/>
          <w:cantSplit w:val="true"/>
        </w:trPr>
        <w:tc>
          <w:tcPr>
            <w:tcW w:type="dxa" w:w="2200"/>
            <w:shd w:fill="F2F4F7" w:val="clear"/>
            <w:vAlign w:val="center"/>
            <w:tcMar>
              <w:top w:w="80" w:type="dxa"/>
              <w:bottom w:w="80" w:type="dxa"/>
              <w:start w:w="120" w:type="dxa"/>
              <w:end w:w="120" w:type="dxa"/>
            </w:tcMar>
          </w:tcPr>
          <w:p>
            <w:pPr>
              <w:spacing w:after="0"/>
              <w:jc w:val="left"/>
            </w:pPr>
            <w:r>
              <w:rPr>
                <w:rFonts w:ascii="Calibri" w:hAnsi="Calibri"/>
                <w:b/>
                <w:i w:val="0"/>
                <w:color w:val="17324D"/>
                <w:sz w:val="16"/>
              </w:rPr>
              <w:t>Architecture strength</w:t>
            </w:r>
          </w:p>
        </w:tc>
        <w:tc>
          <w:tcPr>
            <w:tcW w:type="dxa" w:w="3660"/>
            <w:shd w:fill="F2F4F7" w:val="clear"/>
            <w:vAlign w:val="center"/>
            <w:tcMar>
              <w:top w:w="80" w:type="dxa"/>
              <w:bottom w:w="80" w:type="dxa"/>
              <w:start w:w="120" w:type="dxa"/>
              <w:end w:w="120" w:type="dxa"/>
            </w:tcMar>
          </w:tcPr>
          <w:p>
            <w:pPr>
              <w:spacing w:after="0"/>
              <w:jc w:val="left"/>
            </w:pPr>
            <w:r>
              <w:rPr>
                <w:rFonts w:ascii="Calibri" w:hAnsi="Calibri"/>
                <w:b/>
                <w:i w:val="0"/>
                <w:color w:val="17324D"/>
                <w:sz w:val="16"/>
              </w:rPr>
              <w:t>Assessment</w:t>
            </w:r>
          </w:p>
        </w:tc>
        <w:tc>
          <w:tcPr>
            <w:tcW w:type="dxa" w:w="3500"/>
            <w:shd w:fill="F2F4F7" w:val="clear"/>
            <w:vAlign w:val="center"/>
            <w:tcMar>
              <w:top w:w="80" w:type="dxa"/>
              <w:bottom w:w="80" w:type="dxa"/>
              <w:start w:w="120" w:type="dxa"/>
              <w:end w:w="120" w:type="dxa"/>
            </w:tcMar>
          </w:tcPr>
          <w:p>
            <w:pPr>
              <w:spacing w:after="0"/>
              <w:jc w:val="left"/>
            </w:pPr>
            <w:r>
              <w:rPr>
                <w:rFonts w:ascii="Calibri" w:hAnsi="Calibri"/>
                <w:b/>
                <w:i w:val="0"/>
                <w:color w:val="17324D"/>
                <w:sz w:val="16"/>
              </w:rPr>
              <w:t>Evidence still required</w:t>
            </w:r>
          </w:p>
        </w:tc>
      </w:tr>
      <w:tr>
        <w:trPr>
          <w:cantSplit w:val="true"/>
        </w:trPr>
        <w:tc>
          <w:tcPr>
            <w:tcW w:type="dxa" w:w="2200"/>
            <w:vAlign w:val="center"/>
            <w:tcMar>
              <w:top w:w="80" w:type="dxa"/>
              <w:bottom w:w="80" w:type="dxa"/>
              <w:start w:w="120" w:type="dxa"/>
              <w:end w:w="120" w:type="dxa"/>
            </w:tcMar>
          </w:tcPr>
          <w:p>
            <w:pPr>
              <w:spacing w:after="0"/>
            </w:pPr>
            <w:r>
              <w:rPr>
                <w:rFonts w:ascii="Calibri" w:hAnsi="Calibri"/>
                <w:b w:val="0"/>
                <w:i w:val="0"/>
                <w:color w:val="20252B"/>
                <w:sz w:val="16"/>
              </w:rPr>
              <w:t>Authority as protected object</w:t>
            </w:r>
          </w:p>
        </w:tc>
        <w:tc>
          <w:tcPr>
            <w:tcW w:type="dxa" w:w="3660"/>
            <w:vAlign w:val="center"/>
            <w:tcMar>
              <w:top w:w="80" w:type="dxa"/>
              <w:bottom w:w="80" w:type="dxa"/>
              <w:start w:w="120" w:type="dxa"/>
              <w:end w:w="120" w:type="dxa"/>
            </w:tcMar>
          </w:tcPr>
          <w:p>
            <w:pPr>
              <w:spacing w:after="0"/>
            </w:pPr>
            <w:r>
              <w:rPr>
                <w:rFonts w:ascii="Calibri" w:hAnsi="Calibri"/>
                <w:b w:val="0"/>
                <w:i w:val="0"/>
                <w:color w:val="20252B"/>
                <w:sz w:val="16"/>
              </w:rPr>
              <w:t>Stronger than treating identity or resource access as sufficient authorization.</w:t>
            </w:r>
          </w:p>
        </w:tc>
        <w:tc>
          <w:tcPr>
            <w:tcW w:type="dxa" w:w="3500"/>
            <w:vAlign w:val="center"/>
            <w:tcMar>
              <w:top w:w="80" w:type="dxa"/>
              <w:bottom w:w="80" w:type="dxa"/>
              <w:start w:w="120" w:type="dxa"/>
              <w:end w:w="120" w:type="dxa"/>
            </w:tcMar>
          </w:tcPr>
          <w:p>
            <w:pPr>
              <w:spacing w:after="0"/>
            </w:pPr>
            <w:r>
              <w:rPr>
                <w:rFonts w:ascii="Calibri" w:hAnsi="Calibri"/>
                <w:b w:val="0"/>
                <w:i w:val="0"/>
                <w:color w:val="20252B"/>
                <w:sz w:val="16"/>
              </w:rPr>
              <w:t>Reference policy semantics; attenuation and revocation interoperability tests.</w:t>
            </w:r>
          </w:p>
        </w:tc>
      </w:tr>
      <w:tr>
        <w:trPr>
          <w:cantSplit w:val="true"/>
        </w:trPr>
        <w:tc>
          <w:tcPr>
            <w:tcW w:type="dxa" w:w="2200"/>
            <w:vAlign w:val="center"/>
            <w:tcMar>
              <w:top w:w="80" w:type="dxa"/>
              <w:bottom w:w="80" w:type="dxa"/>
              <w:start w:w="120" w:type="dxa"/>
              <w:end w:w="120" w:type="dxa"/>
            </w:tcMar>
          </w:tcPr>
          <w:p>
            <w:pPr>
              <w:spacing w:after="0"/>
            </w:pPr>
            <w:r>
              <w:rPr>
                <w:rFonts w:ascii="Calibri" w:hAnsi="Calibri"/>
                <w:b w:val="0"/>
                <w:i w:val="0"/>
                <w:color w:val="20252B"/>
                <w:sz w:val="16"/>
              </w:rPr>
              <w:t>Proposal-to-effect lifecycle</w:t>
            </w:r>
          </w:p>
        </w:tc>
        <w:tc>
          <w:tcPr>
            <w:tcW w:type="dxa" w:w="3660"/>
            <w:vAlign w:val="center"/>
            <w:tcMar>
              <w:top w:w="80" w:type="dxa"/>
              <w:bottom w:w="80" w:type="dxa"/>
              <w:start w:w="120" w:type="dxa"/>
              <w:end w:w="120" w:type="dxa"/>
            </w:tcMar>
          </w:tcPr>
          <w:p>
            <w:pPr>
              <w:spacing w:after="0"/>
            </w:pPr>
            <w:r>
              <w:rPr>
                <w:rFonts w:ascii="Calibri" w:hAnsi="Calibri"/>
                <w:b w:val="0"/>
                <w:i w:val="0"/>
                <w:color w:val="20252B"/>
                <w:sz w:val="16"/>
              </w:rPr>
              <w:t>Captures attempted effect, achieved effect, divergence, recovery, and closure.</w:t>
            </w:r>
          </w:p>
        </w:tc>
        <w:tc>
          <w:tcPr>
            <w:tcW w:type="dxa" w:w="3500"/>
            <w:vAlign w:val="center"/>
            <w:tcMar>
              <w:top w:w="80" w:type="dxa"/>
              <w:bottom w:w="80" w:type="dxa"/>
              <w:start w:w="120" w:type="dxa"/>
              <w:end w:w="120" w:type="dxa"/>
            </w:tcMar>
          </w:tcPr>
          <w:p>
            <w:pPr>
              <w:spacing w:after="0"/>
            </w:pPr>
            <w:r>
              <w:rPr>
                <w:rFonts w:ascii="Calibri" w:hAnsi="Calibri"/>
                <w:b w:val="0"/>
                <w:i w:val="0"/>
                <w:color w:val="20252B"/>
                <w:sz w:val="16"/>
              </w:rPr>
              <w:t>Event schema; distributed ordering rules; effect-observer qualification.</w:t>
            </w:r>
          </w:p>
        </w:tc>
      </w:tr>
      <w:tr>
        <w:trPr>
          <w:cantSplit w:val="true"/>
        </w:trPr>
        <w:tc>
          <w:tcPr>
            <w:tcW w:type="dxa" w:w="2200"/>
            <w:vAlign w:val="center"/>
            <w:tcMar>
              <w:top w:w="80" w:type="dxa"/>
              <w:bottom w:w="80" w:type="dxa"/>
              <w:start w:w="120" w:type="dxa"/>
              <w:end w:w="120" w:type="dxa"/>
            </w:tcMar>
          </w:tcPr>
          <w:p>
            <w:pPr>
              <w:spacing w:after="0"/>
            </w:pPr>
            <w:r>
              <w:rPr>
                <w:rFonts w:ascii="Calibri" w:hAnsi="Calibri"/>
                <w:b w:val="0"/>
                <w:i w:val="0"/>
                <w:color w:val="20252B"/>
                <w:sz w:val="16"/>
              </w:rPr>
              <w:t>Visible assurance vector</w:t>
            </w:r>
          </w:p>
        </w:tc>
        <w:tc>
          <w:tcPr>
            <w:tcW w:type="dxa" w:w="3660"/>
            <w:vAlign w:val="center"/>
            <w:tcMar>
              <w:top w:w="80" w:type="dxa"/>
              <w:bottom w:w="80" w:type="dxa"/>
              <w:start w:w="120" w:type="dxa"/>
              <w:end w:w="120" w:type="dxa"/>
            </w:tcMar>
          </w:tcPr>
          <w:p>
            <w:pPr>
              <w:spacing w:after="0"/>
            </w:pPr>
            <w:r>
              <w:rPr>
                <w:rFonts w:ascii="Calibri" w:hAnsi="Calibri"/>
                <w:b w:val="0"/>
                <w:i w:val="0"/>
                <w:color w:val="20252B"/>
                <w:sz w:val="16"/>
              </w:rPr>
              <w:t>Avoids collapsing distinct claims into one confidence score.</w:t>
            </w:r>
          </w:p>
        </w:tc>
        <w:tc>
          <w:tcPr>
            <w:tcW w:type="dxa" w:w="3500"/>
            <w:vAlign w:val="center"/>
            <w:tcMar>
              <w:top w:w="80" w:type="dxa"/>
              <w:bottom w:w="80" w:type="dxa"/>
              <w:start w:w="120" w:type="dxa"/>
              <w:end w:w="120" w:type="dxa"/>
            </w:tcMar>
          </w:tcPr>
          <w:p>
            <w:pPr>
              <w:spacing w:after="0"/>
            </w:pPr>
            <w:r>
              <w:rPr>
                <w:rFonts w:ascii="Calibri" w:hAnsi="Calibri"/>
                <w:b w:val="0"/>
                <w:i w:val="0"/>
                <w:color w:val="20252B"/>
                <w:sz w:val="16"/>
              </w:rPr>
              <w:t>Calibration, precedence, uncertainty, and consequence-specific acceptance criteria.</w:t>
            </w:r>
          </w:p>
        </w:tc>
      </w:tr>
      <w:tr>
        <w:trPr>
          <w:cantSplit w:val="true"/>
        </w:trPr>
        <w:tc>
          <w:tcPr>
            <w:tcW w:type="dxa" w:w="2200"/>
            <w:vAlign w:val="center"/>
            <w:tcMar>
              <w:top w:w="80" w:type="dxa"/>
              <w:bottom w:w="80" w:type="dxa"/>
              <w:start w:w="120" w:type="dxa"/>
              <w:end w:w="120" w:type="dxa"/>
            </w:tcMar>
          </w:tcPr>
          <w:p>
            <w:pPr>
              <w:spacing w:after="0"/>
            </w:pPr>
            <w:r>
              <w:rPr>
                <w:rFonts w:ascii="Calibri" w:hAnsi="Calibri"/>
                <w:b w:val="0"/>
                <w:i w:val="0"/>
                <w:color w:val="20252B"/>
                <w:sz w:val="16"/>
              </w:rPr>
              <w:t>Consequence-based control floors</w:t>
            </w:r>
          </w:p>
        </w:tc>
        <w:tc>
          <w:tcPr>
            <w:tcW w:type="dxa" w:w="3660"/>
            <w:vAlign w:val="center"/>
            <w:tcMar>
              <w:top w:w="80" w:type="dxa"/>
              <w:bottom w:w="80" w:type="dxa"/>
              <w:start w:w="120" w:type="dxa"/>
              <w:end w:w="120" w:type="dxa"/>
            </w:tcMar>
          </w:tcPr>
          <w:p>
            <w:pPr>
              <w:spacing w:after="0"/>
            </w:pPr>
            <w:r>
              <w:rPr>
                <w:rFonts w:ascii="Calibri" w:hAnsi="Calibri"/>
                <w:b w:val="0"/>
                <w:i w:val="0"/>
                <w:color w:val="20252B"/>
                <w:sz w:val="16"/>
              </w:rPr>
              <w:t>Supports proportional human control, evidence independence, and recovery.</w:t>
            </w:r>
          </w:p>
        </w:tc>
        <w:tc>
          <w:tcPr>
            <w:tcW w:type="dxa" w:w="3500"/>
            <w:vAlign w:val="center"/>
            <w:tcMar>
              <w:top w:w="80" w:type="dxa"/>
              <w:bottom w:w="80" w:type="dxa"/>
              <w:start w:w="120" w:type="dxa"/>
              <w:end w:w="120" w:type="dxa"/>
            </w:tcMar>
          </w:tcPr>
          <w:p>
            <w:pPr>
              <w:spacing w:after="0"/>
            </w:pPr>
            <w:r>
              <w:rPr>
                <w:rFonts w:ascii="Calibri" w:hAnsi="Calibri"/>
                <w:b w:val="0"/>
                <w:i w:val="0"/>
                <w:color w:val="20252B"/>
                <w:sz w:val="16"/>
              </w:rPr>
              <w:t>Sector hazard analysis; validated classification guidance; disagreement studies.</w:t>
            </w:r>
          </w:p>
        </w:tc>
      </w:tr>
      <w:tr>
        <w:trPr>
          <w:cantSplit w:val="true"/>
        </w:trPr>
        <w:tc>
          <w:tcPr>
            <w:tcW w:type="dxa" w:w="2200"/>
            <w:vAlign w:val="center"/>
            <w:tcMar>
              <w:top w:w="80" w:type="dxa"/>
              <w:bottom w:w="80" w:type="dxa"/>
              <w:start w:w="120" w:type="dxa"/>
              <w:end w:w="120" w:type="dxa"/>
            </w:tcMar>
          </w:tcPr>
          <w:p>
            <w:pPr>
              <w:spacing w:after="0"/>
            </w:pPr>
            <w:r>
              <w:rPr>
                <w:rFonts w:ascii="Calibri" w:hAnsi="Calibri"/>
                <w:b w:val="0"/>
                <w:i w:val="0"/>
                <w:color w:val="20252B"/>
                <w:sz w:val="16"/>
              </w:rPr>
              <w:t>Continuous reassessment</w:t>
            </w:r>
          </w:p>
        </w:tc>
        <w:tc>
          <w:tcPr>
            <w:tcW w:type="dxa" w:w="3660"/>
            <w:vAlign w:val="center"/>
            <w:tcMar>
              <w:top w:w="80" w:type="dxa"/>
              <w:bottom w:w="80" w:type="dxa"/>
              <w:start w:w="120" w:type="dxa"/>
              <w:end w:w="120" w:type="dxa"/>
            </w:tcMar>
          </w:tcPr>
          <w:p>
            <w:pPr>
              <w:spacing w:after="0"/>
            </w:pPr>
            <w:r>
              <w:rPr>
                <w:rFonts w:ascii="Calibri" w:hAnsi="Calibri"/>
                <w:b w:val="0"/>
                <w:i w:val="0"/>
                <w:color w:val="20252B"/>
                <w:sz w:val="16"/>
              </w:rPr>
              <w:t>Correctly invalidates stale authority, evidence, threat, timing, or integrity state.</w:t>
            </w:r>
          </w:p>
        </w:tc>
        <w:tc>
          <w:tcPr>
            <w:tcW w:type="dxa" w:w="3500"/>
            <w:vAlign w:val="center"/>
            <w:tcMar>
              <w:top w:w="80" w:type="dxa"/>
              <w:bottom w:w="80" w:type="dxa"/>
              <w:start w:w="120" w:type="dxa"/>
              <w:end w:w="120" w:type="dxa"/>
            </w:tcMar>
          </w:tcPr>
          <w:p>
            <w:pPr>
              <w:spacing w:after="0"/>
            </w:pPr>
            <w:r>
              <w:rPr>
                <w:rFonts w:ascii="Calibri" w:hAnsi="Calibri"/>
                <w:b w:val="0"/>
                <w:i w:val="0"/>
                <w:color w:val="20252B"/>
                <w:sz w:val="16"/>
              </w:rPr>
              <w:t>Latency budgets, fail-safe semantics, race/partition tests, and common-mode analysis.</w:t>
            </w:r>
          </w:p>
        </w:tc>
      </w:tr>
      <w:tr>
        <w:trPr>
          <w:cantSplit w:val="true"/>
        </w:trPr>
        <w:tc>
          <w:tcPr>
            <w:tcW w:type="dxa" w:w="2200"/>
            <w:vAlign w:val="center"/>
            <w:tcMar>
              <w:top w:w="80" w:type="dxa"/>
              <w:bottom w:w="80" w:type="dxa"/>
              <w:start w:w="120" w:type="dxa"/>
              <w:end w:w="120" w:type="dxa"/>
            </w:tcMar>
          </w:tcPr>
          <w:p>
            <w:pPr>
              <w:spacing w:after="0"/>
            </w:pPr>
            <w:r>
              <w:rPr>
                <w:rFonts w:ascii="Calibri" w:hAnsi="Calibri"/>
                <w:b w:val="0"/>
                <w:i w:val="0"/>
                <w:color w:val="20252B"/>
                <w:sz w:val="16"/>
              </w:rPr>
              <w:t>Technology neutrality</w:t>
            </w:r>
          </w:p>
        </w:tc>
        <w:tc>
          <w:tcPr>
            <w:tcW w:type="dxa" w:w="3660"/>
            <w:vAlign w:val="center"/>
            <w:tcMar>
              <w:top w:w="80" w:type="dxa"/>
              <w:bottom w:w="80" w:type="dxa"/>
              <w:start w:w="120" w:type="dxa"/>
              <w:end w:w="120" w:type="dxa"/>
            </w:tcMar>
          </w:tcPr>
          <w:p>
            <w:pPr>
              <w:spacing w:after="0"/>
            </w:pPr>
            <w:r>
              <w:rPr>
                <w:rFonts w:ascii="Calibri" w:hAnsi="Calibri"/>
                <w:b w:val="0"/>
                <w:i w:val="0"/>
                <w:color w:val="20252B"/>
                <w:sz w:val="16"/>
              </w:rPr>
              <w:t>Keeps AI, cloud, quantum, sensing, OT, and PNT subordinate to governed authority.</w:t>
            </w:r>
          </w:p>
        </w:tc>
        <w:tc>
          <w:tcPr>
            <w:tcW w:type="dxa" w:w="3500"/>
            <w:vAlign w:val="center"/>
            <w:tcMar>
              <w:top w:w="80" w:type="dxa"/>
              <w:bottom w:w="80" w:type="dxa"/>
              <w:start w:w="120" w:type="dxa"/>
              <w:end w:w="120" w:type="dxa"/>
            </w:tcMar>
          </w:tcPr>
          <w:p>
            <w:pPr>
              <w:spacing w:after="0"/>
            </w:pPr>
            <w:r>
              <w:rPr>
                <w:rFonts w:ascii="Calibri" w:hAnsi="Calibri"/>
                <w:b w:val="0"/>
                <w:i w:val="0"/>
                <w:color w:val="20252B"/>
                <w:sz w:val="16"/>
              </w:rPr>
              <w:t>Representative implementation patterns and interoperability profiles.</w:t>
            </w:r>
          </w:p>
        </w:tc>
      </w:tr>
    </w:tbl>
    <w:p>
      <w:pPr>
        <w:widowControl/>
        <w:spacing w:before="80" w:after="80"/>
      </w:pPr>
    </w:p>
    <w:p>
      <w:pPr>
        <w:pStyle w:val="Heading2"/>
        <w:widowControl/>
      </w:pPr>
      <w:r>
        <w:t>3.1 Known semantic risk</w:t>
      </w:r>
    </w:p>
    <w:p>
      <w:pPr>
        <w:widowControl/>
      </w:pPr>
      <w:r>
        <w:rPr>
          <w:rFonts w:ascii="Calibri" w:hAnsi="Calibri"/>
          <w:b w:val="0"/>
          <w:i w:val="0"/>
          <w:color w:val="20252B"/>
          <w:sz w:val="22"/>
        </w:rPr>
        <w:t>Disposition vocabulary and legacy requirement lineage require strict control. The canonical set should use PERMIT, PERMIT-WITH-CONSTRAINTS, DEFER, ESCALATE, SIMULATE, QUARANTINE, and DENY consistently. Any change to an existing requirement identifier must be recorded as a versioned normative revision, not silently normalized in a support document.</w:t>
      </w:r>
    </w:p>
    <w:p>
      <w:pPr>
        <w:pStyle w:val="Heading2"/>
        <w:widowControl/>
      </w:pPr>
      <w:r>
        <w:t>3.2 Evidence boundary</w:t>
      </w:r>
    </w:p>
    <w:p>
      <w:pPr>
        <w:widowControl/>
      </w:pPr>
      <w:r>
        <w:rPr>
          <w:rFonts w:ascii="Calibri" w:hAnsi="Calibri"/>
          <w:b w:val="0"/>
          <w:i w:val="0"/>
          <w:color w:val="20252B"/>
          <w:sz w:val="22"/>
        </w:rPr>
        <w:t>Document consistency demonstrates publication quality, not operational effectiveness. AERA's maturity and conformance methods remain proposed constructs until representative systems produce repeatable evidence under independent assessment.</w:t>
      </w:r>
    </w:p>
    <w:p>
      <w:pPr>
        <w:pStyle w:val="Heading1"/>
        <w:pageBreakBefore/>
        <w:widowControl/>
      </w:pPr>
      <w:r>
        <w:t>4. NIST Compatibility Assessment</w:t>
      </w:r>
    </w:p>
    <w:p>
      <w:pPr>
        <w:widowControl/>
      </w:pPr>
      <w:r>
        <w:rPr>
          <w:rFonts w:ascii="Calibri" w:hAnsi="Calibri"/>
          <w:b w:val="0"/>
          <w:i w:val="0"/>
          <w:color w:val="20252B"/>
          <w:sz w:val="22"/>
        </w:rPr>
        <w:t>AERA is best positioned as an implementation-oriented reference architecture that can support organizations using NIST risk outcomes. It should not present itself as an alternate NIST framework, a replacement for existing controls, or a pre-adjudicated mapping.</w:t>
      </w:r>
    </w:p>
    <w:tbl>
      <w:tblPr>
        <w:tblStyle w:val="TableGrid"/>
        <w:tblW w:type="dxa" w:w="9360"/>
        <w:jc w:val="left"/>
        <w:tblLayout w:type="fixed"/>
        <w:tblLook w:firstColumn="1" w:firstRow="1" w:lastColumn="0" w:lastRow="0" w:noHBand="0" w:noVBand="1" w:val="04A0"/>
        <w:tblInd w:w="120" w:type="dxa"/>
      </w:tblPr>
      <w:tblGrid>
        <w:gridCol w:w="1900"/>
        <w:gridCol w:w="4350"/>
        <w:gridCol w:w="3110"/>
      </w:tblGrid>
      <w:tr>
        <w:trPr>
          <w:tblHeader w:val="true"/>
          <w:cantSplit w:val="true"/>
        </w:trPr>
        <w:tc>
          <w:tcPr>
            <w:tcW w:type="dxa" w:w="1900"/>
            <w:shd w:fill="F2F4F7" w:val="clear"/>
            <w:vAlign w:val="center"/>
            <w:tcMar>
              <w:top w:w="80" w:type="dxa"/>
              <w:bottom w:w="80" w:type="dxa"/>
              <w:start w:w="120" w:type="dxa"/>
              <w:end w:w="120" w:type="dxa"/>
            </w:tcMar>
          </w:tcPr>
          <w:p>
            <w:pPr>
              <w:spacing w:after="0"/>
              <w:jc w:val="left"/>
            </w:pPr>
            <w:r>
              <w:rPr>
                <w:rFonts w:ascii="Calibri" w:hAnsi="Calibri"/>
                <w:b/>
                <w:i w:val="0"/>
                <w:color w:val="17324D"/>
                <w:sz w:val="15"/>
              </w:rPr>
              <w:t>NIST anchor</w:t>
            </w:r>
          </w:p>
        </w:tc>
        <w:tc>
          <w:tcPr>
            <w:tcW w:type="dxa" w:w="4350"/>
            <w:shd w:fill="F2F4F7" w:val="clear"/>
            <w:vAlign w:val="center"/>
            <w:tcMar>
              <w:top w:w="80" w:type="dxa"/>
              <w:bottom w:w="80" w:type="dxa"/>
              <w:start w:w="120" w:type="dxa"/>
              <w:end w:w="120" w:type="dxa"/>
            </w:tcMar>
          </w:tcPr>
          <w:p>
            <w:pPr>
              <w:spacing w:after="0"/>
              <w:jc w:val="left"/>
            </w:pPr>
            <w:r>
              <w:rPr>
                <w:rFonts w:ascii="Calibri" w:hAnsi="Calibri"/>
                <w:b/>
                <w:i w:val="0"/>
                <w:color w:val="17324D"/>
                <w:sz w:val="15"/>
              </w:rPr>
              <w:t>AERA contribution</w:t>
            </w:r>
          </w:p>
        </w:tc>
        <w:tc>
          <w:tcPr>
            <w:tcW w:type="dxa" w:w="3110"/>
            <w:shd w:fill="F2F4F7" w:val="clear"/>
            <w:vAlign w:val="center"/>
            <w:tcMar>
              <w:top w:w="80" w:type="dxa"/>
              <w:bottom w:w="80" w:type="dxa"/>
              <w:start w:w="120" w:type="dxa"/>
              <w:end w:w="120" w:type="dxa"/>
            </w:tcMar>
          </w:tcPr>
          <w:p>
            <w:pPr>
              <w:spacing w:after="0"/>
              <w:jc w:val="left"/>
            </w:pPr>
            <w:r>
              <w:rPr>
                <w:rFonts w:ascii="Calibri" w:hAnsi="Calibri"/>
                <w:b/>
                <w:i w:val="0"/>
                <w:color w:val="17324D"/>
                <w:sz w:val="15"/>
              </w:rPr>
              <w:t>Permitted claim at 1.2 WD</w:t>
            </w:r>
          </w:p>
        </w:tc>
      </w:tr>
      <w:tr>
        <w:trPr>
          <w:cantSplit w:val="true"/>
        </w:trPr>
        <w:tc>
          <w:tcPr>
            <w:tcW w:type="dxa" w:w="1900"/>
            <w:vAlign w:val="center"/>
            <w:tcMar>
              <w:top w:w="80" w:type="dxa"/>
              <w:bottom w:w="80" w:type="dxa"/>
              <w:start w:w="120" w:type="dxa"/>
              <w:end w:w="120" w:type="dxa"/>
            </w:tcMar>
          </w:tcPr>
          <w:p>
            <w:pPr>
              <w:spacing w:after="0"/>
            </w:pPr>
            <w:r>
              <w:rPr>
                <w:rFonts w:ascii="Calibri" w:hAnsi="Calibri"/>
                <w:b w:val="0"/>
                <w:i w:val="0"/>
                <w:color w:val="20252B"/>
                <w:sz w:val="15"/>
              </w:rPr>
              <w:t>AI RMF 1.0</w:t>
            </w:r>
          </w:p>
        </w:tc>
        <w:tc>
          <w:tcPr>
            <w:tcW w:type="dxa" w:w="4350"/>
            <w:vAlign w:val="center"/>
            <w:tcMar>
              <w:top w:w="80" w:type="dxa"/>
              <w:bottom w:w="80" w:type="dxa"/>
              <w:start w:w="120" w:type="dxa"/>
              <w:end w:w="120" w:type="dxa"/>
            </w:tcMar>
          </w:tcPr>
          <w:p>
            <w:pPr>
              <w:spacing w:after="0"/>
            </w:pPr>
            <w:r>
              <w:rPr>
                <w:rFonts w:ascii="Calibri" w:hAnsi="Calibri"/>
                <w:b w:val="0"/>
                <w:i w:val="0"/>
                <w:color w:val="20252B"/>
                <w:sz w:val="15"/>
              </w:rPr>
              <w:t>Decision-authority boundary, runtime evidence, enforcement, observed effect, recovery, and accountable delegation.</w:t>
            </w:r>
          </w:p>
        </w:tc>
        <w:tc>
          <w:tcPr>
            <w:tcW w:type="dxa" w:w="3110"/>
            <w:vAlign w:val="center"/>
            <w:tcMar>
              <w:top w:w="80" w:type="dxa"/>
              <w:bottom w:w="80" w:type="dxa"/>
              <w:start w:w="120" w:type="dxa"/>
              <w:end w:w="120" w:type="dxa"/>
            </w:tcMar>
          </w:tcPr>
          <w:p>
            <w:pPr>
              <w:spacing w:after="0"/>
            </w:pPr>
            <w:r>
              <w:rPr>
                <w:rFonts w:ascii="Calibri" w:hAnsi="Calibri"/>
                <w:b w:val="0"/>
                <w:i w:val="0"/>
                <w:color w:val="20252B"/>
                <w:sz w:val="15"/>
              </w:rPr>
              <w:t>Designed for compatibility with AI RMF outcomes; detailed mapping remains developmental.</w:t>
            </w:r>
          </w:p>
        </w:tc>
      </w:tr>
      <w:tr>
        <w:trPr>
          <w:cantSplit w:val="true"/>
        </w:trPr>
        <w:tc>
          <w:tcPr>
            <w:tcW w:type="dxa" w:w="1900"/>
            <w:vAlign w:val="center"/>
            <w:tcMar>
              <w:top w:w="80" w:type="dxa"/>
              <w:bottom w:w="80" w:type="dxa"/>
              <w:start w:w="120" w:type="dxa"/>
              <w:end w:w="120" w:type="dxa"/>
            </w:tcMar>
          </w:tcPr>
          <w:p>
            <w:pPr>
              <w:spacing w:after="0"/>
            </w:pPr>
            <w:r>
              <w:rPr>
                <w:rFonts w:ascii="Calibri" w:hAnsi="Calibri"/>
                <w:b w:val="0"/>
                <w:i w:val="0"/>
                <w:color w:val="20252B"/>
                <w:sz w:val="15"/>
              </w:rPr>
              <w:t>CSF 2.0</w:t>
            </w:r>
          </w:p>
        </w:tc>
        <w:tc>
          <w:tcPr>
            <w:tcW w:type="dxa" w:w="4350"/>
            <w:vAlign w:val="center"/>
            <w:tcMar>
              <w:top w:w="80" w:type="dxa"/>
              <w:bottom w:w="80" w:type="dxa"/>
              <w:start w:w="120" w:type="dxa"/>
              <w:end w:w="120" w:type="dxa"/>
            </w:tcMar>
          </w:tcPr>
          <w:p>
            <w:pPr>
              <w:spacing w:after="0"/>
            </w:pPr>
            <w:r>
              <w:rPr>
                <w:rFonts w:ascii="Calibri" w:hAnsi="Calibri"/>
                <w:b w:val="0"/>
                <w:i w:val="0"/>
                <w:color w:val="20252B"/>
                <w:sz w:val="15"/>
              </w:rPr>
              <w:t>Governance-to-operation trace across identity, protection, detection, response, recovery, and decision effects.</w:t>
            </w:r>
          </w:p>
        </w:tc>
        <w:tc>
          <w:tcPr>
            <w:tcW w:type="dxa" w:w="3110"/>
            <w:vAlign w:val="center"/>
            <w:tcMar>
              <w:top w:w="80" w:type="dxa"/>
              <w:bottom w:w="80" w:type="dxa"/>
              <w:start w:w="120" w:type="dxa"/>
              <w:end w:w="120" w:type="dxa"/>
            </w:tcMar>
          </w:tcPr>
          <w:p>
            <w:pPr>
              <w:spacing w:after="0"/>
            </w:pPr>
            <w:r>
              <w:rPr>
                <w:rFonts w:ascii="Calibri" w:hAnsi="Calibri"/>
                <w:b w:val="0"/>
                <w:i w:val="0"/>
                <w:color w:val="20252B"/>
                <w:sz w:val="15"/>
              </w:rPr>
              <w:t>Directional comparison only; no CSF conformance claim.</w:t>
            </w:r>
          </w:p>
        </w:tc>
      </w:tr>
      <w:tr>
        <w:trPr>
          <w:cantSplit w:val="true"/>
        </w:trPr>
        <w:tc>
          <w:tcPr>
            <w:tcW w:type="dxa" w:w="1900"/>
            <w:vAlign w:val="center"/>
            <w:tcMar>
              <w:top w:w="80" w:type="dxa"/>
              <w:bottom w:w="80" w:type="dxa"/>
              <w:start w:w="120" w:type="dxa"/>
              <w:end w:w="120" w:type="dxa"/>
            </w:tcMar>
          </w:tcPr>
          <w:p>
            <w:pPr>
              <w:spacing w:after="0"/>
            </w:pPr>
            <w:r>
              <w:rPr>
                <w:rFonts w:ascii="Calibri" w:hAnsi="Calibri"/>
                <w:b w:val="0"/>
                <w:i w:val="0"/>
                <w:color w:val="20252B"/>
                <w:sz w:val="15"/>
              </w:rPr>
              <w:t>SP 800-53 / 53A</w:t>
            </w:r>
          </w:p>
        </w:tc>
        <w:tc>
          <w:tcPr>
            <w:tcW w:type="dxa" w:w="4350"/>
            <w:vAlign w:val="center"/>
            <w:tcMar>
              <w:top w:w="80" w:type="dxa"/>
              <w:bottom w:w="80" w:type="dxa"/>
              <w:start w:w="120" w:type="dxa"/>
              <w:end w:w="120" w:type="dxa"/>
            </w:tcMar>
          </w:tcPr>
          <w:p>
            <w:pPr>
              <w:spacing w:after="0"/>
            </w:pPr>
            <w:r>
              <w:rPr>
                <w:rFonts w:ascii="Calibri" w:hAnsi="Calibri"/>
                <w:b w:val="0"/>
                <w:i w:val="0"/>
                <w:color w:val="20252B"/>
                <w:sz w:val="15"/>
              </w:rPr>
              <w:t>Candidate control and assessment evidence reuse at an explicitly bounded implementation and evidence period.</w:t>
            </w:r>
          </w:p>
        </w:tc>
        <w:tc>
          <w:tcPr>
            <w:tcW w:type="dxa" w:w="3110"/>
            <w:vAlign w:val="center"/>
            <w:tcMar>
              <w:top w:w="80" w:type="dxa"/>
              <w:bottom w:w="80" w:type="dxa"/>
              <w:start w:w="120" w:type="dxa"/>
              <w:end w:w="120" w:type="dxa"/>
            </w:tcMar>
          </w:tcPr>
          <w:p>
            <w:pPr>
              <w:spacing w:after="0"/>
            </w:pPr>
            <w:r>
              <w:rPr>
                <w:rFonts w:ascii="Calibri" w:hAnsi="Calibri"/>
                <w:b w:val="0"/>
                <w:i w:val="0"/>
                <w:color w:val="20252B"/>
                <w:sz w:val="15"/>
              </w:rPr>
              <w:t>Candidate atomic mappings; implementation and effectiveness not inferred.</w:t>
            </w:r>
          </w:p>
        </w:tc>
      </w:tr>
      <w:tr>
        <w:trPr>
          <w:cantSplit w:val="true"/>
        </w:trPr>
        <w:tc>
          <w:tcPr>
            <w:tcW w:type="dxa" w:w="1900"/>
            <w:vAlign w:val="center"/>
            <w:tcMar>
              <w:top w:w="80" w:type="dxa"/>
              <w:bottom w:w="80" w:type="dxa"/>
              <w:start w:w="120" w:type="dxa"/>
              <w:end w:w="120" w:type="dxa"/>
            </w:tcMar>
          </w:tcPr>
          <w:p>
            <w:pPr>
              <w:spacing w:after="0"/>
            </w:pPr>
            <w:r>
              <w:rPr>
                <w:rFonts w:ascii="Calibri" w:hAnsi="Calibri"/>
                <w:b w:val="0"/>
                <w:i w:val="0"/>
                <w:color w:val="20252B"/>
                <w:sz w:val="15"/>
              </w:rPr>
              <w:t>SP 800-207</w:t>
            </w:r>
          </w:p>
        </w:tc>
        <w:tc>
          <w:tcPr>
            <w:tcW w:type="dxa" w:w="4350"/>
            <w:vAlign w:val="center"/>
            <w:tcMar>
              <w:top w:w="80" w:type="dxa"/>
              <w:bottom w:w="80" w:type="dxa"/>
              <w:start w:w="120" w:type="dxa"/>
              <w:end w:w="120" w:type="dxa"/>
            </w:tcMar>
          </w:tcPr>
          <w:p>
            <w:pPr>
              <w:spacing w:after="0"/>
            </w:pPr>
            <w:r>
              <w:rPr>
                <w:rFonts w:ascii="Calibri" w:hAnsi="Calibri"/>
                <w:b w:val="0"/>
                <w:i w:val="0"/>
                <w:color w:val="20252B"/>
                <w:sz w:val="15"/>
              </w:rPr>
              <w:t>Access is necessary but insufficient; AERA adds bounded decision and effect authority.</w:t>
            </w:r>
          </w:p>
        </w:tc>
        <w:tc>
          <w:tcPr>
            <w:tcW w:type="dxa" w:w="3110"/>
            <w:vAlign w:val="center"/>
            <w:tcMar>
              <w:top w:w="80" w:type="dxa"/>
              <w:bottom w:w="80" w:type="dxa"/>
              <w:start w:w="120" w:type="dxa"/>
              <w:end w:w="120" w:type="dxa"/>
            </w:tcMar>
          </w:tcPr>
          <w:p>
            <w:pPr>
              <w:spacing w:after="0"/>
            </w:pPr>
            <w:r>
              <w:rPr>
                <w:rFonts w:ascii="Calibri" w:hAnsi="Calibri"/>
                <w:b w:val="0"/>
                <w:i w:val="0"/>
                <w:color w:val="20252B"/>
                <w:sz w:val="15"/>
              </w:rPr>
              <w:t>Complementary semantic relationship, not equivalence.</w:t>
            </w:r>
          </w:p>
        </w:tc>
      </w:tr>
      <w:tr>
        <w:trPr>
          <w:cantSplit w:val="true"/>
        </w:trPr>
        <w:tc>
          <w:tcPr>
            <w:tcW w:type="dxa" w:w="1900"/>
            <w:vAlign w:val="center"/>
            <w:tcMar>
              <w:top w:w="80" w:type="dxa"/>
              <w:bottom w:w="80" w:type="dxa"/>
              <w:start w:w="120" w:type="dxa"/>
              <w:end w:w="120" w:type="dxa"/>
            </w:tcMar>
          </w:tcPr>
          <w:p>
            <w:pPr>
              <w:spacing w:after="0"/>
            </w:pPr>
            <w:r>
              <w:rPr>
                <w:rFonts w:ascii="Calibri" w:hAnsi="Calibri"/>
                <w:b w:val="0"/>
                <w:i w:val="0"/>
                <w:color w:val="20252B"/>
                <w:sz w:val="15"/>
              </w:rPr>
              <w:t>IR 8323 Rev. 1</w:t>
            </w:r>
          </w:p>
        </w:tc>
        <w:tc>
          <w:tcPr>
            <w:tcW w:type="dxa" w:w="4350"/>
            <w:vAlign w:val="center"/>
            <w:tcMar>
              <w:top w:w="80" w:type="dxa"/>
              <w:bottom w:w="80" w:type="dxa"/>
              <w:start w:w="120" w:type="dxa"/>
              <w:end w:w="120" w:type="dxa"/>
            </w:tcMar>
          </w:tcPr>
          <w:p>
            <w:pPr>
              <w:spacing w:after="0"/>
            </w:pPr>
            <w:r>
              <w:rPr>
                <w:rFonts w:ascii="Calibri" w:hAnsi="Calibri"/>
                <w:b w:val="0"/>
                <w:i w:val="0"/>
                <w:color w:val="20252B"/>
                <w:sz w:val="15"/>
              </w:rPr>
              <w:t>Decision-specific time/PNT source state, uncertainty, integrity, use, and degraded behavior.</w:t>
            </w:r>
          </w:p>
        </w:tc>
        <w:tc>
          <w:tcPr>
            <w:tcW w:type="dxa" w:w="3110"/>
            <w:vAlign w:val="center"/>
            <w:tcMar>
              <w:top w:w="80" w:type="dxa"/>
              <w:bottom w:w="80" w:type="dxa"/>
              <w:start w:w="120" w:type="dxa"/>
              <w:end w:w="120" w:type="dxa"/>
            </w:tcMar>
          </w:tcPr>
          <w:p>
            <w:pPr>
              <w:spacing w:after="0"/>
            </w:pPr>
            <w:r>
              <w:rPr>
                <w:rFonts w:ascii="Calibri" w:hAnsi="Calibri"/>
                <w:b w:val="0"/>
                <w:i w:val="0"/>
                <w:color w:val="20252B"/>
                <w:sz w:val="15"/>
              </w:rPr>
              <w:t>PNT profile comparison; draft successors remain change triggers.</w:t>
            </w:r>
          </w:p>
        </w:tc>
      </w:tr>
      <w:tr>
        <w:trPr>
          <w:cantSplit w:val="true"/>
        </w:trPr>
        <w:tc>
          <w:tcPr>
            <w:tcW w:type="dxa" w:w="1900"/>
            <w:vAlign w:val="center"/>
            <w:tcMar>
              <w:top w:w="80" w:type="dxa"/>
              <w:bottom w:w="80" w:type="dxa"/>
              <w:start w:w="120" w:type="dxa"/>
              <w:end w:w="120" w:type="dxa"/>
            </w:tcMar>
          </w:tcPr>
          <w:p>
            <w:pPr>
              <w:spacing w:after="0"/>
            </w:pPr>
            <w:r>
              <w:rPr>
                <w:rFonts w:ascii="Calibri" w:hAnsi="Calibri"/>
                <w:b w:val="0"/>
                <w:i w:val="0"/>
                <w:color w:val="20252B"/>
                <w:sz w:val="15"/>
              </w:rPr>
              <w:t>IR 8477 / National OLIR</w:t>
            </w:r>
          </w:p>
        </w:tc>
        <w:tc>
          <w:tcPr>
            <w:tcW w:type="dxa" w:w="4350"/>
            <w:vAlign w:val="center"/>
            <w:tcMar>
              <w:top w:w="80" w:type="dxa"/>
              <w:bottom w:w="80" w:type="dxa"/>
              <w:start w:w="120" w:type="dxa"/>
              <w:end w:w="120" w:type="dxa"/>
            </w:tcMar>
          </w:tcPr>
          <w:p>
            <w:pPr>
              <w:spacing w:after="0"/>
            </w:pPr>
            <w:r>
              <w:rPr>
                <w:rFonts w:ascii="Calibri" w:hAnsi="Calibri"/>
                <w:b w:val="0"/>
                <w:i w:val="0"/>
                <w:color w:val="20252B"/>
                <w:sz w:val="15"/>
              </w:rPr>
              <w:t>A controlled path for one-to-one concept relationships and machine-readable mapping metadata.</w:t>
            </w:r>
          </w:p>
        </w:tc>
        <w:tc>
          <w:tcPr>
            <w:tcW w:type="dxa" w:w="3110"/>
            <w:vAlign w:val="center"/>
            <w:tcMar>
              <w:top w:w="80" w:type="dxa"/>
              <w:bottom w:w="80" w:type="dxa"/>
              <w:start w:w="120" w:type="dxa"/>
              <w:end w:w="120" w:type="dxa"/>
            </w:tcMar>
          </w:tcPr>
          <w:p>
            <w:pPr>
              <w:spacing w:after="0"/>
            </w:pPr>
            <w:r>
              <w:rPr>
                <w:rFonts w:ascii="Calibri" w:hAnsi="Calibri"/>
                <w:b w:val="0"/>
                <w:i w:val="0"/>
                <w:color w:val="20252B"/>
                <w:sz w:val="15"/>
              </w:rPr>
              <w:t>Mapping-development ledger only; not OLIR submitted, published, or reviewed.</w:t>
            </w:r>
          </w:p>
        </w:tc>
      </w:tr>
      <w:tr>
        <w:trPr>
          <w:cantSplit w:val="true"/>
        </w:trPr>
        <w:tc>
          <w:tcPr>
            <w:tcW w:type="dxa" w:w="1900"/>
            <w:vAlign w:val="center"/>
            <w:tcMar>
              <w:top w:w="80" w:type="dxa"/>
              <w:bottom w:w="80" w:type="dxa"/>
              <w:start w:w="120" w:type="dxa"/>
              <w:end w:w="120" w:type="dxa"/>
            </w:tcMar>
          </w:tcPr>
          <w:p>
            <w:pPr>
              <w:spacing w:after="0"/>
            </w:pPr>
            <w:r>
              <w:rPr>
                <w:rFonts w:ascii="Calibri" w:hAnsi="Calibri"/>
                <w:b w:val="0"/>
                <w:i w:val="0"/>
                <w:color w:val="20252B"/>
                <w:sz w:val="15"/>
              </w:rPr>
              <w:t>OSCAL</w:t>
            </w:r>
          </w:p>
        </w:tc>
        <w:tc>
          <w:tcPr>
            <w:tcW w:type="dxa" w:w="4350"/>
            <w:vAlign w:val="center"/>
            <w:tcMar>
              <w:top w:w="80" w:type="dxa"/>
              <w:bottom w:w="80" w:type="dxa"/>
              <w:start w:w="120" w:type="dxa"/>
              <w:end w:w="120" w:type="dxa"/>
            </w:tcMar>
          </w:tcPr>
          <w:p>
            <w:pPr>
              <w:spacing w:after="0"/>
            </w:pPr>
            <w:r>
              <w:rPr>
                <w:rFonts w:ascii="Calibri" w:hAnsi="Calibri"/>
                <w:b w:val="0"/>
                <w:i w:val="0"/>
                <w:color w:val="20252B"/>
                <w:sz w:val="15"/>
              </w:rPr>
              <w:t>Candidate future representation for AERA requirements, profiles, assessment results, and evidence links.</w:t>
            </w:r>
          </w:p>
        </w:tc>
        <w:tc>
          <w:tcPr>
            <w:tcW w:type="dxa" w:w="3110"/>
            <w:vAlign w:val="center"/>
            <w:tcMar>
              <w:top w:w="80" w:type="dxa"/>
              <w:bottom w:w="80" w:type="dxa"/>
              <w:start w:w="120" w:type="dxa"/>
              <w:end w:w="120" w:type="dxa"/>
            </w:tcMar>
          </w:tcPr>
          <w:p>
            <w:pPr>
              <w:spacing w:after="0"/>
            </w:pPr>
            <w:r>
              <w:rPr>
                <w:rFonts w:ascii="Calibri" w:hAnsi="Calibri"/>
                <w:b w:val="0"/>
                <w:i w:val="0"/>
                <w:color w:val="20252B"/>
                <w:sz w:val="15"/>
              </w:rPr>
              <w:t>Interoperability design objective; no OSCAL artifact claim yet.</w:t>
            </w:r>
          </w:p>
        </w:tc>
      </w:tr>
    </w:tbl>
    <w:p>
      <w:pPr>
        <w:widowControl/>
        <w:spacing w:before="80" w:after="80"/>
      </w:pPr>
    </w:p>
    <w:p>
      <w:pPr>
        <w:pStyle w:val="Heading2"/>
        <w:widowControl/>
      </w:pPr>
      <w:r>
        <w:t>4.1 AI RMF trustworthiness coverage</w:t>
      </w:r>
    </w:p>
    <w:p>
      <w:pPr>
        <w:widowControl/>
      </w:pPr>
      <w:r>
        <w:rPr>
          <w:rFonts w:ascii="Calibri" w:hAnsi="Calibri"/>
          <w:b w:val="0"/>
          <w:i w:val="0"/>
          <w:color w:val="20252B"/>
          <w:sz w:val="22"/>
        </w:rPr>
        <w:t>The working draft now explicitly evaluates validity and reliability, safety, security and resilience, accountability, transparency, explainability, interpretability, privacy enhancement, and management of harmful bias. Coverage in prose or requirements is not proof of outcome effectiveness; metrics, test methods, and pilot evidence remain necessary.</w:t>
      </w:r>
    </w:p>
    <w:tbl>
      <w:tblPr>
        <w:tblW w:type="dxa" w:w="9360"/>
        <w:jc w:val="left"/>
        <w:tblLayout w:type="fixed"/>
        <w:tblLook w:firstColumn="1" w:firstRow="1" w:lastColumn="0" w:lastRow="0" w:noHBand="0" w:noVBand="1" w:val="04A0"/>
        <w:tblInd w:w="120" w:type="dxa"/>
      </w:tblPr>
      <w:tblGrid>
        <w:gridCol w:w="9360"/>
      </w:tblGrid>
      <w:tr>
        <w:trPr>
          <w:tblHeader w:val="true"/>
          <w:cantSplit w:val="true"/>
        </w:trPr>
        <w:tc>
          <w:tcPr>
            <w:tcW w:type="dxa" w:w="9360"/>
            <w:tcMar>
              <w:top w:w="80" w:type="dxa"/>
              <w:bottom w:w="80" w:type="dxa"/>
              <w:start w:w="120" w:type="dxa"/>
              <w:end w:w="120" w:type="dxa"/>
            </w:tcMar>
            <w:shd w:fill="E8EEF5" w:val="clear"/>
            <w:vAlign w:val="center"/>
          </w:tcPr>
          <w:p>
            <w:pPr>
              <w:spacing w:after="0"/>
            </w:pPr>
            <w:r>
              <w:rPr>
                <w:rFonts w:ascii="Calibri" w:hAnsi="Calibri"/>
                <w:b/>
                <w:i w:val="0"/>
                <w:color w:val="17324D"/>
                <w:sz w:val="21"/>
              </w:rPr>
              <w:t xml:space="preserve">READINESS JUDGMENT: </w:t>
            </w:r>
            <w:r>
              <w:rPr>
                <w:rFonts w:ascii="Calibri" w:hAnsi="Calibri"/>
                <w:b w:val="0"/>
                <w:i w:val="0"/>
                <w:color w:val="20252B"/>
                <w:sz w:val="21"/>
              </w:rPr>
              <w:t>The architecture is NIST-compatible in intent and terminology control, but not NIST-validated. That distinction must remain visible on the cover, in release metadata, in mapping ledgers, and in all public statements.</w:t>
            </w:r>
          </w:p>
        </w:tc>
      </w:tr>
    </w:tbl>
    <w:p>
      <w:pPr>
        <w:widowControl/>
        <w:spacing w:after="40"/>
      </w:pPr>
    </w:p>
    <w:p>
      <w:pPr>
        <w:pStyle w:val="Heading1"/>
        <w:pageBreakBefore/>
        <w:widowControl/>
      </w:pPr>
      <w:r>
        <w:t>5. IR 8477 and OLIR Mapping Readiness</w:t>
      </w:r>
    </w:p>
    <w:p>
      <w:pPr>
        <w:widowControl/>
      </w:pPr>
      <w:r>
        <w:rPr>
          <w:rFonts w:ascii="Calibri" w:hAnsi="Calibri"/>
          <w:b w:val="0"/>
          <w:i w:val="0"/>
          <w:color w:val="20252B"/>
          <w:sz w:val="22"/>
        </w:rPr>
        <w:t>The legacy D/P/E/C/N codes are useful working annotations but are not mechanically translatable to NIST IR 8477 relationship semantics. Compound entries must be decomposed into atomic source-target assertions.</w:t>
      </w:r>
    </w:p>
    <w:tbl>
      <w:tblPr>
        <w:tblStyle w:val="TableGrid"/>
        <w:tblW w:type="dxa" w:w="9360"/>
        <w:jc w:val="left"/>
        <w:tblLayout w:type="fixed"/>
        <w:tblLook w:firstColumn="1" w:firstRow="1" w:lastColumn="0" w:lastRow="0" w:noHBand="0" w:noVBand="1" w:val="04A0"/>
        <w:tblInd w:w="120" w:type="dxa"/>
      </w:tblPr>
      <w:tblGrid>
        <w:gridCol w:w="2400"/>
        <w:gridCol w:w="3050"/>
        <w:gridCol w:w="3910"/>
      </w:tblGrid>
      <w:tr>
        <w:trPr>
          <w:tblHeader w:val="true"/>
          <w:cantSplit w:val="true"/>
        </w:trPr>
        <w:tc>
          <w:tcPr>
            <w:tcW w:type="dxa" w:w="2400"/>
            <w:shd w:fill="F2F4F7" w:val="clear"/>
            <w:vAlign w:val="center"/>
            <w:tcMar>
              <w:top w:w="80" w:type="dxa"/>
              <w:bottom w:w="80" w:type="dxa"/>
              <w:start w:w="120" w:type="dxa"/>
              <w:end w:w="120" w:type="dxa"/>
            </w:tcMar>
          </w:tcPr>
          <w:p>
            <w:pPr>
              <w:spacing w:after="0"/>
              <w:jc w:val="left"/>
            </w:pPr>
            <w:r>
              <w:rPr>
                <w:rFonts w:ascii="Calibri" w:hAnsi="Calibri"/>
                <w:b/>
                <w:i w:val="0"/>
                <w:color w:val="17324D"/>
                <w:sz w:val="16"/>
              </w:rPr>
              <w:t>Required mapping field</w:t>
            </w:r>
          </w:p>
        </w:tc>
        <w:tc>
          <w:tcPr>
            <w:tcW w:type="dxa" w:w="3050"/>
            <w:shd w:fill="F2F4F7" w:val="clear"/>
            <w:vAlign w:val="center"/>
            <w:tcMar>
              <w:top w:w="80" w:type="dxa"/>
              <w:bottom w:w="80" w:type="dxa"/>
              <w:start w:w="120" w:type="dxa"/>
              <w:end w:w="120" w:type="dxa"/>
            </w:tcMar>
          </w:tcPr>
          <w:p>
            <w:pPr>
              <w:spacing w:after="0"/>
              <w:jc w:val="left"/>
            </w:pPr>
            <w:r>
              <w:rPr>
                <w:rFonts w:ascii="Calibri" w:hAnsi="Calibri"/>
                <w:b/>
                <w:i w:val="0"/>
                <w:color w:val="17324D"/>
                <w:sz w:val="16"/>
              </w:rPr>
              <w:t>1.2 WD state</w:t>
            </w:r>
          </w:p>
        </w:tc>
        <w:tc>
          <w:tcPr>
            <w:tcW w:type="dxa" w:w="3910"/>
            <w:shd w:fill="F2F4F7" w:val="clear"/>
            <w:vAlign w:val="center"/>
            <w:tcMar>
              <w:top w:w="80" w:type="dxa"/>
              <w:bottom w:w="80" w:type="dxa"/>
              <w:start w:w="120" w:type="dxa"/>
              <w:end w:w="120" w:type="dxa"/>
            </w:tcMar>
          </w:tcPr>
          <w:p>
            <w:pPr>
              <w:spacing w:after="0"/>
              <w:jc w:val="left"/>
            </w:pPr>
            <w:r>
              <w:rPr>
                <w:rFonts w:ascii="Calibri" w:hAnsi="Calibri"/>
                <w:b/>
                <w:i w:val="0"/>
                <w:color w:val="17324D"/>
                <w:sz w:val="16"/>
              </w:rPr>
              <w:t>Closure evidence</w:t>
            </w:r>
          </w:p>
        </w:tc>
      </w:tr>
      <w:tr>
        <w:trPr>
          <w:cantSplit w:val="true"/>
        </w:trPr>
        <w:tc>
          <w:tcPr>
            <w:tcW w:type="dxa" w:w="2400"/>
            <w:vAlign w:val="center"/>
            <w:tcMar>
              <w:top w:w="80" w:type="dxa"/>
              <w:bottom w:w="80" w:type="dxa"/>
              <w:start w:w="120" w:type="dxa"/>
              <w:end w:w="120" w:type="dxa"/>
            </w:tcMar>
          </w:tcPr>
          <w:p>
            <w:pPr>
              <w:spacing w:after="0"/>
            </w:pPr>
            <w:r>
              <w:rPr>
                <w:rFonts w:ascii="Calibri" w:hAnsi="Calibri"/>
                <w:b w:val="0"/>
                <w:i w:val="0"/>
                <w:color w:val="20252B"/>
                <w:sz w:val="16"/>
              </w:rPr>
              <w:t>Focal document element</w:t>
            </w:r>
          </w:p>
        </w:tc>
        <w:tc>
          <w:tcPr>
            <w:tcW w:type="dxa" w:w="3050"/>
            <w:vAlign w:val="center"/>
            <w:tcMar>
              <w:top w:w="80" w:type="dxa"/>
              <w:bottom w:w="80" w:type="dxa"/>
              <w:start w:w="120" w:type="dxa"/>
              <w:end w:w="120" w:type="dxa"/>
            </w:tcMar>
          </w:tcPr>
          <w:p>
            <w:pPr>
              <w:spacing w:after="0"/>
            </w:pPr>
            <w:r>
              <w:rPr>
                <w:rFonts w:ascii="Calibri" w:hAnsi="Calibri"/>
                <w:b w:val="0"/>
                <w:i w:val="0"/>
                <w:color w:val="20252B"/>
                <w:sz w:val="16"/>
              </w:rPr>
              <w:t>AERA requirement identifiers are stable in the 1.2 register.</w:t>
            </w:r>
          </w:p>
        </w:tc>
        <w:tc>
          <w:tcPr>
            <w:tcW w:type="dxa" w:w="3910"/>
            <w:vAlign w:val="center"/>
            <w:tcMar>
              <w:top w:w="80" w:type="dxa"/>
              <w:bottom w:w="80" w:type="dxa"/>
              <w:start w:w="120" w:type="dxa"/>
              <w:end w:w="120" w:type="dxa"/>
            </w:tcMar>
          </w:tcPr>
          <w:p>
            <w:pPr>
              <w:spacing w:after="0"/>
            </w:pPr>
            <w:r>
              <w:rPr>
                <w:rFonts w:ascii="Calibri" w:hAnsi="Calibri"/>
                <w:b w:val="0"/>
                <w:i w:val="0"/>
                <w:color w:val="20252B"/>
                <w:sz w:val="16"/>
              </w:rPr>
              <w:t>Exact normative text and edition checksum.</w:t>
            </w:r>
          </w:p>
        </w:tc>
      </w:tr>
      <w:tr>
        <w:trPr>
          <w:cantSplit w:val="true"/>
        </w:trPr>
        <w:tc>
          <w:tcPr>
            <w:tcW w:type="dxa" w:w="2400"/>
            <w:vAlign w:val="center"/>
            <w:tcMar>
              <w:top w:w="80" w:type="dxa"/>
              <w:bottom w:w="80" w:type="dxa"/>
              <w:start w:w="120" w:type="dxa"/>
              <w:end w:w="120" w:type="dxa"/>
            </w:tcMar>
          </w:tcPr>
          <w:p>
            <w:pPr>
              <w:spacing w:after="0"/>
            </w:pPr>
            <w:r>
              <w:rPr>
                <w:rFonts w:ascii="Calibri" w:hAnsi="Calibri"/>
                <w:b w:val="0"/>
                <w:i w:val="0"/>
                <w:color w:val="20252B"/>
                <w:sz w:val="16"/>
              </w:rPr>
              <w:t>Reference document element</w:t>
            </w:r>
          </w:p>
        </w:tc>
        <w:tc>
          <w:tcPr>
            <w:tcW w:type="dxa" w:w="3050"/>
            <w:vAlign w:val="center"/>
            <w:tcMar>
              <w:top w:w="80" w:type="dxa"/>
              <w:bottom w:w="80" w:type="dxa"/>
              <w:start w:w="120" w:type="dxa"/>
              <w:end w:w="120" w:type="dxa"/>
            </w:tcMar>
          </w:tcPr>
          <w:p>
            <w:pPr>
              <w:spacing w:after="0"/>
            </w:pPr>
            <w:r>
              <w:rPr>
                <w:rFonts w:ascii="Calibri" w:hAnsi="Calibri"/>
                <w:b w:val="0"/>
                <w:i w:val="0"/>
                <w:color w:val="20252B"/>
                <w:sz w:val="16"/>
              </w:rPr>
              <w:t>Candidate standards lanes exist.</w:t>
            </w:r>
          </w:p>
        </w:tc>
        <w:tc>
          <w:tcPr>
            <w:tcW w:type="dxa" w:w="3910"/>
            <w:vAlign w:val="center"/>
            <w:tcMar>
              <w:top w:w="80" w:type="dxa"/>
              <w:bottom w:w="80" w:type="dxa"/>
              <w:start w:w="120" w:type="dxa"/>
              <w:end w:w="120" w:type="dxa"/>
            </w:tcMar>
          </w:tcPr>
          <w:p>
            <w:pPr>
              <w:spacing w:after="0"/>
            </w:pPr>
            <w:r>
              <w:rPr>
                <w:rFonts w:ascii="Calibri" w:hAnsi="Calibri"/>
                <w:b w:val="0"/>
                <w:i w:val="0"/>
                <w:color w:val="20252B"/>
                <w:sz w:val="16"/>
              </w:rPr>
              <w:t>Exact target identifier, title/text, edition, and authoritative source.</w:t>
            </w:r>
          </w:p>
        </w:tc>
      </w:tr>
      <w:tr>
        <w:trPr>
          <w:cantSplit w:val="true"/>
        </w:trPr>
        <w:tc>
          <w:tcPr>
            <w:tcW w:type="dxa" w:w="2400"/>
            <w:vAlign w:val="center"/>
            <w:tcMar>
              <w:top w:w="80" w:type="dxa"/>
              <w:bottom w:w="80" w:type="dxa"/>
              <w:start w:w="120" w:type="dxa"/>
              <w:end w:w="120" w:type="dxa"/>
            </w:tcMar>
          </w:tcPr>
          <w:p>
            <w:pPr>
              <w:spacing w:after="0"/>
            </w:pPr>
            <w:r>
              <w:rPr>
                <w:rFonts w:ascii="Calibri" w:hAnsi="Calibri"/>
                <w:b w:val="0"/>
                <w:i w:val="0"/>
                <w:color w:val="20252B"/>
                <w:sz w:val="16"/>
              </w:rPr>
              <w:t>Relationship style and direction</w:t>
            </w:r>
          </w:p>
        </w:tc>
        <w:tc>
          <w:tcPr>
            <w:tcW w:type="dxa" w:w="3050"/>
            <w:vAlign w:val="center"/>
            <w:tcMar>
              <w:top w:w="80" w:type="dxa"/>
              <w:bottom w:w="80" w:type="dxa"/>
              <w:start w:w="120" w:type="dxa"/>
              <w:end w:w="120" w:type="dxa"/>
            </w:tcMar>
          </w:tcPr>
          <w:p>
            <w:pPr>
              <w:spacing w:after="0"/>
            </w:pPr>
            <w:r>
              <w:rPr>
                <w:rFonts w:ascii="Calibri" w:hAnsi="Calibri"/>
                <w:b w:val="0"/>
                <w:i w:val="0"/>
                <w:color w:val="20252B"/>
                <w:sz w:val="16"/>
              </w:rPr>
              <w:t>IR 8477 method described.</w:t>
            </w:r>
          </w:p>
        </w:tc>
        <w:tc>
          <w:tcPr>
            <w:tcW w:type="dxa" w:w="3910"/>
            <w:vAlign w:val="center"/>
            <w:tcMar>
              <w:top w:w="80" w:type="dxa"/>
              <w:bottom w:w="80" w:type="dxa"/>
              <w:start w:w="120" w:type="dxa"/>
              <w:end w:w="120" w:type="dxa"/>
            </w:tcMar>
          </w:tcPr>
          <w:p>
            <w:pPr>
              <w:spacing w:after="0"/>
            </w:pPr>
            <w:r>
              <w:rPr>
                <w:rFonts w:ascii="Calibri" w:hAnsi="Calibri"/>
                <w:b w:val="0"/>
                <w:i w:val="0"/>
                <w:color w:val="20252B"/>
                <w:sz w:val="16"/>
              </w:rPr>
              <w:t>One allowed relationship per atomic pair; no inferred conversion from legacy codes.</w:t>
            </w:r>
          </w:p>
        </w:tc>
      </w:tr>
      <w:tr>
        <w:trPr>
          <w:cantSplit w:val="true"/>
        </w:trPr>
        <w:tc>
          <w:tcPr>
            <w:tcW w:type="dxa" w:w="2400"/>
            <w:vAlign w:val="center"/>
            <w:tcMar>
              <w:top w:w="80" w:type="dxa"/>
              <w:bottom w:w="80" w:type="dxa"/>
              <w:start w:w="120" w:type="dxa"/>
              <w:end w:w="120" w:type="dxa"/>
            </w:tcMar>
          </w:tcPr>
          <w:p>
            <w:pPr>
              <w:spacing w:after="0"/>
            </w:pPr>
            <w:r>
              <w:rPr>
                <w:rFonts w:ascii="Calibri" w:hAnsi="Calibri"/>
                <w:b w:val="0"/>
                <w:i w:val="0"/>
                <w:color w:val="20252B"/>
                <w:sz w:val="16"/>
              </w:rPr>
              <w:t>Rationale</w:t>
            </w:r>
          </w:p>
        </w:tc>
        <w:tc>
          <w:tcPr>
            <w:tcW w:type="dxa" w:w="3050"/>
            <w:vAlign w:val="center"/>
            <w:tcMar>
              <w:top w:w="80" w:type="dxa"/>
              <w:bottom w:w="80" w:type="dxa"/>
              <w:start w:w="120" w:type="dxa"/>
              <w:end w:w="120" w:type="dxa"/>
            </w:tcMar>
          </w:tcPr>
          <w:p>
            <w:pPr>
              <w:spacing w:after="0"/>
            </w:pPr>
            <w:r>
              <w:rPr>
                <w:rFonts w:ascii="Calibri" w:hAnsi="Calibri"/>
                <w:b w:val="0"/>
                <w:i w:val="0"/>
                <w:color w:val="20252B"/>
                <w:sz w:val="16"/>
              </w:rPr>
              <w:t>Development field available.</w:t>
            </w:r>
          </w:p>
        </w:tc>
        <w:tc>
          <w:tcPr>
            <w:tcW w:type="dxa" w:w="3910"/>
            <w:vAlign w:val="center"/>
            <w:tcMar>
              <w:top w:w="80" w:type="dxa"/>
              <w:bottom w:w="80" w:type="dxa"/>
              <w:start w:w="120" w:type="dxa"/>
              <w:end w:w="120" w:type="dxa"/>
            </w:tcMar>
          </w:tcPr>
          <w:p>
            <w:pPr>
              <w:spacing w:after="0"/>
            </w:pPr>
            <w:r>
              <w:rPr>
                <w:rFonts w:ascii="Calibri" w:hAnsi="Calibri"/>
                <w:b w:val="0"/>
                <w:i w:val="0"/>
                <w:color w:val="20252B"/>
                <w:sz w:val="16"/>
              </w:rPr>
              <w:t>Element-specific semantic rationale covering scope, modality, conditions, and outcome.</w:t>
            </w:r>
          </w:p>
        </w:tc>
      </w:tr>
      <w:tr>
        <w:trPr>
          <w:cantSplit w:val="true"/>
        </w:trPr>
        <w:tc>
          <w:tcPr>
            <w:tcW w:type="dxa" w:w="2400"/>
            <w:vAlign w:val="center"/>
            <w:tcMar>
              <w:top w:w="80" w:type="dxa"/>
              <w:bottom w:w="80" w:type="dxa"/>
              <w:start w:w="120" w:type="dxa"/>
              <w:end w:w="120" w:type="dxa"/>
            </w:tcMar>
          </w:tcPr>
          <w:p>
            <w:pPr>
              <w:spacing w:after="0"/>
            </w:pPr>
            <w:r>
              <w:rPr>
                <w:rFonts w:ascii="Calibri" w:hAnsi="Calibri"/>
                <w:b w:val="0"/>
                <w:i w:val="0"/>
                <w:color w:val="20252B"/>
                <w:sz w:val="16"/>
              </w:rPr>
              <w:t>Review status</w:t>
            </w:r>
          </w:p>
        </w:tc>
        <w:tc>
          <w:tcPr>
            <w:tcW w:type="dxa" w:w="3050"/>
            <w:vAlign w:val="center"/>
            <w:tcMar>
              <w:top w:w="80" w:type="dxa"/>
              <w:bottom w:w="80" w:type="dxa"/>
              <w:start w:w="120" w:type="dxa"/>
              <w:end w:w="120" w:type="dxa"/>
            </w:tcMar>
          </w:tcPr>
          <w:p>
            <w:pPr>
              <w:spacing w:after="0"/>
            </w:pPr>
            <w:r>
              <w:rPr>
                <w:rFonts w:ascii="Calibri" w:hAnsi="Calibri"/>
                <w:b w:val="0"/>
                <w:i w:val="0"/>
                <w:color w:val="20252B"/>
                <w:sz w:val="16"/>
              </w:rPr>
              <w:t>Developmental.</w:t>
            </w:r>
          </w:p>
        </w:tc>
        <w:tc>
          <w:tcPr>
            <w:tcW w:type="dxa" w:w="3910"/>
            <w:vAlign w:val="center"/>
            <w:tcMar>
              <w:top w:w="80" w:type="dxa"/>
              <w:bottom w:w="80" w:type="dxa"/>
              <w:start w:w="120" w:type="dxa"/>
              <w:end w:w="120" w:type="dxa"/>
            </w:tcMar>
          </w:tcPr>
          <w:p>
            <w:pPr>
              <w:spacing w:after="0"/>
            </w:pPr>
            <w:r>
              <w:rPr>
                <w:rFonts w:ascii="Calibri" w:hAnsi="Calibri"/>
                <w:b w:val="0"/>
                <w:i w:val="0"/>
                <w:color w:val="20252B"/>
                <w:sz w:val="16"/>
              </w:rPr>
              <w:t>Named mapper and independent SME reviewer, date, decision, dissent, and disposition.</w:t>
            </w:r>
          </w:p>
        </w:tc>
      </w:tr>
      <w:tr>
        <w:trPr>
          <w:cantSplit w:val="true"/>
        </w:trPr>
        <w:tc>
          <w:tcPr>
            <w:tcW w:type="dxa" w:w="2400"/>
            <w:vAlign w:val="center"/>
            <w:tcMar>
              <w:top w:w="80" w:type="dxa"/>
              <w:bottom w:w="80" w:type="dxa"/>
              <w:start w:w="120" w:type="dxa"/>
              <w:end w:w="120" w:type="dxa"/>
            </w:tcMar>
          </w:tcPr>
          <w:p>
            <w:pPr>
              <w:spacing w:after="0"/>
            </w:pPr>
            <w:r>
              <w:rPr>
                <w:rFonts w:ascii="Calibri" w:hAnsi="Calibri"/>
                <w:b w:val="0"/>
                <w:i w:val="0"/>
                <w:color w:val="20252B"/>
                <w:sz w:val="16"/>
              </w:rPr>
              <w:t>Submission metadata</w:t>
            </w:r>
          </w:p>
        </w:tc>
        <w:tc>
          <w:tcPr>
            <w:tcW w:type="dxa" w:w="3050"/>
            <w:vAlign w:val="center"/>
            <w:tcMar>
              <w:top w:w="80" w:type="dxa"/>
              <w:bottom w:w="80" w:type="dxa"/>
              <w:start w:w="120" w:type="dxa"/>
              <w:end w:w="120" w:type="dxa"/>
            </w:tcMar>
          </w:tcPr>
          <w:p>
            <w:pPr>
              <w:spacing w:after="0"/>
            </w:pPr>
            <w:r>
              <w:rPr>
                <w:rFonts w:ascii="Calibri" w:hAnsi="Calibri"/>
                <w:b w:val="0"/>
                <w:i w:val="0"/>
                <w:color w:val="20252B"/>
                <w:sz w:val="16"/>
              </w:rPr>
              <w:t>Not complete.</w:t>
            </w:r>
          </w:p>
        </w:tc>
        <w:tc>
          <w:tcPr>
            <w:tcW w:type="dxa" w:w="3910"/>
            <w:vAlign w:val="center"/>
            <w:tcMar>
              <w:top w:w="80" w:type="dxa"/>
              <w:bottom w:w="80" w:type="dxa"/>
              <w:start w:w="120" w:type="dxa"/>
              <w:end w:w="120" w:type="dxa"/>
            </w:tcMar>
          </w:tcPr>
          <w:p>
            <w:pPr>
              <w:spacing w:after="0"/>
            </w:pPr>
            <w:r>
              <w:rPr>
                <w:rFonts w:ascii="Calibri" w:hAnsi="Calibri"/>
                <w:b w:val="0"/>
                <w:i w:val="0"/>
                <w:color w:val="20252B"/>
                <w:sz w:val="16"/>
              </w:rPr>
              <w:t>OLIR template validation, license/terms, point of contact, version, and public access URI.</w:t>
            </w:r>
          </w:p>
        </w:tc>
      </w:tr>
    </w:tbl>
    <w:p>
      <w:pPr>
        <w:widowControl/>
        <w:spacing w:before="80" w:after="80"/>
      </w:pPr>
    </w:p>
    <w:p>
      <w:pPr>
        <w:pStyle w:val="Heading2"/>
        <w:widowControl/>
      </w:pPr>
      <w:r>
        <w:t>5.1 Minimum adjudication rule</w:t>
      </w:r>
    </w:p>
    <w:p>
      <w:pPr>
        <w:pStyle w:val="AERANumber"/>
        <w:widowControl/>
        <w:numPr>
          <w:ilvl w:val="0"/>
          <w:numId w:val="12"/>
        </w:numPr>
      </w:pPr>
      <w:r>
        <w:rPr>
          <w:rFonts w:ascii="Calibri" w:hAnsi="Calibri"/>
          <w:b w:val="0"/>
          <w:i w:val="0"/>
          <w:color w:val="20252B"/>
          <w:sz w:val="22"/>
        </w:rPr>
        <w:t>Split every compound AERA-to-source mapping into one AERA element and one external element.</w:t>
      </w:r>
    </w:p>
    <w:p>
      <w:pPr>
        <w:pStyle w:val="AERANumber"/>
        <w:widowControl/>
        <w:numPr>
          <w:ilvl w:val="0"/>
          <w:numId w:val="12"/>
        </w:numPr>
      </w:pPr>
      <w:r>
        <w:rPr>
          <w:rFonts w:ascii="Calibri" w:hAnsi="Calibri"/>
          <w:b w:val="0"/>
          <w:i w:val="0"/>
          <w:color w:val="20252B"/>
          <w:sz w:val="22"/>
        </w:rPr>
        <w:t>Quote or cite the exact authoritative target element without exceeding applicable license permissions.</w:t>
      </w:r>
    </w:p>
    <w:p>
      <w:pPr>
        <w:pStyle w:val="AERANumber"/>
        <w:widowControl/>
        <w:numPr>
          <w:ilvl w:val="0"/>
          <w:numId w:val="12"/>
        </w:numPr>
      </w:pPr>
      <w:r>
        <w:rPr>
          <w:rFonts w:ascii="Calibri" w:hAnsi="Calibri"/>
          <w:b w:val="0"/>
          <w:i w:val="0"/>
          <w:color w:val="20252B"/>
          <w:sz w:val="22"/>
        </w:rPr>
        <w:t>Select the IR 8477 relationship only after scope, modality, preconditions, and expected outcomes are compared.</w:t>
      </w:r>
    </w:p>
    <w:p>
      <w:pPr>
        <w:pStyle w:val="AERANumber"/>
        <w:widowControl/>
        <w:numPr>
          <w:ilvl w:val="0"/>
          <w:numId w:val="12"/>
        </w:numPr>
      </w:pPr>
      <w:r>
        <w:rPr>
          <w:rFonts w:ascii="Calibri" w:hAnsi="Calibri"/>
          <w:b w:val="0"/>
          <w:i w:val="0"/>
          <w:color w:val="20252B"/>
          <w:sz w:val="22"/>
        </w:rPr>
        <w:t>Record a concise rationale, editions, status, reviewer, dissent, and resolution.</w:t>
      </w:r>
    </w:p>
    <w:p>
      <w:pPr>
        <w:pStyle w:val="AERANumber"/>
        <w:widowControl/>
        <w:numPr>
          <w:ilvl w:val="0"/>
          <w:numId w:val="12"/>
        </w:numPr>
      </w:pPr>
      <w:r>
        <w:rPr>
          <w:rFonts w:ascii="Calibri" w:hAnsi="Calibri"/>
          <w:b w:val="0"/>
          <w:i w:val="0"/>
          <w:color w:val="20252B"/>
          <w:sz w:val="22"/>
        </w:rPr>
        <w:t>Validate the machine-readable template and public licensing boundary before submission.</w:t>
      </w:r>
    </w:p>
    <w:tbl>
      <w:tblPr>
        <w:tblW w:type="dxa" w:w="9360"/>
        <w:jc w:val="left"/>
        <w:tblLayout w:type="fixed"/>
        <w:tblLook w:firstColumn="1" w:firstRow="1" w:lastColumn="0" w:lastRow="0" w:noHBand="0" w:noVBand="1" w:val="04A0"/>
        <w:tblInd w:w="120" w:type="dxa"/>
      </w:tblPr>
      <w:tblGrid>
        <w:gridCol w:w="9360"/>
      </w:tblGrid>
      <w:tr>
        <w:trPr>
          <w:tblHeader w:val="true"/>
          <w:cantSplit w:val="true"/>
        </w:trPr>
        <w:tc>
          <w:tcPr>
            <w:tcW w:type="dxa" w:w="9360"/>
            <w:tcMar>
              <w:top w:w="80" w:type="dxa"/>
              <w:bottom w:w="80" w:type="dxa"/>
              <w:start w:w="120" w:type="dxa"/>
              <w:end w:w="120" w:type="dxa"/>
            </w:tcMar>
            <w:shd w:fill="FCEDED" w:val="clear"/>
            <w:vAlign w:val="center"/>
          </w:tcPr>
          <w:p>
            <w:pPr>
              <w:spacing w:after="0"/>
            </w:pPr>
            <w:r>
              <w:rPr>
                <w:rFonts w:ascii="Calibri" w:hAnsi="Calibri"/>
                <w:b/>
                <w:i w:val="0"/>
                <w:color w:val="9B1C1C"/>
                <w:sz w:val="21"/>
              </w:rPr>
              <w:t xml:space="preserve">PROHIBITED CLAIM: </w:t>
            </w:r>
            <w:r>
              <w:rPr>
                <w:rFonts w:ascii="Calibri" w:hAnsi="Calibri"/>
                <w:b w:val="0"/>
                <w:i w:val="0"/>
                <w:color w:val="20252B"/>
                <w:sz w:val="21"/>
              </w:rPr>
              <w:t>OLIR-ready, submitted, accepted, cataloged, or NIST-endorsed are distinct states. None may be claimed unless independently evidenced for the exact published mapping artifact.</w:t>
            </w:r>
          </w:p>
        </w:tc>
      </w:tr>
    </w:tbl>
    <w:p>
      <w:pPr>
        <w:widowControl/>
        <w:spacing w:after="40"/>
      </w:pPr>
    </w:p>
    <w:p>
      <w:pPr>
        <w:pStyle w:val="Heading1"/>
        <w:pageBreakBefore/>
        <w:widowControl/>
      </w:pPr>
      <w:r>
        <w:t>6. Open Development, Consensus, and Governance Readiness</w:t>
      </w:r>
    </w:p>
    <w:p>
      <w:pPr>
        <w:widowControl/>
      </w:pPr>
      <w:r>
        <w:rPr>
          <w:rFonts w:ascii="Calibri" w:hAnsi="Calibri"/>
          <w:b w:val="0"/>
          <w:i w:val="0"/>
          <w:color w:val="20252B"/>
          <w:sz w:val="22"/>
        </w:rPr>
        <w:t>NIST-compatible technical content is necessary but insufficient for institutional credibility. AERA needs a transparent maintenance and evidence process that separates editorial authority from external review, pilot evidence, assessment, and adoption decisions.</w:t>
      </w:r>
    </w:p>
    <w:tbl>
      <w:tblPr>
        <w:tblStyle w:val="TableGrid"/>
        <w:tblW w:type="dxa" w:w="9360"/>
        <w:jc w:val="left"/>
        <w:tblLayout w:type="fixed"/>
        <w:tblLook w:firstColumn="1" w:firstRow="1" w:lastColumn="0" w:lastRow="0" w:noHBand="0" w:noVBand="1" w:val="04A0"/>
        <w:tblInd w:w="120" w:type="dxa"/>
      </w:tblPr>
      <w:tblGrid>
        <w:gridCol w:w="2100"/>
        <w:gridCol w:w="3750"/>
        <w:gridCol w:w="3510"/>
      </w:tblGrid>
      <w:tr>
        <w:trPr>
          <w:tblHeader w:val="true"/>
          <w:cantSplit w:val="true"/>
        </w:trPr>
        <w:tc>
          <w:tcPr>
            <w:tcW w:type="dxa" w:w="2100"/>
            <w:shd w:fill="F2F4F7" w:val="clear"/>
            <w:vAlign w:val="center"/>
            <w:tcMar>
              <w:top w:w="80" w:type="dxa"/>
              <w:bottom w:w="80" w:type="dxa"/>
              <w:start w:w="120" w:type="dxa"/>
              <w:end w:w="120" w:type="dxa"/>
            </w:tcMar>
          </w:tcPr>
          <w:p>
            <w:pPr>
              <w:spacing w:after="0"/>
              <w:jc w:val="left"/>
            </w:pPr>
            <w:r>
              <w:rPr>
                <w:rFonts w:ascii="Calibri" w:hAnsi="Calibri"/>
                <w:b/>
                <w:i w:val="0"/>
                <w:color w:val="17324D"/>
                <w:sz w:val="16"/>
              </w:rPr>
              <w:t>Governance capability</w:t>
            </w:r>
          </w:p>
        </w:tc>
        <w:tc>
          <w:tcPr>
            <w:tcW w:type="dxa" w:w="3750"/>
            <w:shd w:fill="F2F4F7" w:val="clear"/>
            <w:vAlign w:val="center"/>
            <w:tcMar>
              <w:top w:w="80" w:type="dxa"/>
              <w:bottom w:w="80" w:type="dxa"/>
              <w:start w:w="120" w:type="dxa"/>
              <w:end w:w="120" w:type="dxa"/>
            </w:tcMar>
          </w:tcPr>
          <w:p>
            <w:pPr>
              <w:spacing w:after="0"/>
              <w:jc w:val="left"/>
            </w:pPr>
            <w:r>
              <w:rPr>
                <w:rFonts w:ascii="Calibri" w:hAnsi="Calibri"/>
                <w:b/>
                <w:i w:val="0"/>
                <w:color w:val="17324D"/>
                <w:sz w:val="16"/>
              </w:rPr>
              <w:t>Working-draft treatment</w:t>
            </w:r>
          </w:p>
        </w:tc>
        <w:tc>
          <w:tcPr>
            <w:tcW w:type="dxa" w:w="3510"/>
            <w:shd w:fill="F2F4F7" w:val="clear"/>
            <w:vAlign w:val="center"/>
            <w:tcMar>
              <w:top w:w="80" w:type="dxa"/>
              <w:bottom w:w="80" w:type="dxa"/>
              <w:start w:w="120" w:type="dxa"/>
              <w:end w:w="120" w:type="dxa"/>
            </w:tcMar>
          </w:tcPr>
          <w:p>
            <w:pPr>
              <w:spacing w:after="0"/>
              <w:jc w:val="left"/>
            </w:pPr>
            <w:r>
              <w:rPr>
                <w:rFonts w:ascii="Calibri" w:hAnsi="Calibri"/>
                <w:b/>
                <w:i w:val="0"/>
                <w:color w:val="17324D"/>
                <w:sz w:val="16"/>
              </w:rPr>
              <w:t>Open evidence</w:t>
            </w:r>
          </w:p>
        </w:tc>
      </w:tr>
      <w:tr>
        <w:trPr>
          <w:cantSplit w:val="true"/>
        </w:trPr>
        <w:tc>
          <w:tcPr>
            <w:tcW w:type="dxa" w:w="2100"/>
            <w:vAlign w:val="center"/>
            <w:tcMar>
              <w:top w:w="80" w:type="dxa"/>
              <w:bottom w:w="80" w:type="dxa"/>
              <w:start w:w="120" w:type="dxa"/>
              <w:end w:w="120" w:type="dxa"/>
            </w:tcMar>
          </w:tcPr>
          <w:p>
            <w:pPr>
              <w:spacing w:after="0"/>
            </w:pPr>
            <w:r>
              <w:rPr>
                <w:rFonts w:ascii="Calibri" w:hAnsi="Calibri"/>
                <w:b w:val="0"/>
                <w:i w:val="0"/>
                <w:color w:val="20252B"/>
                <w:sz w:val="16"/>
              </w:rPr>
              <w:t>Public access</w:t>
            </w:r>
          </w:p>
        </w:tc>
        <w:tc>
          <w:tcPr>
            <w:tcW w:type="dxa" w:w="3750"/>
            <w:vAlign w:val="center"/>
            <w:tcMar>
              <w:top w:w="80" w:type="dxa"/>
              <w:bottom w:w="80" w:type="dxa"/>
              <w:start w:w="120" w:type="dxa"/>
              <w:end w:w="120" w:type="dxa"/>
            </w:tcMar>
          </w:tcPr>
          <w:p>
            <w:pPr>
              <w:spacing w:after="0"/>
            </w:pPr>
            <w:r>
              <w:rPr>
                <w:rFonts w:ascii="Calibri" w:hAnsi="Calibri"/>
                <w:b w:val="0"/>
                <w:i w:val="0"/>
                <w:color w:val="20252B"/>
                <w:sz w:val="16"/>
              </w:rPr>
              <w:t>Developmental review package and comment matrix are defined.</w:t>
            </w:r>
          </w:p>
        </w:tc>
        <w:tc>
          <w:tcPr>
            <w:tcW w:type="dxa" w:w="3510"/>
            <w:vAlign w:val="center"/>
            <w:tcMar>
              <w:top w:w="80" w:type="dxa"/>
              <w:bottom w:w="80" w:type="dxa"/>
              <w:start w:w="120" w:type="dxa"/>
              <w:end w:w="120" w:type="dxa"/>
            </w:tcMar>
          </w:tcPr>
          <w:p>
            <w:pPr>
              <w:spacing w:after="0"/>
            </w:pPr>
            <w:r>
              <w:rPr>
                <w:rFonts w:ascii="Calibri" w:hAnsi="Calibri"/>
                <w:b w:val="0"/>
                <w:i w:val="0"/>
                <w:color w:val="20252B"/>
                <w:sz w:val="16"/>
              </w:rPr>
              <w:t>Stable public repository/URI and declared redistribution license.</w:t>
            </w:r>
          </w:p>
        </w:tc>
      </w:tr>
      <w:tr>
        <w:trPr>
          <w:cantSplit w:val="true"/>
        </w:trPr>
        <w:tc>
          <w:tcPr>
            <w:tcW w:type="dxa" w:w="2100"/>
            <w:vAlign w:val="center"/>
            <w:tcMar>
              <w:top w:w="80" w:type="dxa"/>
              <w:bottom w:w="80" w:type="dxa"/>
              <w:start w:w="120" w:type="dxa"/>
              <w:end w:w="120" w:type="dxa"/>
            </w:tcMar>
          </w:tcPr>
          <w:p>
            <w:pPr>
              <w:spacing w:after="0"/>
            </w:pPr>
            <w:r>
              <w:rPr>
                <w:rFonts w:ascii="Calibri" w:hAnsi="Calibri"/>
                <w:b w:val="0"/>
                <w:i w:val="0"/>
                <w:color w:val="20252B"/>
                <w:sz w:val="16"/>
              </w:rPr>
              <w:t>Role separation</w:t>
            </w:r>
          </w:p>
        </w:tc>
        <w:tc>
          <w:tcPr>
            <w:tcW w:type="dxa" w:w="3750"/>
            <w:vAlign w:val="center"/>
            <w:tcMar>
              <w:top w:w="80" w:type="dxa"/>
              <w:bottom w:w="80" w:type="dxa"/>
              <w:start w:w="120" w:type="dxa"/>
              <w:end w:w="120" w:type="dxa"/>
            </w:tcMar>
          </w:tcPr>
          <w:p>
            <w:pPr>
              <w:spacing w:after="0"/>
            </w:pPr>
            <w:r>
              <w:rPr>
                <w:rFonts w:ascii="Calibri" w:hAnsi="Calibri"/>
                <w:b w:val="0"/>
                <w:i w:val="0"/>
                <w:color w:val="20252B"/>
                <w:sz w:val="16"/>
              </w:rPr>
              <w:t>Editor, contributor, reviewer, pilot, and assessor roles are identified.</w:t>
            </w:r>
          </w:p>
        </w:tc>
        <w:tc>
          <w:tcPr>
            <w:tcW w:type="dxa" w:w="3510"/>
            <w:vAlign w:val="center"/>
            <w:tcMar>
              <w:top w:w="80" w:type="dxa"/>
              <w:bottom w:w="80" w:type="dxa"/>
              <w:start w:w="120" w:type="dxa"/>
              <w:end w:w="120" w:type="dxa"/>
            </w:tcMar>
          </w:tcPr>
          <w:p>
            <w:pPr>
              <w:spacing w:after="0"/>
            </w:pPr>
            <w:r>
              <w:rPr>
                <w:rFonts w:ascii="Calibri" w:hAnsi="Calibri"/>
                <w:b w:val="0"/>
                <w:i w:val="0"/>
                <w:color w:val="20252B"/>
                <w:sz w:val="16"/>
              </w:rPr>
              <w:t>Named independent reviewers; conflict and sponsorship disclosures.</w:t>
            </w:r>
          </w:p>
        </w:tc>
      </w:tr>
      <w:tr>
        <w:trPr>
          <w:cantSplit w:val="true"/>
        </w:trPr>
        <w:tc>
          <w:tcPr>
            <w:tcW w:type="dxa" w:w="2100"/>
            <w:vAlign w:val="center"/>
            <w:tcMar>
              <w:top w:w="80" w:type="dxa"/>
              <w:bottom w:w="80" w:type="dxa"/>
              <w:start w:w="120" w:type="dxa"/>
              <w:end w:w="120" w:type="dxa"/>
            </w:tcMar>
          </w:tcPr>
          <w:p>
            <w:pPr>
              <w:spacing w:after="0"/>
            </w:pPr>
            <w:r>
              <w:rPr>
                <w:rFonts w:ascii="Calibri" w:hAnsi="Calibri"/>
                <w:b w:val="0"/>
                <w:i w:val="0"/>
                <w:color w:val="20252B"/>
                <w:sz w:val="16"/>
              </w:rPr>
              <w:t>Balanced participation</w:t>
            </w:r>
          </w:p>
        </w:tc>
        <w:tc>
          <w:tcPr>
            <w:tcW w:type="dxa" w:w="3750"/>
            <w:vAlign w:val="center"/>
            <w:tcMar>
              <w:top w:w="80" w:type="dxa"/>
              <w:bottom w:w="80" w:type="dxa"/>
              <w:start w:w="120" w:type="dxa"/>
              <w:end w:w="120" w:type="dxa"/>
            </w:tcMar>
          </w:tcPr>
          <w:p>
            <w:pPr>
              <w:spacing w:after="0"/>
            </w:pPr>
            <w:r>
              <w:rPr>
                <w:rFonts w:ascii="Calibri" w:hAnsi="Calibri"/>
                <w:b w:val="0"/>
                <w:i w:val="0"/>
                <w:color w:val="20252B"/>
                <w:sz w:val="16"/>
              </w:rPr>
              <w:t>Multistakeholder review is required before consensus claims.</w:t>
            </w:r>
          </w:p>
        </w:tc>
        <w:tc>
          <w:tcPr>
            <w:tcW w:type="dxa" w:w="3510"/>
            <w:vAlign w:val="center"/>
            <w:tcMar>
              <w:top w:w="80" w:type="dxa"/>
              <w:bottom w:w="80" w:type="dxa"/>
              <w:start w:w="120" w:type="dxa"/>
              <w:end w:w="120" w:type="dxa"/>
            </w:tcMar>
          </w:tcPr>
          <w:p>
            <w:pPr>
              <w:spacing w:after="0"/>
            </w:pPr>
            <w:r>
              <w:rPr>
                <w:rFonts w:ascii="Calibri" w:hAnsi="Calibri"/>
                <w:b w:val="0"/>
                <w:i w:val="0"/>
                <w:color w:val="20252B"/>
                <w:sz w:val="16"/>
              </w:rPr>
              <w:t>Published stakeholder model, outreach record, and participation analysis.</w:t>
            </w:r>
          </w:p>
        </w:tc>
      </w:tr>
      <w:tr>
        <w:trPr>
          <w:cantSplit w:val="true"/>
        </w:trPr>
        <w:tc>
          <w:tcPr>
            <w:tcW w:type="dxa" w:w="2100"/>
            <w:vAlign w:val="center"/>
            <w:tcMar>
              <w:top w:w="80" w:type="dxa"/>
              <w:bottom w:w="80" w:type="dxa"/>
              <w:start w:w="120" w:type="dxa"/>
              <w:end w:w="120" w:type="dxa"/>
            </w:tcMar>
          </w:tcPr>
          <w:p>
            <w:pPr>
              <w:spacing w:after="0"/>
            </w:pPr>
            <w:r>
              <w:rPr>
                <w:rFonts w:ascii="Calibri" w:hAnsi="Calibri"/>
                <w:b w:val="0"/>
                <w:i w:val="0"/>
                <w:color w:val="20252B"/>
                <w:sz w:val="16"/>
              </w:rPr>
              <w:t>Comment disposition</w:t>
            </w:r>
          </w:p>
        </w:tc>
        <w:tc>
          <w:tcPr>
            <w:tcW w:type="dxa" w:w="3750"/>
            <w:vAlign w:val="center"/>
            <w:tcMar>
              <w:top w:w="80" w:type="dxa"/>
              <w:bottom w:w="80" w:type="dxa"/>
              <w:start w:w="120" w:type="dxa"/>
              <w:end w:w="120" w:type="dxa"/>
            </w:tcMar>
          </w:tcPr>
          <w:p>
            <w:pPr>
              <w:spacing w:after="0"/>
            </w:pPr>
            <w:r>
              <w:rPr>
                <w:rFonts w:ascii="Calibri" w:hAnsi="Calibri"/>
                <w:b w:val="0"/>
                <w:i w:val="0"/>
                <w:color w:val="20252B"/>
                <w:sz w:val="16"/>
              </w:rPr>
              <w:t>Substantive dissent and versioned dispositions are required.</w:t>
            </w:r>
          </w:p>
        </w:tc>
        <w:tc>
          <w:tcPr>
            <w:tcW w:type="dxa" w:w="3510"/>
            <w:vAlign w:val="center"/>
            <w:tcMar>
              <w:top w:w="80" w:type="dxa"/>
              <w:bottom w:w="80" w:type="dxa"/>
              <w:start w:w="120" w:type="dxa"/>
              <w:end w:w="120" w:type="dxa"/>
            </w:tcMar>
          </w:tcPr>
          <w:p>
            <w:pPr>
              <w:spacing w:after="0"/>
            </w:pPr>
            <w:r>
              <w:rPr>
                <w:rFonts w:ascii="Calibri" w:hAnsi="Calibri"/>
                <w:b w:val="0"/>
                <w:i w:val="0"/>
                <w:color w:val="20252B"/>
                <w:sz w:val="16"/>
              </w:rPr>
              <w:t>Public issue ledger with accepted, modified, deferred, rejected, and withdrawn decisions.</w:t>
            </w:r>
          </w:p>
        </w:tc>
      </w:tr>
      <w:tr>
        <w:trPr>
          <w:cantSplit w:val="true"/>
        </w:trPr>
        <w:tc>
          <w:tcPr>
            <w:tcW w:type="dxa" w:w="2100"/>
            <w:vAlign w:val="center"/>
            <w:tcMar>
              <w:top w:w="80" w:type="dxa"/>
              <w:bottom w:w="80" w:type="dxa"/>
              <w:start w:w="120" w:type="dxa"/>
              <w:end w:w="120" w:type="dxa"/>
            </w:tcMar>
          </w:tcPr>
          <w:p>
            <w:pPr>
              <w:spacing w:after="0"/>
            </w:pPr>
            <w:r>
              <w:rPr>
                <w:rFonts w:ascii="Calibri" w:hAnsi="Calibri"/>
                <w:b w:val="0"/>
                <w:i w:val="0"/>
                <w:color w:val="20252B"/>
                <w:sz w:val="16"/>
              </w:rPr>
              <w:t>Change control</w:t>
            </w:r>
          </w:p>
        </w:tc>
        <w:tc>
          <w:tcPr>
            <w:tcW w:type="dxa" w:w="3750"/>
            <w:vAlign w:val="center"/>
            <w:tcMar>
              <w:top w:w="80" w:type="dxa"/>
              <w:bottom w:w="80" w:type="dxa"/>
              <w:start w:w="120" w:type="dxa"/>
              <w:end w:w="120" w:type="dxa"/>
            </w:tcMar>
          </w:tcPr>
          <w:p>
            <w:pPr>
              <w:spacing w:after="0"/>
            </w:pPr>
            <w:r>
              <w:rPr>
                <w:rFonts w:ascii="Calibri" w:hAnsi="Calibri"/>
                <w:b w:val="0"/>
                <w:i w:val="0"/>
                <w:color w:val="20252B"/>
                <w:sz w:val="16"/>
              </w:rPr>
              <w:t>Impact analysis spans definitions, requirements, interfaces, threats, schemas, mappings, and claims.</w:t>
            </w:r>
          </w:p>
        </w:tc>
        <w:tc>
          <w:tcPr>
            <w:tcW w:type="dxa" w:w="3510"/>
            <w:vAlign w:val="center"/>
            <w:tcMar>
              <w:top w:w="80" w:type="dxa"/>
              <w:bottom w:w="80" w:type="dxa"/>
              <w:start w:w="120" w:type="dxa"/>
              <w:end w:w="120" w:type="dxa"/>
            </w:tcMar>
          </w:tcPr>
          <w:p>
            <w:pPr>
              <w:spacing w:after="0"/>
            </w:pPr>
            <w:r>
              <w:rPr>
                <w:rFonts w:ascii="Calibri" w:hAnsi="Calibri"/>
                <w:b w:val="0"/>
                <w:i w:val="0"/>
                <w:color w:val="20252B"/>
                <w:sz w:val="16"/>
              </w:rPr>
              <w:t>Release board record, migration notes, and semantic diff.</w:t>
            </w:r>
          </w:p>
        </w:tc>
      </w:tr>
      <w:tr>
        <w:trPr>
          <w:cantSplit w:val="true"/>
        </w:trPr>
        <w:tc>
          <w:tcPr>
            <w:tcW w:type="dxa" w:w="2100"/>
            <w:vAlign w:val="center"/>
            <w:tcMar>
              <w:top w:w="80" w:type="dxa"/>
              <w:bottom w:w="80" w:type="dxa"/>
              <w:start w:w="120" w:type="dxa"/>
              <w:end w:w="120" w:type="dxa"/>
            </w:tcMar>
          </w:tcPr>
          <w:p>
            <w:pPr>
              <w:spacing w:after="0"/>
            </w:pPr>
            <w:r>
              <w:rPr>
                <w:rFonts w:ascii="Calibri" w:hAnsi="Calibri"/>
                <w:b w:val="0"/>
                <w:i w:val="0"/>
                <w:color w:val="20252B"/>
                <w:sz w:val="16"/>
              </w:rPr>
              <w:t>Maintenance</w:t>
            </w:r>
          </w:p>
        </w:tc>
        <w:tc>
          <w:tcPr>
            <w:tcW w:type="dxa" w:w="3750"/>
            <w:vAlign w:val="center"/>
            <w:tcMar>
              <w:top w:w="80" w:type="dxa"/>
              <w:bottom w:w="80" w:type="dxa"/>
              <w:start w:w="120" w:type="dxa"/>
              <w:end w:w="120" w:type="dxa"/>
            </w:tcMar>
          </w:tcPr>
          <w:p>
            <w:pPr>
              <w:spacing w:after="0"/>
            </w:pPr>
            <w:r>
              <w:rPr>
                <w:rFonts w:ascii="Calibri" w:hAnsi="Calibri"/>
                <w:b w:val="0"/>
                <w:i w:val="0"/>
                <w:color w:val="20252B"/>
                <w:sz w:val="16"/>
              </w:rPr>
              <w:t>Stable identifiers and non-silent version migration are required.</w:t>
            </w:r>
          </w:p>
        </w:tc>
        <w:tc>
          <w:tcPr>
            <w:tcW w:type="dxa" w:w="3510"/>
            <w:vAlign w:val="center"/>
            <w:tcMar>
              <w:top w:w="80" w:type="dxa"/>
              <w:bottom w:w="80" w:type="dxa"/>
              <w:start w:w="120" w:type="dxa"/>
              <w:end w:w="120" w:type="dxa"/>
            </w:tcMar>
          </w:tcPr>
          <w:p>
            <w:pPr>
              <w:spacing w:after="0"/>
            </w:pPr>
            <w:r>
              <w:rPr>
                <w:rFonts w:ascii="Calibri" w:hAnsi="Calibri"/>
                <w:b w:val="0"/>
                <w:i w:val="0"/>
                <w:color w:val="20252B"/>
                <w:sz w:val="16"/>
              </w:rPr>
              <w:t>Published cadence, responsible body, escalation path, and security advisory process.</w:t>
            </w:r>
          </w:p>
        </w:tc>
      </w:tr>
    </w:tbl>
    <w:p>
      <w:pPr>
        <w:widowControl/>
        <w:spacing w:before="80" w:after="80"/>
      </w:pPr>
    </w:p>
    <w:p>
      <w:pPr>
        <w:pStyle w:val="Heading2"/>
        <w:widowControl/>
      </w:pPr>
      <w:r>
        <w:t>6.1 Publication architecture recommendation</w:t>
      </w:r>
    </w:p>
    <w:p>
      <w:pPr>
        <w:widowControl/>
      </w:pPr>
      <w:r>
        <w:rPr>
          <w:rFonts w:ascii="Calibri" w:hAnsi="Calibri"/>
          <w:b w:val="0"/>
          <w:i w:val="0"/>
          <w:color w:val="20252B"/>
          <w:sz w:val="22"/>
        </w:rPr>
        <w:t>Before a consensus-oriented release, separate an outcome-focused voluntary AERA Core from the normative reference architecture, sector profiles, and conformance-assessment procedures. Preserve stable identifiers and traceability. Use of the outcome Core alone must never be represented as implementation of the architecture or satisfaction of a profile.</w:t>
      </w:r>
    </w:p>
    <w:tbl>
      <w:tblPr>
        <w:tblW w:type="dxa" w:w="9360"/>
        <w:jc w:val="left"/>
        <w:tblLayout w:type="fixed"/>
        <w:tblLook w:firstColumn="1" w:firstRow="1" w:lastColumn="0" w:lastRow="0" w:noHBand="0" w:noVBand="1" w:val="04A0"/>
        <w:tblInd w:w="120" w:type="dxa"/>
      </w:tblPr>
      <w:tblGrid>
        <w:gridCol w:w="9360"/>
      </w:tblGrid>
      <w:tr>
        <w:trPr>
          <w:tblHeader w:val="true"/>
          <w:cantSplit w:val="true"/>
        </w:trPr>
        <w:tc>
          <w:tcPr>
            <w:tcW w:type="dxa" w:w="9360"/>
            <w:tcMar>
              <w:top w:w="80" w:type="dxa"/>
              <w:bottom w:w="80" w:type="dxa"/>
              <w:start w:w="120" w:type="dxa"/>
              <w:end w:w="120" w:type="dxa"/>
            </w:tcMar>
            <w:shd w:fill="FFF5D6" w:val="clear"/>
            <w:vAlign w:val="center"/>
          </w:tcPr>
          <w:p>
            <w:pPr>
              <w:spacing w:after="0"/>
            </w:pPr>
            <w:r>
              <w:rPr>
                <w:rFonts w:ascii="Calibri" w:hAnsi="Calibri"/>
                <w:b/>
                <w:i w:val="0"/>
                <w:color w:val="A46F00"/>
                <w:sz w:val="21"/>
              </w:rPr>
              <w:t xml:space="preserve">LICENSE GATE: </w:t>
            </w:r>
            <w:r>
              <w:rPr>
                <w:rFonts w:ascii="Calibri" w:hAnsi="Calibri"/>
                <w:b w:val="0"/>
                <w:i w:val="0"/>
                <w:color w:val="20252B"/>
                <w:sz w:val="21"/>
              </w:rPr>
              <w:t>Public redistribution, contribution acceptance, derivative works, patent/rights representations, and standards submissions require explicit license and contribution terms approved by the author.</w:t>
            </w:r>
          </w:p>
        </w:tc>
      </w:tr>
    </w:tbl>
    <w:p>
      <w:pPr>
        <w:widowControl/>
        <w:spacing w:after="40"/>
      </w:pPr>
    </w:p>
    <w:p>
      <w:pPr>
        <w:pStyle w:val="Heading1"/>
        <w:pageBreakBefore/>
        <w:widowControl/>
      </w:pPr>
      <w:r>
        <w:t>7. Empirical Validation and Assessment Readiness</w:t>
      </w:r>
    </w:p>
    <w:p>
      <w:pPr>
        <w:widowControl/>
      </w:pPr>
      <w:r>
        <w:rPr>
          <w:rFonts w:ascii="Calibri" w:hAnsi="Calibri"/>
          <w:b w:val="0"/>
          <w:i w:val="0"/>
          <w:color w:val="20252B"/>
          <w:sz w:val="22"/>
        </w:rPr>
        <w:t>AERA needs evidence that the architecture is implementable, the requirements are interpreted consistently, controls work in representative conditions, and the maturity/conformance methods produce reproducible results.</w:t>
      </w:r>
    </w:p>
    <w:tbl>
      <w:tblPr>
        <w:tblStyle w:val="TableGrid"/>
        <w:tblW w:type="dxa" w:w="9360"/>
        <w:jc w:val="left"/>
        <w:tblLayout w:type="fixed"/>
        <w:tblLook w:firstColumn="1" w:firstRow="1" w:lastColumn="0" w:lastRow="0" w:noHBand="0" w:noVBand="1" w:val="04A0"/>
        <w:tblInd w:w="120" w:type="dxa"/>
      </w:tblPr>
      <w:tblGrid>
        <w:gridCol w:w="2050"/>
        <w:gridCol w:w="3980"/>
        <w:gridCol w:w="3330"/>
      </w:tblGrid>
      <w:tr>
        <w:trPr>
          <w:tblHeader w:val="true"/>
          <w:cantSplit w:val="true"/>
        </w:trPr>
        <w:tc>
          <w:tcPr>
            <w:tcW w:type="dxa" w:w="2050"/>
            <w:shd w:fill="F2F4F7" w:val="clear"/>
            <w:vAlign w:val="center"/>
            <w:tcMar>
              <w:top w:w="80" w:type="dxa"/>
              <w:bottom w:w="80" w:type="dxa"/>
              <w:start w:w="120" w:type="dxa"/>
              <w:end w:w="120" w:type="dxa"/>
            </w:tcMar>
          </w:tcPr>
          <w:p>
            <w:pPr>
              <w:spacing w:after="0"/>
              <w:jc w:val="left"/>
            </w:pPr>
            <w:r>
              <w:rPr>
                <w:rFonts w:ascii="Calibri" w:hAnsi="Calibri"/>
                <w:b/>
                <w:i w:val="0"/>
                <w:color w:val="17324D"/>
                <w:sz w:val="15"/>
              </w:rPr>
              <w:t>Validation objective</w:t>
            </w:r>
          </w:p>
        </w:tc>
        <w:tc>
          <w:tcPr>
            <w:tcW w:type="dxa" w:w="3980"/>
            <w:shd w:fill="F2F4F7" w:val="clear"/>
            <w:vAlign w:val="center"/>
            <w:tcMar>
              <w:top w:w="80" w:type="dxa"/>
              <w:bottom w:w="80" w:type="dxa"/>
              <w:start w:w="120" w:type="dxa"/>
              <w:end w:w="120" w:type="dxa"/>
            </w:tcMar>
          </w:tcPr>
          <w:p>
            <w:pPr>
              <w:spacing w:after="0"/>
              <w:jc w:val="left"/>
            </w:pPr>
            <w:r>
              <w:rPr>
                <w:rFonts w:ascii="Calibri" w:hAnsi="Calibri"/>
                <w:b/>
                <w:i w:val="0"/>
                <w:color w:val="17324D"/>
                <w:sz w:val="15"/>
              </w:rPr>
              <w:t>Minimum method</w:t>
            </w:r>
          </w:p>
        </w:tc>
        <w:tc>
          <w:tcPr>
            <w:tcW w:type="dxa" w:w="3330"/>
            <w:shd w:fill="F2F4F7" w:val="clear"/>
            <w:vAlign w:val="center"/>
            <w:tcMar>
              <w:top w:w="80" w:type="dxa"/>
              <w:bottom w:w="80" w:type="dxa"/>
              <w:start w:w="120" w:type="dxa"/>
              <w:end w:w="120" w:type="dxa"/>
            </w:tcMar>
          </w:tcPr>
          <w:p>
            <w:pPr>
              <w:spacing w:after="0"/>
              <w:jc w:val="left"/>
            </w:pPr>
            <w:r>
              <w:rPr>
                <w:rFonts w:ascii="Calibri" w:hAnsi="Calibri"/>
                <w:b/>
                <w:i w:val="0"/>
                <w:color w:val="17324D"/>
                <w:sz w:val="15"/>
              </w:rPr>
              <w:t>Acceptance evidence</w:t>
            </w:r>
          </w:p>
        </w:tc>
      </w:tr>
      <w:tr>
        <w:trPr>
          <w:cantSplit w:val="true"/>
        </w:trPr>
        <w:tc>
          <w:tcPr>
            <w:tcW w:type="dxa" w:w="2050"/>
            <w:vAlign w:val="center"/>
            <w:tcMar>
              <w:top w:w="80" w:type="dxa"/>
              <w:bottom w:w="80" w:type="dxa"/>
              <w:start w:w="120" w:type="dxa"/>
              <w:end w:w="120" w:type="dxa"/>
            </w:tcMar>
          </w:tcPr>
          <w:p>
            <w:pPr>
              <w:spacing w:after="0"/>
            </w:pPr>
            <w:r>
              <w:rPr>
                <w:rFonts w:ascii="Calibri" w:hAnsi="Calibri"/>
                <w:b w:val="0"/>
                <w:i w:val="0"/>
                <w:color w:val="20252B"/>
                <w:sz w:val="15"/>
              </w:rPr>
              <w:t>Implementability</w:t>
            </w:r>
          </w:p>
        </w:tc>
        <w:tc>
          <w:tcPr>
            <w:tcW w:type="dxa" w:w="3980"/>
            <w:vAlign w:val="center"/>
            <w:tcMar>
              <w:top w:w="80" w:type="dxa"/>
              <w:bottom w:w="80" w:type="dxa"/>
              <w:start w:w="120" w:type="dxa"/>
              <w:end w:w="120" w:type="dxa"/>
            </w:tcMar>
          </w:tcPr>
          <w:p>
            <w:pPr>
              <w:spacing w:after="0"/>
            </w:pPr>
            <w:r>
              <w:rPr>
                <w:rFonts w:ascii="Calibri" w:hAnsi="Calibri"/>
                <w:b w:val="0"/>
                <w:i w:val="0"/>
                <w:color w:val="20252B"/>
                <w:sz w:val="15"/>
              </w:rPr>
              <w:t>Two or more heterogeneous reference implementations across different decision classes.</w:t>
            </w:r>
          </w:p>
        </w:tc>
        <w:tc>
          <w:tcPr>
            <w:tcW w:type="dxa" w:w="3330"/>
            <w:vAlign w:val="center"/>
            <w:tcMar>
              <w:top w:w="80" w:type="dxa"/>
              <w:bottom w:w="80" w:type="dxa"/>
              <w:start w:w="120" w:type="dxa"/>
              <w:end w:w="120" w:type="dxa"/>
            </w:tcMar>
          </w:tcPr>
          <w:p>
            <w:pPr>
              <w:spacing w:after="0"/>
            </w:pPr>
            <w:r>
              <w:rPr>
                <w:rFonts w:ascii="Calibri" w:hAnsi="Calibri"/>
                <w:b w:val="0"/>
                <w:i w:val="0"/>
                <w:color w:val="20252B"/>
                <w:sz w:val="15"/>
              </w:rPr>
              <w:t>Schemas, traces, latency/failure data, deviations, and implementation lessons.</w:t>
            </w:r>
          </w:p>
        </w:tc>
      </w:tr>
      <w:tr>
        <w:trPr>
          <w:cantSplit w:val="true"/>
        </w:trPr>
        <w:tc>
          <w:tcPr>
            <w:tcW w:type="dxa" w:w="2050"/>
            <w:vAlign w:val="center"/>
            <w:tcMar>
              <w:top w:w="80" w:type="dxa"/>
              <w:bottom w:w="80" w:type="dxa"/>
              <w:start w:w="120" w:type="dxa"/>
              <w:end w:w="120" w:type="dxa"/>
            </w:tcMar>
          </w:tcPr>
          <w:p>
            <w:pPr>
              <w:spacing w:after="0"/>
            </w:pPr>
            <w:r>
              <w:rPr>
                <w:rFonts w:ascii="Calibri" w:hAnsi="Calibri"/>
                <w:b w:val="0"/>
                <w:i w:val="0"/>
                <w:color w:val="20252B"/>
                <w:sz w:val="15"/>
              </w:rPr>
              <w:t>Threat coverage</w:t>
            </w:r>
          </w:p>
        </w:tc>
        <w:tc>
          <w:tcPr>
            <w:tcW w:type="dxa" w:w="3980"/>
            <w:vAlign w:val="center"/>
            <w:tcMar>
              <w:top w:w="80" w:type="dxa"/>
              <w:bottom w:w="80" w:type="dxa"/>
              <w:start w:w="120" w:type="dxa"/>
              <w:end w:w="120" w:type="dxa"/>
            </w:tcMar>
          </w:tcPr>
          <w:p>
            <w:pPr>
              <w:spacing w:after="0"/>
            </w:pPr>
            <w:r>
              <w:rPr>
                <w:rFonts w:ascii="Calibri" w:hAnsi="Calibri"/>
                <w:b w:val="0"/>
                <w:i w:val="0"/>
                <w:color w:val="20252B"/>
                <w:sz w:val="15"/>
              </w:rPr>
              <w:t>Exercise all 25 DAT rows under applicable nominal, adversarial, degraded, partitioned, and recovery conditions.</w:t>
            </w:r>
          </w:p>
        </w:tc>
        <w:tc>
          <w:tcPr>
            <w:tcW w:type="dxa" w:w="3330"/>
            <w:vAlign w:val="center"/>
            <w:tcMar>
              <w:top w:w="80" w:type="dxa"/>
              <w:bottom w:w="80" w:type="dxa"/>
              <w:start w:w="120" w:type="dxa"/>
              <w:end w:w="120" w:type="dxa"/>
            </w:tcMar>
          </w:tcPr>
          <w:p>
            <w:pPr>
              <w:spacing w:after="0"/>
            </w:pPr>
            <w:r>
              <w:rPr>
                <w:rFonts w:ascii="Calibri" w:hAnsi="Calibri"/>
                <w:b w:val="0"/>
                <w:i w:val="0"/>
                <w:color w:val="20252B"/>
                <w:sz w:val="15"/>
              </w:rPr>
              <w:t>Negative-test results, residual threats, and evidence-quality assessment.</w:t>
            </w:r>
          </w:p>
        </w:tc>
      </w:tr>
      <w:tr>
        <w:trPr>
          <w:cantSplit w:val="true"/>
        </w:trPr>
        <w:tc>
          <w:tcPr>
            <w:tcW w:type="dxa" w:w="2050"/>
            <w:vAlign w:val="center"/>
            <w:tcMar>
              <w:top w:w="80" w:type="dxa"/>
              <w:bottom w:w="80" w:type="dxa"/>
              <w:start w:w="120" w:type="dxa"/>
              <w:end w:w="120" w:type="dxa"/>
            </w:tcMar>
          </w:tcPr>
          <w:p>
            <w:pPr>
              <w:spacing w:after="0"/>
            </w:pPr>
            <w:r>
              <w:rPr>
                <w:rFonts w:ascii="Calibri" w:hAnsi="Calibri"/>
                <w:b w:val="0"/>
                <w:i w:val="0"/>
                <w:color w:val="20252B"/>
                <w:sz w:val="15"/>
              </w:rPr>
              <w:t>Conformance repeatability</w:t>
            </w:r>
          </w:p>
        </w:tc>
        <w:tc>
          <w:tcPr>
            <w:tcW w:type="dxa" w:w="3980"/>
            <w:vAlign w:val="center"/>
            <w:tcMar>
              <w:top w:w="80" w:type="dxa"/>
              <w:bottom w:w="80" w:type="dxa"/>
              <w:start w:w="120" w:type="dxa"/>
              <w:end w:w="120" w:type="dxa"/>
            </w:tcMar>
          </w:tcPr>
          <w:p>
            <w:pPr>
              <w:spacing w:after="0"/>
            </w:pPr>
            <w:r>
              <w:rPr>
                <w:rFonts w:ascii="Calibri" w:hAnsi="Calibri"/>
                <w:b w:val="0"/>
                <w:i w:val="0"/>
                <w:color w:val="20252B"/>
                <w:sz w:val="15"/>
              </w:rPr>
              <w:t>Independent assessors evaluate the same bounded evidence package.</w:t>
            </w:r>
          </w:p>
        </w:tc>
        <w:tc>
          <w:tcPr>
            <w:tcW w:type="dxa" w:w="3330"/>
            <w:vAlign w:val="center"/>
            <w:tcMar>
              <w:top w:w="80" w:type="dxa"/>
              <w:bottom w:w="80" w:type="dxa"/>
              <w:start w:w="120" w:type="dxa"/>
              <w:end w:w="120" w:type="dxa"/>
            </w:tcMar>
          </w:tcPr>
          <w:p>
            <w:pPr>
              <w:spacing w:after="0"/>
            </w:pPr>
            <w:r>
              <w:rPr>
                <w:rFonts w:ascii="Calibri" w:hAnsi="Calibri"/>
                <w:b w:val="0"/>
                <w:i w:val="0"/>
                <w:color w:val="20252B"/>
                <w:sz w:val="15"/>
              </w:rPr>
              <w:t>Agreement statistics, disagreement taxonomy, adjudication record, and revised guidance.</w:t>
            </w:r>
          </w:p>
        </w:tc>
      </w:tr>
      <w:tr>
        <w:trPr>
          <w:cantSplit w:val="true"/>
        </w:trPr>
        <w:tc>
          <w:tcPr>
            <w:tcW w:type="dxa" w:w="2050"/>
            <w:vAlign w:val="center"/>
            <w:tcMar>
              <w:top w:w="80" w:type="dxa"/>
              <w:bottom w:w="80" w:type="dxa"/>
              <w:start w:w="120" w:type="dxa"/>
              <w:end w:w="120" w:type="dxa"/>
            </w:tcMar>
          </w:tcPr>
          <w:p>
            <w:pPr>
              <w:spacing w:after="0"/>
            </w:pPr>
            <w:r>
              <w:rPr>
                <w:rFonts w:ascii="Calibri" w:hAnsi="Calibri"/>
                <w:b w:val="0"/>
                <w:i w:val="0"/>
                <w:color w:val="20252B"/>
                <w:sz w:val="15"/>
              </w:rPr>
              <w:t>Maturity validity</w:t>
            </w:r>
          </w:p>
        </w:tc>
        <w:tc>
          <w:tcPr>
            <w:tcW w:type="dxa" w:w="3980"/>
            <w:vAlign w:val="center"/>
            <w:tcMar>
              <w:top w:w="80" w:type="dxa"/>
              <w:bottom w:w="80" w:type="dxa"/>
              <w:start w:w="120" w:type="dxa"/>
              <w:end w:w="120" w:type="dxa"/>
            </w:tcMar>
          </w:tcPr>
          <w:p>
            <w:pPr>
              <w:spacing w:after="0"/>
            </w:pPr>
            <w:r>
              <w:rPr>
                <w:rFonts w:ascii="Calibri" w:hAnsi="Calibri"/>
                <w:b w:val="0"/>
                <w:i w:val="0"/>
                <w:color w:val="20252B"/>
                <w:sz w:val="15"/>
              </w:rPr>
              <w:t>Compare assigned levels with observed operating behavior over time.</w:t>
            </w:r>
          </w:p>
        </w:tc>
        <w:tc>
          <w:tcPr>
            <w:tcW w:type="dxa" w:w="3330"/>
            <w:vAlign w:val="center"/>
            <w:tcMar>
              <w:top w:w="80" w:type="dxa"/>
              <w:bottom w:w="80" w:type="dxa"/>
              <w:start w:w="120" w:type="dxa"/>
              <w:end w:w="120" w:type="dxa"/>
            </w:tcMar>
          </w:tcPr>
          <w:p>
            <w:pPr>
              <w:spacing w:after="0"/>
            </w:pPr>
            <w:r>
              <w:rPr>
                <w:rFonts w:ascii="Calibri" w:hAnsi="Calibri"/>
                <w:b w:val="0"/>
                <w:i w:val="0"/>
                <w:color w:val="20252B"/>
                <w:sz w:val="15"/>
              </w:rPr>
              <w:t>Predictive/construct evidence, adverse cases, overrides, and level-change sensitivity.</w:t>
            </w:r>
          </w:p>
        </w:tc>
      </w:tr>
      <w:tr>
        <w:trPr>
          <w:cantSplit w:val="true"/>
        </w:trPr>
        <w:tc>
          <w:tcPr>
            <w:tcW w:type="dxa" w:w="2050"/>
            <w:vAlign w:val="center"/>
            <w:tcMar>
              <w:top w:w="80" w:type="dxa"/>
              <w:bottom w:w="80" w:type="dxa"/>
              <w:start w:w="120" w:type="dxa"/>
              <w:end w:w="120" w:type="dxa"/>
            </w:tcMar>
          </w:tcPr>
          <w:p>
            <w:pPr>
              <w:spacing w:after="0"/>
            </w:pPr>
            <w:r>
              <w:rPr>
                <w:rFonts w:ascii="Calibri" w:hAnsi="Calibri"/>
                <w:b w:val="0"/>
                <w:i w:val="0"/>
                <w:color w:val="20252B"/>
                <w:sz w:val="15"/>
              </w:rPr>
              <w:t>Human control</w:t>
            </w:r>
          </w:p>
        </w:tc>
        <w:tc>
          <w:tcPr>
            <w:tcW w:type="dxa" w:w="3980"/>
            <w:vAlign w:val="center"/>
            <w:tcMar>
              <w:top w:w="80" w:type="dxa"/>
              <w:bottom w:w="80" w:type="dxa"/>
              <w:start w:w="120" w:type="dxa"/>
              <w:end w:w="120" w:type="dxa"/>
            </w:tcMar>
          </w:tcPr>
          <w:p>
            <w:pPr>
              <w:spacing w:after="0"/>
            </w:pPr>
            <w:r>
              <w:rPr>
                <w:rFonts w:ascii="Calibri" w:hAnsi="Calibri"/>
                <w:b w:val="0"/>
                <w:i w:val="0"/>
                <w:color w:val="20252B"/>
                <w:sz w:val="15"/>
              </w:rPr>
              <w:t>Representative operators exercise oversight, takeover, escalation, and recovery by consequence class.</w:t>
            </w:r>
          </w:p>
        </w:tc>
        <w:tc>
          <w:tcPr>
            <w:tcW w:type="dxa" w:w="3330"/>
            <w:vAlign w:val="center"/>
            <w:tcMar>
              <w:top w:w="80" w:type="dxa"/>
              <w:bottom w:w="80" w:type="dxa"/>
              <w:start w:w="120" w:type="dxa"/>
              <w:end w:w="120" w:type="dxa"/>
            </w:tcMar>
          </w:tcPr>
          <w:p>
            <w:pPr>
              <w:spacing w:after="0"/>
            </w:pPr>
            <w:r>
              <w:rPr>
                <w:rFonts w:ascii="Calibri" w:hAnsi="Calibri"/>
                <w:b w:val="0"/>
                <w:i w:val="0"/>
                <w:color w:val="20252B"/>
                <w:sz w:val="15"/>
              </w:rPr>
              <w:t>Timing, workload, error, near-miss, usability, and mission-effect data.</w:t>
            </w:r>
          </w:p>
        </w:tc>
      </w:tr>
      <w:tr>
        <w:trPr>
          <w:cantSplit w:val="true"/>
        </w:trPr>
        <w:tc>
          <w:tcPr>
            <w:tcW w:type="dxa" w:w="2050"/>
            <w:vAlign w:val="center"/>
            <w:tcMar>
              <w:top w:w="80" w:type="dxa"/>
              <w:bottom w:w="80" w:type="dxa"/>
              <w:start w:w="120" w:type="dxa"/>
              <w:end w:w="120" w:type="dxa"/>
            </w:tcMar>
          </w:tcPr>
          <w:p>
            <w:pPr>
              <w:spacing w:after="0"/>
            </w:pPr>
            <w:r>
              <w:rPr>
                <w:rFonts w:ascii="Calibri" w:hAnsi="Calibri"/>
                <w:b w:val="0"/>
                <w:i w:val="0"/>
                <w:color w:val="20252B"/>
                <w:sz w:val="15"/>
              </w:rPr>
              <w:t>Cross-domain resilience</w:t>
            </w:r>
          </w:p>
        </w:tc>
        <w:tc>
          <w:tcPr>
            <w:tcW w:type="dxa" w:w="3980"/>
            <w:vAlign w:val="center"/>
            <w:tcMar>
              <w:top w:w="80" w:type="dxa"/>
              <w:bottom w:w="80" w:type="dxa"/>
              <w:start w:w="120" w:type="dxa"/>
              <w:end w:w="120" w:type="dxa"/>
            </w:tcMar>
          </w:tcPr>
          <w:p>
            <w:pPr>
              <w:spacing w:after="0"/>
            </w:pPr>
            <w:r>
              <w:rPr>
                <w:rFonts w:ascii="Calibri" w:hAnsi="Calibri"/>
                <w:b w:val="0"/>
                <w:i w:val="0"/>
                <w:color w:val="20252B"/>
                <w:sz w:val="15"/>
              </w:rPr>
              <w:t>Partition, stale-state, common-mode, supply-chain, PNT, and enforcement-outage scenarios.</w:t>
            </w:r>
          </w:p>
        </w:tc>
        <w:tc>
          <w:tcPr>
            <w:tcW w:type="dxa" w:w="3330"/>
            <w:vAlign w:val="center"/>
            <w:tcMar>
              <w:top w:w="80" w:type="dxa"/>
              <w:bottom w:w="80" w:type="dxa"/>
              <w:start w:w="120" w:type="dxa"/>
              <w:end w:w="120" w:type="dxa"/>
            </w:tcMar>
          </w:tcPr>
          <w:p>
            <w:pPr>
              <w:spacing w:after="0"/>
            </w:pPr>
            <w:r>
              <w:rPr>
                <w:rFonts w:ascii="Calibri" w:hAnsi="Calibri"/>
                <w:b w:val="0"/>
                <w:i w:val="0"/>
                <w:color w:val="20252B"/>
                <w:sz w:val="15"/>
              </w:rPr>
              <w:t>Demonstrated safe degradation, inhibition, reconciliation, and recovery bounds.</w:t>
            </w:r>
          </w:p>
        </w:tc>
      </w:tr>
    </w:tbl>
    <w:p>
      <w:pPr>
        <w:widowControl/>
        <w:spacing w:before="80" w:after="80"/>
      </w:pPr>
    </w:p>
    <w:p>
      <w:pPr>
        <w:pStyle w:val="Heading2"/>
        <w:widowControl/>
      </w:pPr>
      <w:r>
        <w:t>7.1 Proposed pilot sequence</w:t>
      </w:r>
    </w:p>
    <w:p>
      <w:pPr>
        <w:pStyle w:val="AERABullet"/>
        <w:widowControl/>
        <w:numPr>
          <w:ilvl w:val="0"/>
          <w:numId w:val="10"/>
        </w:numPr>
      </w:pPr>
      <w:r>
        <w:rPr>
          <w:rFonts w:ascii="Calibri" w:hAnsi="Calibri"/>
          <w:b w:val="0"/>
          <w:i w:val="0"/>
          <w:color w:val="20252B"/>
          <w:sz w:val="22"/>
        </w:rPr>
        <w:t>Pilot 1: bounded CC-0/CC-1 shadow and reversible decision classes; validate transaction observability and evidence capture.</w:t>
      </w:r>
    </w:p>
    <w:p>
      <w:pPr>
        <w:pStyle w:val="AERABullet"/>
        <w:widowControl/>
        <w:numPr>
          <w:ilvl w:val="0"/>
          <w:numId w:val="10"/>
        </w:numPr>
      </w:pPr>
      <w:r>
        <w:rPr>
          <w:rFonts w:ascii="Calibri" w:hAnsi="Calibri"/>
          <w:b w:val="0"/>
          <w:i w:val="0"/>
          <w:color w:val="20252B"/>
          <w:sz w:val="22"/>
        </w:rPr>
        <w:t>Pilot 2: CC-2 material actions with independent enforcement, exercised recovery, and explicit cumulative-risk limits.</w:t>
      </w:r>
    </w:p>
    <w:p>
      <w:pPr>
        <w:pStyle w:val="AERABullet"/>
        <w:widowControl/>
        <w:numPr>
          <w:ilvl w:val="0"/>
          <w:numId w:val="10"/>
        </w:numPr>
      </w:pPr>
      <w:r>
        <w:rPr>
          <w:rFonts w:ascii="Calibri" w:hAnsi="Calibri"/>
          <w:b w:val="0"/>
          <w:i w:val="0"/>
          <w:color w:val="20252B"/>
          <w:sz w:val="22"/>
        </w:rPr>
        <w:t>Pilot 3: cross-domain or degraded-operation cases with separate operators and assessors.</w:t>
      </w:r>
    </w:p>
    <w:p>
      <w:pPr>
        <w:pStyle w:val="AERABullet"/>
        <w:widowControl/>
        <w:numPr>
          <w:ilvl w:val="0"/>
          <w:numId w:val="10"/>
        </w:numPr>
      </w:pPr>
      <w:r>
        <w:rPr>
          <w:rFonts w:ascii="Calibri" w:hAnsi="Calibri"/>
          <w:b w:val="0"/>
          <w:i w:val="0"/>
          <w:color w:val="20252B"/>
          <w:sz w:val="22"/>
        </w:rPr>
        <w:t>Only after successful lower-consequence work should CC-3/CC-4 claims be considered, subject to sector-specific safety, legal, and authorization regimes.</w:t>
      </w:r>
    </w:p>
    <w:tbl>
      <w:tblPr>
        <w:tblW w:type="dxa" w:w="9360"/>
        <w:jc w:val="left"/>
        <w:tblLayout w:type="fixed"/>
        <w:tblLook w:firstColumn="1" w:firstRow="1" w:lastColumn="0" w:lastRow="0" w:noHBand="0" w:noVBand="1" w:val="04A0"/>
        <w:tblInd w:w="120" w:type="dxa"/>
      </w:tblPr>
      <w:tblGrid>
        <w:gridCol w:w="9360"/>
      </w:tblGrid>
      <w:tr>
        <w:trPr>
          <w:tblHeader w:val="true"/>
          <w:cantSplit w:val="true"/>
        </w:trPr>
        <w:tc>
          <w:tcPr>
            <w:tcW w:type="dxa" w:w="9360"/>
            <w:tcMar>
              <w:top w:w="80" w:type="dxa"/>
              <w:bottom w:w="80" w:type="dxa"/>
              <w:start w:w="120" w:type="dxa"/>
              <w:end w:w="120" w:type="dxa"/>
            </w:tcMar>
            <w:shd w:fill="FCEDED" w:val="clear"/>
            <w:vAlign w:val="center"/>
          </w:tcPr>
          <w:p>
            <w:pPr>
              <w:spacing w:after="0"/>
            </w:pPr>
            <w:r>
              <w:rPr>
                <w:rFonts w:ascii="Calibri" w:hAnsi="Calibri"/>
                <w:b/>
                <w:i w:val="0"/>
                <w:color w:val="9B1C1C"/>
                <w:sz w:val="21"/>
              </w:rPr>
              <w:t xml:space="preserve">NO INFERENCE: </w:t>
            </w:r>
            <w:r>
              <w:rPr>
                <w:rFonts w:ascii="Calibri" w:hAnsi="Calibri"/>
                <w:b w:val="0"/>
                <w:i w:val="0"/>
                <w:color w:val="20252B"/>
                <w:sz w:val="21"/>
              </w:rPr>
              <w:t>A successful pilot validates only its declared subject, decision population, configuration, context, evidence period, and acceptance criteria. It does not validate the framework universally.</w:t>
            </w:r>
          </w:p>
        </w:tc>
      </w:tr>
    </w:tbl>
    <w:p>
      <w:pPr>
        <w:widowControl/>
        <w:spacing w:after="40"/>
      </w:pPr>
    </w:p>
    <w:p>
      <w:pPr>
        <w:pStyle w:val="Heading1"/>
        <w:pageBreakBefore/>
        <w:widowControl/>
      </w:pPr>
      <w:r>
        <w:t>8. Findings, Release Gates, and Closure Evidence</w:t>
      </w:r>
    </w:p>
    <w:tbl>
      <w:tblPr>
        <w:tblStyle w:val="TableGrid"/>
        <w:tblW w:type="dxa" w:w="9360"/>
        <w:jc w:val="left"/>
        <w:tblLayout w:type="fixed"/>
        <w:tblLook w:firstColumn="1" w:firstRow="1" w:lastColumn="0" w:lastRow="0" w:noHBand="0" w:noVBand="1" w:val="04A0"/>
        <w:tblInd w:w="120" w:type="dxa"/>
      </w:tblPr>
      <w:tblGrid>
        <w:gridCol w:w="700"/>
        <w:gridCol w:w="700"/>
        <w:gridCol w:w="3850"/>
        <w:gridCol w:w="4110"/>
      </w:tblGrid>
      <w:tr>
        <w:trPr>
          <w:tblHeader w:val="true"/>
          <w:cantSplit w:val="true"/>
        </w:trPr>
        <w:tc>
          <w:tcPr>
            <w:tcW w:type="dxa" w:w="700"/>
            <w:shd w:fill="F2F4F7" w:val="clear"/>
            <w:vAlign w:val="center"/>
            <w:tcMar>
              <w:top w:w="80" w:type="dxa"/>
              <w:bottom w:w="80" w:type="dxa"/>
              <w:start w:w="120" w:type="dxa"/>
              <w:end w:w="120" w:type="dxa"/>
            </w:tcMar>
          </w:tcPr>
          <w:p>
            <w:pPr>
              <w:spacing w:after="0"/>
              <w:jc w:val="left"/>
            </w:pPr>
            <w:r>
              <w:rPr>
                <w:rFonts w:ascii="Calibri" w:hAnsi="Calibri"/>
                <w:b/>
                <w:i w:val="0"/>
                <w:color w:val="17324D"/>
                <w:sz w:val="15"/>
              </w:rPr>
              <w:t>ID</w:t>
            </w:r>
          </w:p>
        </w:tc>
        <w:tc>
          <w:tcPr>
            <w:tcW w:type="dxa" w:w="700"/>
            <w:shd w:fill="F2F4F7" w:val="clear"/>
            <w:vAlign w:val="center"/>
            <w:tcMar>
              <w:top w:w="80" w:type="dxa"/>
              <w:bottom w:w="80" w:type="dxa"/>
              <w:start w:w="120" w:type="dxa"/>
              <w:end w:w="120" w:type="dxa"/>
            </w:tcMar>
          </w:tcPr>
          <w:p>
            <w:pPr>
              <w:spacing w:after="0"/>
              <w:jc w:val="left"/>
            </w:pPr>
            <w:r>
              <w:rPr>
                <w:rFonts w:ascii="Calibri" w:hAnsi="Calibri"/>
                <w:b/>
                <w:i w:val="0"/>
                <w:color w:val="17324D"/>
                <w:sz w:val="15"/>
              </w:rPr>
              <w:t>Priority</w:t>
            </w:r>
          </w:p>
        </w:tc>
        <w:tc>
          <w:tcPr>
            <w:tcW w:type="dxa" w:w="3850"/>
            <w:shd w:fill="F2F4F7" w:val="clear"/>
            <w:vAlign w:val="center"/>
            <w:tcMar>
              <w:top w:w="80" w:type="dxa"/>
              <w:bottom w:w="80" w:type="dxa"/>
              <w:start w:w="120" w:type="dxa"/>
              <w:end w:w="120" w:type="dxa"/>
            </w:tcMar>
          </w:tcPr>
          <w:p>
            <w:pPr>
              <w:spacing w:after="0"/>
              <w:jc w:val="left"/>
            </w:pPr>
            <w:r>
              <w:rPr>
                <w:rFonts w:ascii="Calibri" w:hAnsi="Calibri"/>
                <w:b/>
                <w:i w:val="0"/>
                <w:color w:val="17324D"/>
                <w:sz w:val="15"/>
              </w:rPr>
              <w:t>Finding</w:t>
            </w:r>
          </w:p>
        </w:tc>
        <w:tc>
          <w:tcPr>
            <w:tcW w:type="dxa" w:w="4110"/>
            <w:shd w:fill="F2F4F7" w:val="clear"/>
            <w:vAlign w:val="center"/>
            <w:tcMar>
              <w:top w:w="80" w:type="dxa"/>
              <w:bottom w:w="80" w:type="dxa"/>
              <w:start w:w="120" w:type="dxa"/>
              <w:end w:w="120" w:type="dxa"/>
            </w:tcMar>
          </w:tcPr>
          <w:p>
            <w:pPr>
              <w:spacing w:after="0"/>
              <w:jc w:val="left"/>
            </w:pPr>
            <w:r>
              <w:rPr>
                <w:rFonts w:ascii="Calibri" w:hAnsi="Calibri"/>
                <w:b/>
                <w:i w:val="0"/>
                <w:color w:val="17324D"/>
                <w:sz w:val="15"/>
              </w:rPr>
              <w:t>Required closure evidence</w:t>
            </w:r>
          </w:p>
        </w:tc>
      </w:tr>
      <w:tr>
        <w:trPr>
          <w:cantSplit w:val="true"/>
        </w:trPr>
        <w:tc>
          <w:tcPr>
            <w:tcW w:type="dxa" w:w="700"/>
            <w:vAlign w:val="center"/>
            <w:tcMar>
              <w:top w:w="80" w:type="dxa"/>
              <w:bottom w:w="80" w:type="dxa"/>
              <w:start w:w="120" w:type="dxa"/>
              <w:end w:w="120" w:type="dxa"/>
            </w:tcMar>
          </w:tcPr>
          <w:p>
            <w:pPr>
              <w:spacing w:after="0"/>
            </w:pPr>
            <w:r>
              <w:rPr>
                <w:rFonts w:ascii="Calibri" w:hAnsi="Calibri"/>
                <w:b w:val="0"/>
                <w:i w:val="0"/>
                <w:color w:val="20252B"/>
                <w:sz w:val="15"/>
              </w:rPr>
              <w:t>I1-01</w:t>
            </w:r>
          </w:p>
        </w:tc>
        <w:tc>
          <w:tcPr>
            <w:tcW w:type="dxa" w:w="700"/>
            <w:vAlign w:val="center"/>
            <w:tcMar>
              <w:top w:w="80" w:type="dxa"/>
              <w:bottom w:w="80" w:type="dxa"/>
              <w:start w:w="120" w:type="dxa"/>
              <w:end w:w="120" w:type="dxa"/>
            </w:tcMar>
          </w:tcPr>
          <w:p>
            <w:pPr>
              <w:spacing w:after="0"/>
            </w:pPr>
            <w:r>
              <w:rPr>
                <w:rFonts w:ascii="Calibri" w:hAnsi="Calibri"/>
                <w:b w:val="0"/>
                <w:i w:val="0"/>
                <w:color w:val="20252B"/>
                <w:sz w:val="15"/>
              </w:rPr>
              <w:t>P0</w:t>
            </w:r>
          </w:p>
        </w:tc>
        <w:tc>
          <w:tcPr>
            <w:tcW w:type="dxa" w:w="3850"/>
            <w:vAlign w:val="center"/>
            <w:tcMar>
              <w:top w:w="80" w:type="dxa"/>
              <w:bottom w:w="80" w:type="dxa"/>
              <w:start w:w="120" w:type="dxa"/>
              <w:end w:w="120" w:type="dxa"/>
            </w:tcMar>
          </w:tcPr>
          <w:p>
            <w:pPr>
              <w:spacing w:after="0"/>
            </w:pPr>
            <w:r>
              <w:rPr>
                <w:rFonts w:ascii="Calibri" w:hAnsi="Calibri"/>
                <w:b w:val="0"/>
                <w:i w:val="0"/>
                <w:color w:val="20252B"/>
                <w:sz w:val="15"/>
              </w:rPr>
              <w:t>Redistribution and contribution terms are not yet declared.</w:t>
            </w:r>
          </w:p>
        </w:tc>
        <w:tc>
          <w:tcPr>
            <w:tcW w:type="dxa" w:w="4110"/>
            <w:vAlign w:val="center"/>
            <w:tcMar>
              <w:top w:w="80" w:type="dxa"/>
              <w:bottom w:w="80" w:type="dxa"/>
              <w:start w:w="120" w:type="dxa"/>
              <w:end w:w="120" w:type="dxa"/>
            </w:tcMar>
          </w:tcPr>
          <w:p>
            <w:pPr>
              <w:spacing w:after="0"/>
            </w:pPr>
            <w:r>
              <w:rPr>
                <w:rFonts w:ascii="Calibri" w:hAnsi="Calibri"/>
                <w:b w:val="0"/>
                <w:i w:val="0"/>
                <w:color w:val="20252B"/>
                <w:sz w:val="15"/>
              </w:rPr>
              <w:t>Approved license, contribution terms, rights statement, and publication authorization.</w:t>
            </w:r>
          </w:p>
        </w:tc>
      </w:tr>
      <w:tr>
        <w:trPr>
          <w:cantSplit w:val="true"/>
        </w:trPr>
        <w:tc>
          <w:tcPr>
            <w:tcW w:type="dxa" w:w="700"/>
            <w:vAlign w:val="center"/>
            <w:tcMar>
              <w:top w:w="80" w:type="dxa"/>
              <w:bottom w:w="80" w:type="dxa"/>
              <w:start w:w="120" w:type="dxa"/>
              <w:end w:w="120" w:type="dxa"/>
            </w:tcMar>
          </w:tcPr>
          <w:p>
            <w:pPr>
              <w:spacing w:after="0"/>
            </w:pPr>
            <w:r>
              <w:rPr>
                <w:rFonts w:ascii="Calibri" w:hAnsi="Calibri"/>
                <w:b w:val="0"/>
                <w:i w:val="0"/>
                <w:color w:val="20252B"/>
                <w:sz w:val="15"/>
              </w:rPr>
              <w:t>I1-02</w:t>
            </w:r>
          </w:p>
        </w:tc>
        <w:tc>
          <w:tcPr>
            <w:tcW w:type="dxa" w:w="700"/>
            <w:vAlign w:val="center"/>
            <w:tcMar>
              <w:top w:w="80" w:type="dxa"/>
              <w:bottom w:w="80" w:type="dxa"/>
              <w:start w:w="120" w:type="dxa"/>
              <w:end w:w="120" w:type="dxa"/>
            </w:tcMar>
          </w:tcPr>
          <w:p>
            <w:pPr>
              <w:spacing w:after="0"/>
            </w:pPr>
            <w:r>
              <w:rPr>
                <w:rFonts w:ascii="Calibri" w:hAnsi="Calibri"/>
                <w:b w:val="0"/>
                <w:i w:val="0"/>
                <w:color w:val="20252B"/>
                <w:sz w:val="15"/>
              </w:rPr>
              <w:t>P0</w:t>
            </w:r>
          </w:p>
        </w:tc>
        <w:tc>
          <w:tcPr>
            <w:tcW w:type="dxa" w:w="3850"/>
            <w:vAlign w:val="center"/>
            <w:tcMar>
              <w:top w:w="80" w:type="dxa"/>
              <w:bottom w:w="80" w:type="dxa"/>
              <w:start w:w="120" w:type="dxa"/>
              <w:end w:w="120" w:type="dxa"/>
            </w:tcMar>
          </w:tcPr>
          <w:p>
            <w:pPr>
              <w:spacing w:after="0"/>
            </w:pPr>
            <w:r>
              <w:rPr>
                <w:rFonts w:ascii="Calibri" w:hAnsi="Calibri"/>
                <w:b w:val="0"/>
                <w:i w:val="0"/>
                <w:color w:val="20252B"/>
                <w:sz w:val="15"/>
              </w:rPr>
              <w:t>Final fixed-layout release and byte-level manifest are not yet frozen.</w:t>
            </w:r>
          </w:p>
        </w:tc>
        <w:tc>
          <w:tcPr>
            <w:tcW w:type="dxa" w:w="4110"/>
            <w:vAlign w:val="center"/>
            <w:tcMar>
              <w:top w:w="80" w:type="dxa"/>
              <w:bottom w:w="80" w:type="dxa"/>
              <w:start w:w="120" w:type="dxa"/>
              <w:end w:w="120" w:type="dxa"/>
            </w:tcMar>
          </w:tcPr>
          <w:p>
            <w:pPr>
              <w:spacing w:after="0"/>
            </w:pPr>
            <w:r>
              <w:rPr>
                <w:rFonts w:ascii="Calibri" w:hAnsi="Calibri"/>
                <w:b w:val="0"/>
                <w:i w:val="0"/>
                <w:color w:val="20252B"/>
                <w:sz w:val="15"/>
              </w:rPr>
              <w:t>Rendered master/support PDFs, metadata validation, complete SHA-256 manifest, and clean-room file inventory.</w:t>
            </w:r>
          </w:p>
        </w:tc>
      </w:tr>
      <w:tr>
        <w:trPr>
          <w:cantSplit w:val="true"/>
        </w:trPr>
        <w:tc>
          <w:tcPr>
            <w:tcW w:type="dxa" w:w="700"/>
            <w:vAlign w:val="center"/>
            <w:tcMar>
              <w:top w:w="80" w:type="dxa"/>
              <w:bottom w:w="80" w:type="dxa"/>
              <w:start w:w="120" w:type="dxa"/>
              <w:end w:w="120" w:type="dxa"/>
            </w:tcMar>
          </w:tcPr>
          <w:p>
            <w:pPr>
              <w:spacing w:after="0"/>
            </w:pPr>
            <w:r>
              <w:rPr>
                <w:rFonts w:ascii="Calibri" w:hAnsi="Calibri"/>
                <w:b w:val="0"/>
                <w:i w:val="0"/>
                <w:color w:val="20252B"/>
                <w:sz w:val="15"/>
              </w:rPr>
              <w:t>I1-03</w:t>
            </w:r>
          </w:p>
        </w:tc>
        <w:tc>
          <w:tcPr>
            <w:tcW w:type="dxa" w:w="700"/>
            <w:vAlign w:val="center"/>
            <w:tcMar>
              <w:top w:w="80" w:type="dxa"/>
              <w:bottom w:w="80" w:type="dxa"/>
              <w:start w:w="120" w:type="dxa"/>
              <w:end w:w="120" w:type="dxa"/>
            </w:tcMar>
          </w:tcPr>
          <w:p>
            <w:pPr>
              <w:spacing w:after="0"/>
            </w:pPr>
            <w:r>
              <w:rPr>
                <w:rFonts w:ascii="Calibri" w:hAnsi="Calibri"/>
                <w:b w:val="0"/>
                <w:i w:val="0"/>
                <w:color w:val="20252B"/>
                <w:sz w:val="15"/>
              </w:rPr>
              <w:t>P1</w:t>
            </w:r>
          </w:p>
        </w:tc>
        <w:tc>
          <w:tcPr>
            <w:tcW w:type="dxa" w:w="3850"/>
            <w:vAlign w:val="center"/>
            <w:tcMar>
              <w:top w:w="80" w:type="dxa"/>
              <w:bottom w:w="80" w:type="dxa"/>
              <w:start w:w="120" w:type="dxa"/>
              <w:end w:w="120" w:type="dxa"/>
            </w:tcMar>
          </w:tcPr>
          <w:p>
            <w:pPr>
              <w:spacing w:after="0"/>
            </w:pPr>
            <w:r>
              <w:rPr>
                <w:rFonts w:ascii="Calibri" w:hAnsi="Calibri"/>
                <w:b w:val="0"/>
                <w:i w:val="0"/>
                <w:color w:val="20252B"/>
                <w:sz w:val="15"/>
              </w:rPr>
              <w:t>IR 8477/OLIR mapping assertions are developmental.</w:t>
            </w:r>
          </w:p>
        </w:tc>
        <w:tc>
          <w:tcPr>
            <w:tcW w:type="dxa" w:w="4110"/>
            <w:vAlign w:val="center"/>
            <w:tcMar>
              <w:top w:w="80" w:type="dxa"/>
              <w:bottom w:w="80" w:type="dxa"/>
              <w:start w:w="120" w:type="dxa"/>
              <w:end w:w="120" w:type="dxa"/>
            </w:tcMar>
          </w:tcPr>
          <w:p>
            <w:pPr>
              <w:spacing w:after="0"/>
            </w:pPr>
            <w:r>
              <w:rPr>
                <w:rFonts w:ascii="Calibri" w:hAnsi="Calibri"/>
                <w:b w:val="0"/>
                <w:i w:val="0"/>
                <w:color w:val="20252B"/>
                <w:sz w:val="15"/>
              </w:rPr>
              <w:t>Atomic mappings with exact targets, rationale, independent SME disposition, and template validation.</w:t>
            </w:r>
          </w:p>
        </w:tc>
      </w:tr>
      <w:tr>
        <w:trPr>
          <w:cantSplit w:val="true"/>
        </w:trPr>
        <w:tc>
          <w:tcPr>
            <w:tcW w:type="dxa" w:w="700"/>
            <w:vAlign w:val="center"/>
            <w:tcMar>
              <w:top w:w="80" w:type="dxa"/>
              <w:bottom w:w="80" w:type="dxa"/>
              <w:start w:w="120" w:type="dxa"/>
              <w:end w:w="120" w:type="dxa"/>
            </w:tcMar>
          </w:tcPr>
          <w:p>
            <w:pPr>
              <w:spacing w:after="0"/>
            </w:pPr>
            <w:r>
              <w:rPr>
                <w:rFonts w:ascii="Calibri" w:hAnsi="Calibri"/>
                <w:b w:val="0"/>
                <w:i w:val="0"/>
                <w:color w:val="20252B"/>
                <w:sz w:val="15"/>
              </w:rPr>
              <w:t>I1-04</w:t>
            </w:r>
          </w:p>
        </w:tc>
        <w:tc>
          <w:tcPr>
            <w:tcW w:type="dxa" w:w="700"/>
            <w:vAlign w:val="center"/>
            <w:tcMar>
              <w:top w:w="80" w:type="dxa"/>
              <w:bottom w:w="80" w:type="dxa"/>
              <w:start w:w="120" w:type="dxa"/>
              <w:end w:w="120" w:type="dxa"/>
            </w:tcMar>
          </w:tcPr>
          <w:p>
            <w:pPr>
              <w:spacing w:after="0"/>
            </w:pPr>
            <w:r>
              <w:rPr>
                <w:rFonts w:ascii="Calibri" w:hAnsi="Calibri"/>
                <w:b w:val="0"/>
                <w:i w:val="0"/>
                <w:color w:val="20252B"/>
                <w:sz w:val="15"/>
              </w:rPr>
              <w:t>P1</w:t>
            </w:r>
          </w:p>
        </w:tc>
        <w:tc>
          <w:tcPr>
            <w:tcW w:type="dxa" w:w="3850"/>
            <w:vAlign w:val="center"/>
            <w:tcMar>
              <w:top w:w="80" w:type="dxa"/>
              <w:bottom w:w="80" w:type="dxa"/>
              <w:start w:w="120" w:type="dxa"/>
              <w:end w:w="120" w:type="dxa"/>
            </w:tcMar>
          </w:tcPr>
          <w:p>
            <w:pPr>
              <w:spacing w:after="0"/>
            </w:pPr>
            <w:r>
              <w:rPr>
                <w:rFonts w:ascii="Calibri" w:hAnsi="Calibri"/>
                <w:b w:val="0"/>
                <w:i w:val="0"/>
                <w:color w:val="20252B"/>
                <w:sz w:val="15"/>
              </w:rPr>
              <w:t>No independent I2 technical/publication review has been completed.</w:t>
            </w:r>
          </w:p>
        </w:tc>
        <w:tc>
          <w:tcPr>
            <w:tcW w:type="dxa" w:w="4110"/>
            <w:vAlign w:val="center"/>
            <w:tcMar>
              <w:top w:w="80" w:type="dxa"/>
              <w:bottom w:w="80" w:type="dxa"/>
              <w:start w:w="120" w:type="dxa"/>
              <w:end w:w="120" w:type="dxa"/>
            </w:tcMar>
          </w:tcPr>
          <w:p>
            <w:pPr>
              <w:spacing w:after="0"/>
            </w:pPr>
            <w:r>
              <w:rPr>
                <w:rFonts w:ascii="Calibri" w:hAnsi="Calibri"/>
                <w:b w:val="0"/>
                <w:i w:val="0"/>
                <w:color w:val="20252B"/>
                <w:sz w:val="15"/>
              </w:rPr>
              <w:t>Qualified reviewer records, conflicts, defect dispositions, and closure verification.</w:t>
            </w:r>
          </w:p>
        </w:tc>
      </w:tr>
      <w:tr>
        <w:trPr>
          <w:cantSplit w:val="true"/>
        </w:trPr>
        <w:tc>
          <w:tcPr>
            <w:tcW w:type="dxa" w:w="700"/>
            <w:vAlign w:val="center"/>
            <w:tcMar>
              <w:top w:w="80" w:type="dxa"/>
              <w:bottom w:w="80" w:type="dxa"/>
              <w:start w:w="120" w:type="dxa"/>
              <w:end w:w="120" w:type="dxa"/>
            </w:tcMar>
          </w:tcPr>
          <w:p>
            <w:pPr>
              <w:spacing w:after="0"/>
            </w:pPr>
            <w:r>
              <w:rPr>
                <w:rFonts w:ascii="Calibri" w:hAnsi="Calibri"/>
                <w:b w:val="0"/>
                <w:i w:val="0"/>
                <w:color w:val="20252B"/>
                <w:sz w:val="15"/>
              </w:rPr>
              <w:t>I1-05</w:t>
            </w:r>
          </w:p>
        </w:tc>
        <w:tc>
          <w:tcPr>
            <w:tcW w:type="dxa" w:w="700"/>
            <w:vAlign w:val="center"/>
            <w:tcMar>
              <w:top w:w="80" w:type="dxa"/>
              <w:bottom w:w="80" w:type="dxa"/>
              <w:start w:w="120" w:type="dxa"/>
              <w:end w:w="120" w:type="dxa"/>
            </w:tcMar>
          </w:tcPr>
          <w:p>
            <w:pPr>
              <w:spacing w:after="0"/>
            </w:pPr>
            <w:r>
              <w:rPr>
                <w:rFonts w:ascii="Calibri" w:hAnsi="Calibri"/>
                <w:b w:val="0"/>
                <w:i w:val="0"/>
                <w:color w:val="20252B"/>
                <w:sz w:val="15"/>
              </w:rPr>
              <w:t>P1</w:t>
            </w:r>
          </w:p>
        </w:tc>
        <w:tc>
          <w:tcPr>
            <w:tcW w:type="dxa" w:w="3850"/>
            <w:vAlign w:val="center"/>
            <w:tcMar>
              <w:top w:w="80" w:type="dxa"/>
              <w:bottom w:w="80" w:type="dxa"/>
              <w:start w:w="120" w:type="dxa"/>
              <w:end w:w="120" w:type="dxa"/>
            </w:tcMar>
          </w:tcPr>
          <w:p>
            <w:pPr>
              <w:spacing w:after="0"/>
            </w:pPr>
            <w:r>
              <w:rPr>
                <w:rFonts w:ascii="Calibri" w:hAnsi="Calibri"/>
                <w:b w:val="0"/>
                <w:i w:val="0"/>
                <w:color w:val="20252B"/>
                <w:sz w:val="15"/>
              </w:rPr>
              <w:t>No consensus process has been completed.</w:t>
            </w:r>
          </w:p>
        </w:tc>
        <w:tc>
          <w:tcPr>
            <w:tcW w:type="dxa" w:w="4110"/>
            <w:vAlign w:val="center"/>
            <w:tcMar>
              <w:top w:w="80" w:type="dxa"/>
              <w:bottom w:w="80" w:type="dxa"/>
              <w:start w:w="120" w:type="dxa"/>
              <w:end w:w="120" w:type="dxa"/>
            </w:tcMar>
          </w:tcPr>
          <w:p>
            <w:pPr>
              <w:spacing w:after="0"/>
            </w:pPr>
            <w:r>
              <w:rPr>
                <w:rFonts w:ascii="Calibri" w:hAnsi="Calibri"/>
                <w:b w:val="0"/>
                <w:i w:val="0"/>
                <w:color w:val="20252B"/>
                <w:sz w:val="15"/>
              </w:rPr>
              <w:t>Defined participation model, review period, public comments, preserved dissent, and published dispositions.</w:t>
            </w:r>
          </w:p>
        </w:tc>
      </w:tr>
      <w:tr>
        <w:trPr>
          <w:cantSplit w:val="true"/>
        </w:trPr>
        <w:tc>
          <w:tcPr>
            <w:tcW w:type="dxa" w:w="700"/>
            <w:vAlign w:val="center"/>
            <w:tcMar>
              <w:top w:w="80" w:type="dxa"/>
              <w:bottom w:w="80" w:type="dxa"/>
              <w:start w:w="120" w:type="dxa"/>
              <w:end w:w="120" w:type="dxa"/>
            </w:tcMar>
          </w:tcPr>
          <w:p>
            <w:pPr>
              <w:spacing w:after="0"/>
            </w:pPr>
            <w:r>
              <w:rPr>
                <w:rFonts w:ascii="Calibri" w:hAnsi="Calibri"/>
                <w:b w:val="0"/>
                <w:i w:val="0"/>
                <w:color w:val="20252B"/>
                <w:sz w:val="15"/>
              </w:rPr>
              <w:t>I1-06</w:t>
            </w:r>
          </w:p>
        </w:tc>
        <w:tc>
          <w:tcPr>
            <w:tcW w:type="dxa" w:w="700"/>
            <w:vAlign w:val="center"/>
            <w:tcMar>
              <w:top w:w="80" w:type="dxa"/>
              <w:bottom w:w="80" w:type="dxa"/>
              <w:start w:w="120" w:type="dxa"/>
              <w:end w:w="120" w:type="dxa"/>
            </w:tcMar>
          </w:tcPr>
          <w:p>
            <w:pPr>
              <w:spacing w:after="0"/>
            </w:pPr>
            <w:r>
              <w:rPr>
                <w:rFonts w:ascii="Calibri" w:hAnsi="Calibri"/>
                <w:b w:val="0"/>
                <w:i w:val="0"/>
                <w:color w:val="20252B"/>
                <w:sz w:val="15"/>
              </w:rPr>
              <w:t>P1</w:t>
            </w:r>
          </w:p>
        </w:tc>
        <w:tc>
          <w:tcPr>
            <w:tcW w:type="dxa" w:w="3850"/>
            <w:vAlign w:val="center"/>
            <w:tcMar>
              <w:top w:w="80" w:type="dxa"/>
              <w:bottom w:w="80" w:type="dxa"/>
              <w:start w:w="120" w:type="dxa"/>
              <w:end w:w="120" w:type="dxa"/>
            </w:tcMar>
          </w:tcPr>
          <w:p>
            <w:pPr>
              <w:spacing w:after="0"/>
            </w:pPr>
            <w:r>
              <w:rPr>
                <w:rFonts w:ascii="Calibri" w:hAnsi="Calibri"/>
                <w:b w:val="0"/>
                <w:i w:val="0"/>
                <w:color w:val="20252B"/>
                <w:sz w:val="15"/>
              </w:rPr>
              <w:t>Conformance and maturity models lack I3 empirical validation.</w:t>
            </w:r>
          </w:p>
        </w:tc>
        <w:tc>
          <w:tcPr>
            <w:tcW w:type="dxa" w:w="4110"/>
            <w:vAlign w:val="center"/>
            <w:tcMar>
              <w:top w:w="80" w:type="dxa"/>
              <w:bottom w:w="80" w:type="dxa"/>
              <w:start w:w="120" w:type="dxa"/>
              <w:end w:w="120" w:type="dxa"/>
            </w:tcMar>
          </w:tcPr>
          <w:p>
            <w:pPr>
              <w:spacing w:after="0"/>
            </w:pPr>
            <w:r>
              <w:rPr>
                <w:rFonts w:ascii="Calibri" w:hAnsi="Calibri"/>
                <w:b w:val="0"/>
                <w:i w:val="0"/>
                <w:color w:val="20252B"/>
                <w:sz w:val="15"/>
              </w:rPr>
              <w:t>Multi-organization pilots, inter-rater study, metrics, limitations, and adverse results.</w:t>
            </w:r>
          </w:p>
        </w:tc>
      </w:tr>
      <w:tr>
        <w:trPr>
          <w:cantSplit w:val="true"/>
        </w:trPr>
        <w:tc>
          <w:tcPr>
            <w:tcW w:type="dxa" w:w="700"/>
            <w:vAlign w:val="center"/>
            <w:tcMar>
              <w:top w:w="80" w:type="dxa"/>
              <w:bottom w:w="80" w:type="dxa"/>
              <w:start w:w="120" w:type="dxa"/>
              <w:end w:w="120" w:type="dxa"/>
            </w:tcMar>
          </w:tcPr>
          <w:p>
            <w:pPr>
              <w:spacing w:after="0"/>
            </w:pPr>
            <w:r>
              <w:rPr>
                <w:rFonts w:ascii="Calibri" w:hAnsi="Calibri"/>
                <w:b w:val="0"/>
                <w:i w:val="0"/>
                <w:color w:val="20252B"/>
                <w:sz w:val="15"/>
              </w:rPr>
              <w:t>I1-07</w:t>
            </w:r>
          </w:p>
        </w:tc>
        <w:tc>
          <w:tcPr>
            <w:tcW w:type="dxa" w:w="700"/>
            <w:vAlign w:val="center"/>
            <w:tcMar>
              <w:top w:w="80" w:type="dxa"/>
              <w:bottom w:w="80" w:type="dxa"/>
              <w:start w:w="120" w:type="dxa"/>
              <w:end w:w="120" w:type="dxa"/>
            </w:tcMar>
          </w:tcPr>
          <w:p>
            <w:pPr>
              <w:spacing w:after="0"/>
            </w:pPr>
            <w:r>
              <w:rPr>
                <w:rFonts w:ascii="Calibri" w:hAnsi="Calibri"/>
                <w:b w:val="0"/>
                <w:i w:val="0"/>
                <w:color w:val="20252B"/>
                <w:sz w:val="15"/>
              </w:rPr>
              <w:t>P1</w:t>
            </w:r>
          </w:p>
        </w:tc>
        <w:tc>
          <w:tcPr>
            <w:tcW w:type="dxa" w:w="3850"/>
            <w:vAlign w:val="center"/>
            <w:tcMar>
              <w:top w:w="80" w:type="dxa"/>
              <w:bottom w:w="80" w:type="dxa"/>
              <w:start w:w="120" w:type="dxa"/>
              <w:end w:w="120" w:type="dxa"/>
            </w:tcMar>
          </w:tcPr>
          <w:p>
            <w:pPr>
              <w:spacing w:after="0"/>
            </w:pPr>
            <w:r>
              <w:rPr>
                <w:rFonts w:ascii="Calibri" w:hAnsi="Calibri"/>
                <w:b w:val="0"/>
                <w:i w:val="0"/>
                <w:color w:val="20252B"/>
                <w:sz w:val="15"/>
              </w:rPr>
              <w:t>Reference interfaces and event schemas remain design work.</w:t>
            </w:r>
          </w:p>
        </w:tc>
        <w:tc>
          <w:tcPr>
            <w:tcW w:type="dxa" w:w="4110"/>
            <w:vAlign w:val="center"/>
            <w:tcMar>
              <w:top w:w="80" w:type="dxa"/>
              <w:bottom w:w="80" w:type="dxa"/>
              <w:start w:w="120" w:type="dxa"/>
              <w:end w:w="120" w:type="dxa"/>
            </w:tcMar>
          </w:tcPr>
          <w:p>
            <w:pPr>
              <w:spacing w:after="0"/>
            </w:pPr>
            <w:r>
              <w:rPr>
                <w:rFonts w:ascii="Calibri" w:hAnsi="Calibri"/>
                <w:b w:val="0"/>
                <w:i w:val="0"/>
                <w:color w:val="20252B"/>
                <w:sz w:val="15"/>
              </w:rPr>
              <w:t>Versioned schemas, conformance tests, compatibility policy, and implementation evidence.</w:t>
            </w:r>
          </w:p>
        </w:tc>
      </w:tr>
      <w:tr>
        <w:trPr>
          <w:cantSplit w:val="true"/>
        </w:trPr>
        <w:tc>
          <w:tcPr>
            <w:tcW w:type="dxa" w:w="700"/>
            <w:vAlign w:val="center"/>
            <w:tcMar>
              <w:top w:w="80" w:type="dxa"/>
              <w:bottom w:w="80" w:type="dxa"/>
              <w:start w:w="120" w:type="dxa"/>
              <w:end w:w="120" w:type="dxa"/>
            </w:tcMar>
          </w:tcPr>
          <w:p>
            <w:pPr>
              <w:spacing w:after="0"/>
            </w:pPr>
            <w:r>
              <w:rPr>
                <w:rFonts w:ascii="Calibri" w:hAnsi="Calibri"/>
                <w:b w:val="0"/>
                <w:i w:val="0"/>
                <w:color w:val="20252B"/>
                <w:sz w:val="15"/>
              </w:rPr>
              <w:t>I1-08</w:t>
            </w:r>
          </w:p>
        </w:tc>
        <w:tc>
          <w:tcPr>
            <w:tcW w:type="dxa" w:w="700"/>
            <w:vAlign w:val="center"/>
            <w:tcMar>
              <w:top w:w="80" w:type="dxa"/>
              <w:bottom w:w="80" w:type="dxa"/>
              <w:start w:w="120" w:type="dxa"/>
              <w:end w:w="120" w:type="dxa"/>
            </w:tcMar>
          </w:tcPr>
          <w:p>
            <w:pPr>
              <w:spacing w:after="0"/>
            </w:pPr>
            <w:r>
              <w:rPr>
                <w:rFonts w:ascii="Calibri" w:hAnsi="Calibri"/>
                <w:b w:val="0"/>
                <w:i w:val="0"/>
                <w:color w:val="20252B"/>
                <w:sz w:val="15"/>
              </w:rPr>
              <w:t>P2</w:t>
            </w:r>
          </w:p>
        </w:tc>
        <w:tc>
          <w:tcPr>
            <w:tcW w:type="dxa" w:w="3850"/>
            <w:vAlign w:val="center"/>
            <w:tcMar>
              <w:top w:w="80" w:type="dxa"/>
              <w:bottom w:w="80" w:type="dxa"/>
              <w:start w:w="120" w:type="dxa"/>
              <w:end w:w="120" w:type="dxa"/>
            </w:tcMar>
          </w:tcPr>
          <w:p>
            <w:pPr>
              <w:spacing w:after="0"/>
            </w:pPr>
            <w:r>
              <w:rPr>
                <w:rFonts w:ascii="Calibri" w:hAnsi="Calibri"/>
                <w:b w:val="0"/>
                <w:i w:val="0"/>
                <w:color w:val="20252B"/>
                <w:sz w:val="15"/>
              </w:rPr>
              <w:t>Usability and assessor guidance require external testing.</w:t>
            </w:r>
          </w:p>
        </w:tc>
        <w:tc>
          <w:tcPr>
            <w:tcW w:type="dxa" w:w="4110"/>
            <w:vAlign w:val="center"/>
            <w:tcMar>
              <w:top w:w="80" w:type="dxa"/>
              <w:bottom w:w="80" w:type="dxa"/>
              <w:start w:w="120" w:type="dxa"/>
              <w:end w:w="120" w:type="dxa"/>
            </w:tcMar>
          </w:tcPr>
          <w:p>
            <w:pPr>
              <w:spacing w:after="0"/>
            </w:pPr>
            <w:r>
              <w:rPr>
                <w:rFonts w:ascii="Calibri" w:hAnsi="Calibri"/>
                <w:b w:val="0"/>
                <w:i w:val="0"/>
                <w:color w:val="20252B"/>
                <w:sz w:val="15"/>
              </w:rPr>
              <w:t>Task-based evaluation, reviewer feedback, ambiguity log, and revised guidance.</w:t>
            </w:r>
          </w:p>
        </w:tc>
      </w:tr>
    </w:tbl>
    <w:p>
      <w:pPr>
        <w:widowControl/>
        <w:spacing w:before="80" w:after="80"/>
      </w:pPr>
    </w:p>
    <w:tbl>
      <w:tblPr>
        <w:tblW w:type="dxa" w:w="9360"/>
        <w:jc w:val="left"/>
        <w:tblLayout w:type="fixed"/>
        <w:tblLook w:firstColumn="1" w:firstRow="1" w:lastColumn="0" w:lastRow="0" w:noHBand="0" w:noVBand="1" w:val="04A0"/>
        <w:tblInd w:w="120" w:type="dxa"/>
      </w:tblPr>
      <w:tblGrid>
        <w:gridCol w:w="9360"/>
      </w:tblGrid>
      <w:tr>
        <w:trPr>
          <w:tblHeader w:val="true"/>
          <w:cantSplit w:val="true"/>
        </w:trPr>
        <w:tc>
          <w:tcPr>
            <w:tcW w:type="dxa" w:w="9360"/>
            <w:tcMar>
              <w:top w:w="80" w:type="dxa"/>
              <w:bottom w:w="80" w:type="dxa"/>
              <w:start w:w="120" w:type="dxa"/>
              <w:end w:w="120" w:type="dxa"/>
            </w:tcMar>
            <w:shd w:fill="FFF5D6" w:val="clear"/>
            <w:vAlign w:val="center"/>
          </w:tcPr>
          <w:p>
            <w:pPr>
              <w:spacing w:after="0"/>
            </w:pPr>
            <w:r>
              <w:rPr>
                <w:rFonts w:ascii="Calibri" w:hAnsi="Calibri"/>
                <w:b/>
                <w:i w:val="0"/>
                <w:color w:val="A46F00"/>
                <w:sz w:val="21"/>
              </w:rPr>
              <w:t xml:space="preserve">RELEASE DECISION: </w:t>
            </w:r>
            <w:r>
              <w:rPr>
                <w:rFonts w:ascii="Calibri" w:hAnsi="Calibri"/>
                <w:b w:val="0"/>
                <w:i w:val="0"/>
                <w:color w:val="20252B"/>
                <w:sz w:val="21"/>
              </w:rPr>
              <w:t>AERA 1.2 WD may be published only as a developmental external technical discussion draft after P0 release controls close. P1 and P2 items may remain open if they are visible, owned, time-bounded, and do not support stronger claims.</w:t>
            </w:r>
          </w:p>
        </w:tc>
      </w:tr>
    </w:tbl>
    <w:p>
      <w:pPr>
        <w:widowControl/>
        <w:spacing w:after="40"/>
      </w:pPr>
    </w:p>
    <w:p>
      <w:pPr>
        <w:pStyle w:val="Heading1"/>
        <w:pageBreakBefore/>
        <w:widowControl/>
      </w:pPr>
      <w:r>
        <w:t>9. Recommended NIST Engagement Path</w:t>
      </w:r>
    </w:p>
    <w:p>
      <w:pPr>
        <w:widowControl/>
      </w:pPr>
      <w:r>
        <w:rPr>
          <w:rFonts w:ascii="Calibri" w:hAnsi="Calibri"/>
          <w:b w:val="0"/>
          <w:i w:val="0"/>
          <w:color w:val="20252B"/>
          <w:sz w:val="22"/>
        </w:rPr>
        <w:t>The strongest near-term path is evidence-first participation, not a request for endorsement. Each engagement should contribute bounded technical artifacts that can stand independently of AERA branding.</w:t>
      </w:r>
    </w:p>
    <w:p>
      <w:pPr>
        <w:pStyle w:val="AERANumber"/>
        <w:widowControl/>
        <w:numPr>
          <w:ilvl w:val="0"/>
          <w:numId w:val="13"/>
        </w:numPr>
      </w:pPr>
      <w:r>
        <w:rPr>
          <w:rFonts w:ascii="Calibri" w:hAnsi="Calibri"/>
          <w:b w:val="0"/>
          <w:i w:val="0"/>
          <w:color w:val="20252B"/>
          <w:sz w:val="22"/>
        </w:rPr>
        <w:t>Participate in the Trustworthy AI in Critical Infrastructure Profile community with concrete authority, guardrail, TEVV, recovery, and IT/OT mission-thread examples.</w:t>
      </w:r>
    </w:p>
    <w:p>
      <w:pPr>
        <w:pStyle w:val="AERANumber"/>
        <w:widowControl/>
        <w:numPr>
          <w:ilvl w:val="0"/>
          <w:numId w:val="13"/>
        </w:numPr>
      </w:pPr>
      <w:r>
        <w:rPr>
          <w:rFonts w:ascii="Calibri" w:hAnsi="Calibri"/>
          <w:b w:val="0"/>
          <w:i w:val="0"/>
          <w:color w:val="20252B"/>
          <w:sz w:val="22"/>
        </w:rPr>
        <w:t>Use the AI Risk Management Framework community resources to test whether AERA outcomes, metrics, and evidence improve practical risk management.</w:t>
      </w:r>
    </w:p>
    <w:p>
      <w:pPr>
        <w:pStyle w:val="AERANumber"/>
        <w:widowControl/>
        <w:numPr>
          <w:ilvl w:val="0"/>
          <w:numId w:val="13"/>
        </w:numPr>
      </w:pPr>
      <w:r>
        <w:rPr>
          <w:rFonts w:ascii="Calibri" w:hAnsi="Calibri"/>
          <w:b w:val="0"/>
          <w:i w:val="0"/>
          <w:color w:val="20252B"/>
          <w:sz w:val="22"/>
        </w:rPr>
        <w:t>Develop IR 8477-conformant atomic mapping lanes and seek independent subject-matter adjudication before considering a National OLIR submission.</w:t>
      </w:r>
    </w:p>
    <w:p>
      <w:pPr>
        <w:pStyle w:val="AERANumber"/>
        <w:widowControl/>
        <w:numPr>
          <w:ilvl w:val="0"/>
          <w:numId w:val="13"/>
        </w:numPr>
      </w:pPr>
      <w:r>
        <w:rPr>
          <w:rFonts w:ascii="Calibri" w:hAnsi="Calibri"/>
          <w:b w:val="0"/>
          <w:i w:val="0"/>
          <w:color w:val="20252B"/>
          <w:sz w:val="22"/>
        </w:rPr>
        <w:t>Consider an organization-level AI Consortium contribution only after license, contribution, affiliation, sponsorship, and conflict terms are resolved.</w:t>
      </w:r>
    </w:p>
    <w:p>
      <w:pPr>
        <w:pStyle w:val="AERANumber"/>
        <w:widowControl/>
        <w:numPr>
          <w:ilvl w:val="0"/>
          <w:numId w:val="13"/>
        </w:numPr>
      </w:pPr>
      <w:r>
        <w:rPr>
          <w:rFonts w:ascii="Calibri" w:hAnsi="Calibri"/>
          <w:b w:val="0"/>
          <w:i w:val="0"/>
          <w:color w:val="20252B"/>
          <w:sz w:val="22"/>
        </w:rPr>
        <w:t>Track the AI Agent Standards Initiative and related NCCoE work as context; respond to formal opportunities with bounded technical evidence.</w:t>
      </w:r>
    </w:p>
    <w:p>
      <w:pPr>
        <w:pStyle w:val="Heading2"/>
        <w:widowControl/>
      </w:pPr>
      <w:r>
        <w:t>9.1 Engagement language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val="true"/>
        </w:trPr>
        <w:tc>
          <w:tcPr>
            <w:tcW w:type="dxa" w:w="4680"/>
            <w:shd w:fill="F2F4F7" w:val="clear"/>
            <w:vAlign w:val="center"/>
            <w:tcMar>
              <w:top w:w="80" w:type="dxa"/>
              <w:bottom w:w="80" w:type="dxa"/>
              <w:start w:w="120" w:type="dxa"/>
              <w:end w:w="120" w:type="dxa"/>
            </w:tcMar>
          </w:tcPr>
          <w:p>
            <w:pPr>
              <w:spacing w:after="0"/>
              <w:jc w:val="left"/>
            </w:pPr>
            <w:r>
              <w:rPr>
                <w:rFonts w:ascii="Calibri" w:hAnsi="Calibri"/>
                <w:b/>
                <w:i w:val="0"/>
                <w:color w:val="17324D"/>
                <w:sz w:val="16"/>
              </w:rPr>
              <w:t>Use</w:t>
            </w:r>
          </w:p>
        </w:tc>
        <w:tc>
          <w:tcPr>
            <w:tcW w:type="dxa" w:w="4680"/>
            <w:shd w:fill="F2F4F7" w:val="clear"/>
            <w:vAlign w:val="center"/>
            <w:tcMar>
              <w:top w:w="80" w:type="dxa"/>
              <w:bottom w:w="80" w:type="dxa"/>
              <w:start w:w="120" w:type="dxa"/>
              <w:end w:w="120" w:type="dxa"/>
            </w:tcMar>
          </w:tcPr>
          <w:p>
            <w:pPr>
              <w:spacing w:after="0"/>
              <w:jc w:val="left"/>
            </w:pPr>
            <w:r>
              <w:rPr>
                <w:rFonts w:ascii="Calibri" w:hAnsi="Calibri"/>
                <w:b/>
                <w:i w:val="0"/>
                <w:color w:val="17324D"/>
                <w:sz w:val="16"/>
              </w:rPr>
              <w:t>Do not use</w:t>
            </w:r>
          </w:p>
        </w:tc>
      </w:tr>
      <w:tr>
        <w:trPr>
          <w:cantSplit w:val="true"/>
        </w:trPr>
        <w:tc>
          <w:tcPr>
            <w:tcW w:type="dxa" w:w="4680"/>
            <w:vAlign w:val="center"/>
            <w:tcMar>
              <w:top w:w="80" w:type="dxa"/>
              <w:bottom w:w="80" w:type="dxa"/>
              <w:start w:w="120" w:type="dxa"/>
              <w:end w:w="120" w:type="dxa"/>
            </w:tcMar>
          </w:tcPr>
          <w:p>
            <w:pPr>
              <w:spacing w:after="0"/>
            </w:pPr>
            <w:r>
              <w:rPr>
                <w:rFonts w:ascii="Calibri" w:hAnsi="Calibri"/>
                <w:b w:val="0"/>
                <w:i w:val="0"/>
                <w:color w:val="20252B"/>
                <w:sz w:val="16"/>
              </w:rPr>
              <w:t>Independently authored AERA 1.2 Working Draft</w:t>
            </w:r>
          </w:p>
        </w:tc>
        <w:tc>
          <w:tcPr>
            <w:tcW w:type="dxa" w:w="4680"/>
            <w:vAlign w:val="center"/>
            <w:tcMar>
              <w:top w:w="80" w:type="dxa"/>
              <w:bottom w:w="80" w:type="dxa"/>
              <w:start w:w="120" w:type="dxa"/>
              <w:end w:w="120" w:type="dxa"/>
            </w:tcMar>
          </w:tcPr>
          <w:p>
            <w:pPr>
              <w:spacing w:after="0"/>
            </w:pPr>
            <w:r>
              <w:rPr>
                <w:rFonts w:ascii="Calibri" w:hAnsi="Calibri"/>
                <w:b w:val="0"/>
                <w:i w:val="0"/>
                <w:color w:val="20252B"/>
                <w:sz w:val="16"/>
              </w:rPr>
              <w:t>NIST-supported, NIST-approved, or NIST-endorsed</w:t>
            </w:r>
          </w:p>
        </w:tc>
      </w:tr>
      <w:tr>
        <w:trPr>
          <w:cantSplit w:val="true"/>
        </w:trPr>
        <w:tc>
          <w:tcPr>
            <w:tcW w:type="dxa" w:w="4680"/>
            <w:vAlign w:val="center"/>
            <w:tcMar>
              <w:top w:w="80" w:type="dxa"/>
              <w:bottom w:w="80" w:type="dxa"/>
              <w:start w:w="120" w:type="dxa"/>
              <w:end w:w="120" w:type="dxa"/>
            </w:tcMar>
          </w:tcPr>
          <w:p>
            <w:pPr>
              <w:spacing w:after="0"/>
            </w:pPr>
            <w:r>
              <w:rPr>
                <w:rFonts w:ascii="Calibri" w:hAnsi="Calibri"/>
                <w:b w:val="0"/>
                <w:i w:val="0"/>
                <w:color w:val="20252B"/>
                <w:sz w:val="16"/>
              </w:rPr>
              <w:t>Designed for compatibility with selected NIST outcomes</w:t>
            </w:r>
          </w:p>
        </w:tc>
        <w:tc>
          <w:tcPr>
            <w:tcW w:type="dxa" w:w="4680"/>
            <w:vAlign w:val="center"/>
            <w:tcMar>
              <w:top w:w="80" w:type="dxa"/>
              <w:bottom w:w="80" w:type="dxa"/>
              <w:start w:w="120" w:type="dxa"/>
              <w:end w:w="120" w:type="dxa"/>
            </w:tcMar>
          </w:tcPr>
          <w:p>
            <w:pPr>
              <w:spacing w:after="0"/>
            </w:pPr>
            <w:r>
              <w:rPr>
                <w:rFonts w:ascii="Calibri" w:hAnsi="Calibri"/>
                <w:b w:val="0"/>
                <w:i w:val="0"/>
                <w:color w:val="20252B"/>
                <w:sz w:val="16"/>
              </w:rPr>
              <w:t>NIST-aligned without a defined mapping scope and adjudication status</w:t>
            </w:r>
          </w:p>
        </w:tc>
      </w:tr>
      <w:tr>
        <w:trPr>
          <w:cantSplit w:val="true"/>
        </w:trPr>
        <w:tc>
          <w:tcPr>
            <w:tcW w:type="dxa" w:w="4680"/>
            <w:vAlign w:val="center"/>
            <w:tcMar>
              <w:top w:w="80" w:type="dxa"/>
              <w:bottom w:w="80" w:type="dxa"/>
              <w:start w:w="120" w:type="dxa"/>
              <w:end w:w="120" w:type="dxa"/>
            </w:tcMar>
          </w:tcPr>
          <w:p>
            <w:pPr>
              <w:spacing w:after="0"/>
            </w:pPr>
            <w:r>
              <w:rPr>
                <w:rFonts w:ascii="Calibri" w:hAnsi="Calibri"/>
                <w:b w:val="0"/>
                <w:i w:val="0"/>
                <w:color w:val="20252B"/>
                <w:sz w:val="16"/>
              </w:rPr>
              <w:t>Candidate mapping under IR 8477 methodology</w:t>
            </w:r>
          </w:p>
        </w:tc>
        <w:tc>
          <w:tcPr>
            <w:tcW w:type="dxa" w:w="4680"/>
            <w:vAlign w:val="center"/>
            <w:tcMar>
              <w:top w:w="80" w:type="dxa"/>
              <w:bottom w:w="80" w:type="dxa"/>
              <w:start w:w="120" w:type="dxa"/>
              <w:end w:w="120" w:type="dxa"/>
            </w:tcMar>
          </w:tcPr>
          <w:p>
            <w:pPr>
              <w:spacing w:after="0"/>
            </w:pPr>
            <w:r>
              <w:rPr>
                <w:rFonts w:ascii="Calibri" w:hAnsi="Calibri"/>
                <w:b w:val="0"/>
                <w:i w:val="0"/>
                <w:color w:val="20252B"/>
                <w:sz w:val="16"/>
              </w:rPr>
              <w:t>NIST mapping, OLIR-ready, or OLIR-published without evidence</w:t>
            </w:r>
          </w:p>
        </w:tc>
      </w:tr>
      <w:tr>
        <w:trPr>
          <w:cantSplit w:val="true"/>
        </w:trPr>
        <w:tc>
          <w:tcPr>
            <w:tcW w:type="dxa" w:w="4680"/>
            <w:vAlign w:val="center"/>
            <w:tcMar>
              <w:top w:w="80" w:type="dxa"/>
              <w:bottom w:w="80" w:type="dxa"/>
              <w:start w:w="120" w:type="dxa"/>
              <w:end w:w="120" w:type="dxa"/>
            </w:tcMar>
          </w:tcPr>
          <w:p>
            <w:pPr>
              <w:spacing w:after="0"/>
            </w:pPr>
            <w:r>
              <w:rPr>
                <w:rFonts w:ascii="Calibri" w:hAnsi="Calibri"/>
                <w:b w:val="0"/>
                <w:i w:val="0"/>
                <w:color w:val="20252B"/>
                <w:sz w:val="16"/>
              </w:rPr>
              <w:t>Contributing technical input to an open process</w:t>
            </w:r>
          </w:p>
        </w:tc>
        <w:tc>
          <w:tcPr>
            <w:tcW w:type="dxa" w:w="4680"/>
            <w:vAlign w:val="center"/>
            <w:tcMar>
              <w:top w:w="80" w:type="dxa"/>
              <w:bottom w:w="80" w:type="dxa"/>
              <w:start w:w="120" w:type="dxa"/>
              <w:end w:w="120" w:type="dxa"/>
            </w:tcMar>
          </w:tcPr>
          <w:p>
            <w:pPr>
              <w:spacing w:after="0"/>
            </w:pPr>
            <w:r>
              <w:rPr>
                <w:rFonts w:ascii="Calibri" w:hAnsi="Calibri"/>
                <w:b w:val="0"/>
                <w:i w:val="0"/>
                <w:color w:val="20252B"/>
                <w:sz w:val="16"/>
              </w:rPr>
              <w:t>NIST is adopting AERA</w:t>
            </w:r>
          </w:p>
        </w:tc>
      </w:tr>
      <w:tr>
        <w:trPr>
          <w:cantSplit w:val="true"/>
        </w:trPr>
        <w:tc>
          <w:tcPr>
            <w:tcW w:type="dxa" w:w="4680"/>
            <w:vAlign w:val="center"/>
            <w:tcMar>
              <w:top w:w="80" w:type="dxa"/>
              <w:bottom w:w="80" w:type="dxa"/>
              <w:start w:w="120" w:type="dxa"/>
              <w:end w:w="120" w:type="dxa"/>
            </w:tcMar>
          </w:tcPr>
          <w:p>
            <w:pPr>
              <w:spacing w:after="0"/>
            </w:pPr>
            <w:r>
              <w:rPr>
                <w:rFonts w:ascii="Calibri" w:hAnsi="Calibri"/>
                <w:b w:val="0"/>
                <w:i w:val="0"/>
                <w:color w:val="20252B"/>
                <w:sz w:val="16"/>
              </w:rPr>
              <w:t>Pilot evidence for a bounded implementation</w:t>
            </w:r>
          </w:p>
        </w:tc>
        <w:tc>
          <w:tcPr>
            <w:tcW w:type="dxa" w:w="4680"/>
            <w:vAlign w:val="center"/>
            <w:tcMar>
              <w:top w:w="80" w:type="dxa"/>
              <w:bottom w:w="80" w:type="dxa"/>
              <w:start w:w="120" w:type="dxa"/>
              <w:end w:w="120" w:type="dxa"/>
            </w:tcMar>
          </w:tcPr>
          <w:p>
            <w:pPr>
              <w:spacing w:after="0"/>
            </w:pPr>
            <w:r>
              <w:rPr>
                <w:rFonts w:ascii="Calibri" w:hAnsi="Calibri"/>
                <w:b w:val="0"/>
                <w:i w:val="0"/>
                <w:color w:val="20252B"/>
                <w:sz w:val="16"/>
              </w:rPr>
              <w:t>AERA is validated or certified</w:t>
            </w:r>
          </w:p>
        </w:tc>
      </w:tr>
    </w:tbl>
    <w:p>
      <w:pPr>
        <w:widowControl/>
        <w:spacing w:before="80" w:after="80"/>
      </w:pPr>
    </w:p>
    <w:p>
      <w:pPr>
        <w:pStyle w:val="Heading1"/>
        <w:pageBreakBefore/>
        <w:widowControl/>
      </w:pPr>
      <w:r>
        <w:t>10. Selected Authoritative Sources</w:t>
      </w:r>
    </w:p>
    <w:p>
      <w:pPr>
        <w:widowControl/>
        <w:spacing w:after="200"/>
      </w:pPr>
      <w:r>
        <w:rPr>
          <w:rFonts w:ascii="Calibri" w:hAnsi="Calibri"/>
          <w:b/>
          <w:i w:val="0"/>
          <w:color w:val="17324D"/>
          <w:sz w:val="23"/>
        </w:rPr>
        <w:t>These sources define the NIST baselines, mapping method, and current participation pathways referenced by this I1 self-assessment.</w:t>
      </w:r>
    </w:p>
    <w:p>
      <w:pPr>
        <w:widowControl/>
        <w:spacing w:after="60"/>
      </w:pPr>
      <w:r>
        <w:rPr>
          <w:rFonts w:ascii="Calibri" w:hAnsi="Calibri"/>
          <w:b/>
          <w:i w:val="0"/>
          <w:color w:val="17324D"/>
          <w:sz w:val="17"/>
        </w:rPr>
        <w:t xml:space="preserve">NIST AI 100-1. Artificial Intelligence Risk Management Framework (AI RMF 1.0). </w:t>
      </w:r>
      <w:hyperlink r:id="rId11">
        <w:r>
          <w:rPr>
            <w:color w:val="2E74B5"/>
            <w:u w:val="single"/>
            <w:sz w:val="17"/>
          </w:rPr>
          <w:t>Open official source for NIST AI 100-1</w:t>
        </w:r>
      </w:hyperlink>
    </w:p>
    <w:p>
      <w:pPr>
        <w:widowControl/>
        <w:spacing w:after="60"/>
      </w:pPr>
      <w:r>
        <w:rPr>
          <w:rFonts w:ascii="Calibri" w:hAnsi="Calibri"/>
          <w:b/>
          <w:i w:val="0"/>
          <w:color w:val="17324D"/>
          <w:sz w:val="17"/>
        </w:rPr>
        <w:t xml:space="preserve">NIST AI RMF. Program and revision status page. </w:t>
      </w:r>
      <w:hyperlink r:id="rId12">
        <w:r>
          <w:rPr>
            <w:color w:val="2E74B5"/>
            <w:u w:val="single"/>
            <w:sz w:val="17"/>
          </w:rPr>
          <w:t>Open official source for NIST AI RMF</w:t>
        </w:r>
      </w:hyperlink>
    </w:p>
    <w:p>
      <w:pPr>
        <w:widowControl/>
        <w:spacing w:after="60"/>
      </w:pPr>
      <w:r>
        <w:rPr>
          <w:rFonts w:ascii="Calibri" w:hAnsi="Calibri"/>
          <w:b/>
          <w:i w:val="0"/>
          <w:color w:val="17324D"/>
          <w:sz w:val="17"/>
        </w:rPr>
        <w:t xml:space="preserve">NIST IR 8477. Mapping Relationships Between Documentary Standards, Regulations, Frameworks, and Guidelines. </w:t>
      </w:r>
      <w:hyperlink r:id="rId13">
        <w:r>
          <w:rPr>
            <w:color w:val="2E74B5"/>
            <w:u w:val="single"/>
            <w:sz w:val="17"/>
          </w:rPr>
          <w:t>Open official source for NIST IR 8477</w:t>
        </w:r>
      </w:hyperlink>
    </w:p>
    <w:p>
      <w:pPr>
        <w:widowControl/>
        <w:spacing w:after="60"/>
      </w:pPr>
      <w:r>
        <w:rPr>
          <w:rFonts w:ascii="Calibri" w:hAnsi="Calibri"/>
          <w:b/>
          <w:i w:val="0"/>
          <w:color w:val="17324D"/>
          <w:sz w:val="17"/>
        </w:rPr>
        <w:t xml:space="preserve">National OLIR. Online Informative References Program. </w:t>
      </w:r>
      <w:hyperlink r:id="rId14">
        <w:r>
          <w:rPr>
            <w:color w:val="2E74B5"/>
            <w:u w:val="single"/>
            <w:sz w:val="17"/>
          </w:rPr>
          <w:t>Open official source for National OLIR</w:t>
        </w:r>
      </w:hyperlink>
    </w:p>
    <w:p>
      <w:pPr>
        <w:widowControl/>
        <w:spacing w:after="60"/>
      </w:pPr>
      <w:r>
        <w:rPr>
          <w:rFonts w:ascii="Calibri" w:hAnsi="Calibri"/>
          <w:b/>
          <w:i w:val="0"/>
          <w:color w:val="17324D"/>
          <w:sz w:val="17"/>
        </w:rPr>
        <w:t xml:space="preserve">NIST CI Profile COI. Trustworthy AI in Critical Infrastructure profile concept and community. </w:t>
      </w:r>
      <w:hyperlink r:id="rId15">
        <w:r>
          <w:rPr>
            <w:color w:val="2E74B5"/>
            <w:u w:val="single"/>
            <w:sz w:val="17"/>
          </w:rPr>
          <w:t>Open official source for NIST CI Profile COI</w:t>
        </w:r>
      </w:hyperlink>
    </w:p>
    <w:p>
      <w:pPr>
        <w:widowControl/>
        <w:spacing w:after="60"/>
      </w:pPr>
      <w:r>
        <w:rPr>
          <w:rFonts w:ascii="Calibri" w:hAnsi="Calibri"/>
          <w:b/>
          <w:i w:val="0"/>
          <w:color w:val="17324D"/>
          <w:sz w:val="17"/>
        </w:rPr>
        <w:t xml:space="preserve">NIST AI Consortium. Letter of interest and participation process. </w:t>
      </w:r>
      <w:hyperlink r:id="rId16">
        <w:r>
          <w:rPr>
            <w:color w:val="2E74B5"/>
            <w:u w:val="single"/>
            <w:sz w:val="17"/>
          </w:rPr>
          <w:t>Open official source for NIST AI Consortium</w:t>
        </w:r>
      </w:hyperlink>
    </w:p>
    <w:p>
      <w:pPr>
        <w:widowControl/>
        <w:spacing w:after="60"/>
      </w:pPr>
      <w:r>
        <w:rPr>
          <w:rFonts w:ascii="Calibri" w:hAnsi="Calibri"/>
          <w:b/>
          <w:i w:val="0"/>
          <w:color w:val="17324D"/>
          <w:sz w:val="17"/>
        </w:rPr>
        <w:t xml:space="preserve">NIST AI Agent Standards. AI Agent Standards Initiative. </w:t>
      </w:r>
      <w:hyperlink r:id="rId17">
        <w:r>
          <w:rPr>
            <w:color w:val="2E74B5"/>
            <w:u w:val="single"/>
            <w:sz w:val="17"/>
          </w:rPr>
          <w:t>Open official source for NIST AI Agent Standards</w:t>
        </w:r>
      </w:hyperlink>
    </w:p>
    <w:tbl>
      <w:tblPr>
        <w:tblW w:type="dxa" w:w="9360"/>
        <w:jc w:val="left"/>
        <w:tblLayout w:type="fixed"/>
        <w:tblLook w:firstColumn="1" w:firstRow="1" w:lastColumn="0" w:lastRow="0" w:noHBand="0" w:noVBand="1" w:val="04A0"/>
        <w:tblInd w:w="120" w:type="dxa"/>
      </w:tblPr>
      <w:tblGrid>
        <w:gridCol w:w="9360"/>
      </w:tblGrid>
      <w:tr>
        <w:trPr>
          <w:tblHeader w:val="true"/>
          <w:cantSplit w:val="true"/>
        </w:trPr>
        <w:tc>
          <w:tcPr>
            <w:tcW w:type="dxa" w:w="9360"/>
            <w:tcMar>
              <w:top w:w="80" w:type="dxa"/>
              <w:bottom w:w="80" w:type="dxa"/>
              <w:start w:w="120" w:type="dxa"/>
              <w:end w:w="120" w:type="dxa"/>
            </w:tcMar>
            <w:shd w:fill="EAF4EE" w:val="clear"/>
            <w:vAlign w:val="center"/>
          </w:tcPr>
          <w:p>
            <w:pPr>
              <w:spacing w:after="0"/>
            </w:pPr>
            <w:r>
              <w:rPr>
                <w:rFonts w:ascii="Calibri" w:hAnsi="Calibri"/>
                <w:b/>
                <w:i w:val="0"/>
                <w:color w:val="2D6A4F"/>
                <w:sz w:val="21"/>
              </w:rPr>
              <w:t xml:space="preserve">FINAL I1 VERDICT: </w:t>
            </w:r>
            <w:r>
              <w:rPr>
                <w:rFonts w:ascii="Calibri" w:hAnsi="Calibri"/>
                <w:b w:val="0"/>
                <w:i w:val="0"/>
                <w:color w:val="20252B"/>
                <w:sz w:val="21"/>
              </w:rPr>
              <w:t>The 1.2 WD package is materially stronger and appropriate for bounded technical review. NIST compatibility is plausible and worth pursuing through open technical engagement, but NIST support cannot be promised, inferred, or represented without explicit NIST action and authorization.</w:t>
            </w:r>
          </w:p>
        </w:tc>
      </w:tr>
    </w:tbl>
    <w:p>
      <w:pPr>
        <w:widowControl/>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2616B"/>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spacing w:after="40"/>
      <w:jc w:val="left"/>
      <w:pBdr>
        <w:bottom w:val="single" w:sz="6" w:space="3" w:color="D7DBE2"/>
      </w:pBdr>
    </w:pPr>
    <w:r>
      <w:rPr>
        <w:rFonts w:ascii="Calibri" w:hAnsi="Calibri"/>
        <w:b/>
        <w:i w:val="0"/>
        <w:color w:val="52616B"/>
        <w:sz w:val="16"/>
      </w:rPr>
      <w:t>AERA 1.2 WD  |  INTEGRITY AND NIST READINESS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80" w:line="280" w:lineRule="auto"/>
      </w:pPr>
      <w:rPr>
        <w:rFonts w:ascii="Symbol" w:hAnsi="Symbol"/>
      </w:rPr>
    </w:lvl>
  </w:abstractNum>
  <w:num w:numId="10">
    <w:abstractNumId w:val="9"/>
  </w:num>
  <w:abstractNum w:abstractNumId="10">
    <w:multiLevelType w:val="singleLevel"/>
    <w:lvl w:ilvl="0">
      <w:start w:val="1"/>
      <w:numFmt w:val="decimal"/>
      <w:lvlText w:val="%1."/>
      <w:suff w:val="tab"/>
      <w:pPr>
        <w:tabs>
          <w:tab w:val="num" w:pos="720"/>
        </w:tabs>
        <w:ind w:left="720" w:hanging="360"/>
        <w:spacing w:after="80" w:line="280" w:lineRule="auto"/>
      </w:pPr>
    </w:lvl>
  </w:abstractNum>
  <w:num w:numId="11">
    <w:abstractNumId w:val="10"/>
  </w:num>
  <w:num w:numId="12">
    <w:abstractNumId w:val="10"/>
    <w:lvlOverride w:ilvl="0">
      <w:startOverride w:val="1"/>
    </w:lvlOverride>
  </w:num>
  <w:num w:numId="1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360"/>
    </w:pPr>
    <w:rPr>
      <w:rFonts w:asciiTheme="majorHAnsi" w:eastAsiaTheme="majorEastAsia" w:hAnsiTheme="majorHAnsi" w:cstheme="majorBidi" w:ascii="Calibri" w:hAnsi="Calibri"/>
      <w:b w:val="0"/>
      <w:i/>
      <w:iCs/>
      <w:color w:val="52616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ERABullet">
    <w:name w:val="AERA Bullet"/>
    <w:basedOn w:val="Normal"/>
    <w:pPr>
      <w:spacing w:after="160" w:line="280" w:lineRule="auto"/>
    </w:pPr>
    <w:rPr>
      <w:rFonts w:ascii="Calibri" w:hAnsi="Calibri"/>
      <w:sz w:val="22"/>
    </w:rPr>
  </w:style>
  <w:style w:type="paragraph" w:customStyle="1" w:styleId="AERANumber">
    <w:name w:val="AERA Number"/>
    <w:basedOn w:val="Normal"/>
    <w:pPr>
      <w:spacing w:after="160" w:line="280" w:lineRule="auto"/>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6028/NIST.AI.100-1" TargetMode="External"/><Relationship Id="rId12" Type="http://schemas.openxmlformats.org/officeDocument/2006/relationships/hyperlink" Target="https://www.nist.gov/itl/ai-risk-management-framework" TargetMode="External"/><Relationship Id="rId13" Type="http://schemas.openxmlformats.org/officeDocument/2006/relationships/hyperlink" Target="https://csrc.nist.gov/pubs/ir/8477/final" TargetMode="External"/><Relationship Id="rId14" Type="http://schemas.openxmlformats.org/officeDocument/2006/relationships/hyperlink" Target="https://csrc.nist.gov/Projects/olir" TargetMode="External"/><Relationship Id="rId15" Type="http://schemas.openxmlformats.org/officeDocument/2006/relationships/hyperlink" Target="https://www.nist.gov/programs-projects/concept-note-ai-rmf-profile-trustworthy-ai-critical-infrastructure" TargetMode="External"/><Relationship Id="rId16" Type="http://schemas.openxmlformats.org/officeDocument/2006/relationships/hyperlink" Target="https://www.nist.gov/artificial-intelligence/nist-ai-consortium/submit-letter-interest-join-nist-ai-consortium" TargetMode="External"/><Relationship Id="rId17" Type="http://schemas.openxmlformats.org/officeDocument/2006/relationships/hyperlink" Target="https://www.nist.gov/artificial-intelligence/ai-agent-standards-initiat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AERA 1.2 WD - Architecture Integrity and NIST Readiness Review</dc:title>
  <dc:subject>AERA 1.2 Working Draft external technical review support</dc:subject>
  <dc:creator>Angelis Pseftis</dc:creator>
  <cp:keywords>AERA; autonomous systems; decision authority; NIST AI RMF; cybersecurity; conformance; public review</cp:keywords>
  <dc:description>Independently authored working draft. No government endorsement or NIST support claim.</dc:description>
  <cp:lastModifiedBy>Angelis Pseftis</cp:lastModifiedBy>
  <cp:revision>1</cp:revision>
  <dcterms:created xsi:type="dcterms:W3CDTF">2026-08-07T13:00:00Z</dcterms:created>
  <dcterms:modified xsi:type="dcterms:W3CDTF">2026-08-07T13:00:00Z</dcterms:modified>
  <cp:category>External Technical Working Draft</cp:category>
  <cp:contentStatus>Working Draft</cp:contentStatus>
</cp:coreProperties>
</file>