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000" w:after="320"/>
      </w:pPr>
    </w:p>
    <w:p>
      <w:pPr>
        <w:widowControl/>
        <w:spacing w:after="240"/>
        <w:jc w:val="center"/>
      </w:pPr>
      <w:r>
        <w:rPr>
          <w:rFonts w:ascii="Calibri" w:hAnsi="Calibri"/>
          <w:b/>
          <w:i w:val="0"/>
          <w:color w:val="A46F00"/>
          <w:sz w:val="20"/>
        </w:rPr>
        <w:t>EXTERNAL TECHNICAL DISCUSSION DRAFT</w:t>
      </w:r>
    </w:p>
    <w:p>
      <w:pPr>
        <w:pStyle w:val="Title"/>
        <w:widowControl/>
        <w:jc w:val="center"/>
      </w:pPr>
      <w:r>
        <w:t>Public Review Brief</w:t>
      </w:r>
    </w:p>
    <w:p>
      <w:pPr>
        <w:pStyle w:val="Subtitle"/>
        <w:widowControl/>
        <w:jc w:val="center"/>
      </w:pPr>
      <w:r>
        <w:t>The Autonomous Enterprise Reference Architecture - governance and assurance for delegated autonomous decision authority</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cantSplit w:val="true"/>
        </w:trPr>
        <w:tc>
          <w:tcPr>
            <w:tcW w:type="dxa" w:w="2300"/>
            <w:shd w:fill="F2F4F7" w:val="clear"/>
            <w:vAlign w:val="center"/>
            <w:tcMar>
              <w:top w:w="80" w:type="dxa"/>
              <w:bottom w:w="80" w:type="dxa"/>
              <w:start w:w="120" w:type="dxa"/>
              <w:end w:w="120" w:type="dxa"/>
            </w:tcMar>
          </w:tcPr>
          <w:p>
            <w:pPr>
              <w:spacing w:after="0"/>
              <w:jc w:val="left"/>
            </w:pPr>
            <w:r>
              <w:rPr>
                <w:rFonts w:ascii="Calibri" w:hAnsi="Calibri"/>
                <w:b/>
                <w:i w:val="0"/>
                <w:color w:val="17324D"/>
                <w:sz w:val="18"/>
              </w:rPr>
              <w:t>Field</w:t>
            </w:r>
          </w:p>
        </w:tc>
        <w:tc>
          <w:tcPr>
            <w:tcW w:type="dxa" w:w="7060"/>
            <w:shd w:fill="F2F4F7" w:val="clear"/>
            <w:vAlign w:val="center"/>
            <w:tcMar>
              <w:top w:w="80" w:type="dxa"/>
              <w:bottom w:w="80" w:type="dxa"/>
              <w:start w:w="120" w:type="dxa"/>
              <w:end w:w="120" w:type="dxa"/>
            </w:tcMar>
          </w:tcPr>
          <w:p>
            <w:pPr>
              <w:spacing w:after="0"/>
              <w:jc w:val="left"/>
            </w:pPr>
            <w:r>
              <w:rPr>
                <w:rFonts w:ascii="Calibri" w:hAnsi="Calibri"/>
                <w:b/>
                <w:i w:val="0"/>
                <w:color w:val="17324D"/>
                <w:sz w:val="18"/>
              </w:rPr>
              <w:t>Controlled value</w:t>
            </w:r>
          </w:p>
        </w:tc>
      </w:tr>
      <w:tr>
        <w:trPr>
          <w:cantSplit w:val="true"/>
        </w:trPr>
        <w:tc>
          <w:tcPr>
            <w:tcW w:type="dxa" w:w="2300"/>
            <w:vAlign w:val="center"/>
            <w:tcMar>
              <w:top w:w="80" w:type="dxa"/>
              <w:bottom w:w="80" w:type="dxa"/>
              <w:start w:w="120" w:type="dxa"/>
              <w:end w:w="120" w:type="dxa"/>
            </w:tcMar>
          </w:tcPr>
          <w:p>
            <w:pPr>
              <w:spacing w:after="0"/>
            </w:pPr>
            <w:r>
              <w:rPr>
                <w:rFonts w:ascii="Calibri" w:hAnsi="Calibri"/>
                <w:b w:val="0"/>
                <w:i w:val="0"/>
                <w:color w:val="20252B"/>
                <w:sz w:val="18"/>
              </w:rPr>
              <w:t>Specification</w:t>
            </w:r>
          </w:p>
        </w:tc>
        <w:tc>
          <w:tcPr>
            <w:tcW w:type="dxa" w:w="7060"/>
            <w:vAlign w:val="center"/>
            <w:tcMar>
              <w:top w:w="80" w:type="dxa"/>
              <w:bottom w:w="80" w:type="dxa"/>
              <w:start w:w="120" w:type="dxa"/>
              <w:end w:w="120" w:type="dxa"/>
            </w:tcMar>
          </w:tcPr>
          <w:p>
            <w:pPr>
              <w:spacing w:after="0"/>
            </w:pPr>
            <w:r>
              <w:rPr>
                <w:rFonts w:ascii="Calibri" w:hAnsi="Calibri"/>
                <w:b w:val="0"/>
                <w:i w:val="0"/>
                <w:color w:val="20252B"/>
                <w:sz w:val="18"/>
              </w:rPr>
              <w:t>AERA-001</w:t>
            </w:r>
          </w:p>
        </w:tc>
      </w:tr>
      <w:tr>
        <w:trPr>
          <w:cantSplit w:val="true"/>
        </w:trPr>
        <w:tc>
          <w:tcPr>
            <w:tcW w:type="dxa" w:w="2300"/>
            <w:vAlign w:val="center"/>
            <w:tcMar>
              <w:top w:w="80" w:type="dxa"/>
              <w:bottom w:w="80" w:type="dxa"/>
              <w:start w:w="120" w:type="dxa"/>
              <w:end w:w="120" w:type="dxa"/>
            </w:tcMar>
          </w:tcPr>
          <w:p>
            <w:pPr>
              <w:spacing w:after="0"/>
            </w:pPr>
            <w:r>
              <w:rPr>
                <w:rFonts w:ascii="Calibri" w:hAnsi="Calibri"/>
                <w:b w:val="0"/>
                <w:i w:val="0"/>
                <w:color w:val="20252B"/>
                <w:sz w:val="18"/>
              </w:rPr>
              <w:t>Edition</w:t>
            </w:r>
          </w:p>
        </w:tc>
        <w:tc>
          <w:tcPr>
            <w:tcW w:type="dxa" w:w="7060"/>
            <w:vAlign w:val="center"/>
            <w:tcMar>
              <w:top w:w="80" w:type="dxa"/>
              <w:bottom w:w="80" w:type="dxa"/>
              <w:start w:w="120" w:type="dxa"/>
              <w:end w:w="120" w:type="dxa"/>
            </w:tcMar>
          </w:tcPr>
          <w:p>
            <w:pPr>
              <w:spacing w:after="0"/>
            </w:pPr>
            <w:r>
              <w:rPr>
                <w:rFonts w:ascii="Calibri" w:hAnsi="Calibri"/>
                <w:b w:val="0"/>
                <w:i w:val="0"/>
                <w:color w:val="20252B"/>
                <w:sz w:val="18"/>
              </w:rPr>
              <w:t>1.2 Working Draft</w:t>
            </w:r>
          </w:p>
        </w:tc>
      </w:tr>
      <w:tr>
        <w:trPr>
          <w:cantSplit w:val="true"/>
        </w:trPr>
        <w:tc>
          <w:tcPr>
            <w:tcW w:type="dxa" w:w="2300"/>
            <w:vAlign w:val="center"/>
            <w:tcMar>
              <w:top w:w="80" w:type="dxa"/>
              <w:bottom w:w="80" w:type="dxa"/>
              <w:start w:w="120" w:type="dxa"/>
              <w:end w:w="120" w:type="dxa"/>
            </w:tcMar>
          </w:tcPr>
          <w:p>
            <w:pPr>
              <w:spacing w:after="0"/>
            </w:pPr>
            <w:r>
              <w:rPr>
                <w:rFonts w:ascii="Calibri" w:hAnsi="Calibri"/>
                <w:b w:val="0"/>
                <w:i w:val="0"/>
                <w:color w:val="20252B"/>
                <w:sz w:val="18"/>
              </w:rPr>
              <w:t>Package build</w:t>
            </w:r>
          </w:p>
        </w:tc>
        <w:tc>
          <w:tcPr>
            <w:tcW w:type="dxa" w:w="7060"/>
            <w:vAlign w:val="center"/>
            <w:tcMar>
              <w:top w:w="80" w:type="dxa"/>
              <w:bottom w:w="80" w:type="dxa"/>
              <w:start w:w="120" w:type="dxa"/>
              <w:end w:w="120" w:type="dxa"/>
            </w:tcMar>
          </w:tcPr>
          <w:p>
            <w:pPr>
              <w:spacing w:after="0"/>
            </w:pPr>
            <w:r>
              <w:rPr>
                <w:rFonts w:ascii="Calibri" w:hAnsi="Calibri"/>
                <w:b w:val="0"/>
                <w:i w:val="0"/>
                <w:color w:val="20252B"/>
                <w:sz w:val="18"/>
              </w:rPr>
              <w:t>AERA-001-1.2WD-20260807.1</w:t>
            </w:r>
          </w:p>
        </w:tc>
      </w:tr>
      <w:tr>
        <w:trPr>
          <w:cantSplit w:val="true"/>
        </w:trPr>
        <w:tc>
          <w:tcPr>
            <w:tcW w:type="dxa" w:w="2300"/>
            <w:vAlign w:val="center"/>
            <w:tcMar>
              <w:top w:w="80" w:type="dxa"/>
              <w:bottom w:w="80" w:type="dxa"/>
              <w:start w:w="120" w:type="dxa"/>
              <w:end w:w="120" w:type="dxa"/>
            </w:tcMar>
          </w:tcPr>
          <w:p>
            <w:pPr>
              <w:spacing w:after="0"/>
            </w:pPr>
            <w:r>
              <w:rPr>
                <w:rFonts w:ascii="Calibri" w:hAnsi="Calibri"/>
                <w:b w:val="0"/>
                <w:i w:val="0"/>
                <w:color w:val="20252B"/>
                <w:sz w:val="18"/>
              </w:rPr>
              <w:t>Author</w:t>
            </w:r>
          </w:p>
        </w:tc>
        <w:tc>
          <w:tcPr>
            <w:tcW w:type="dxa" w:w="7060"/>
            <w:vAlign w:val="center"/>
            <w:tcMar>
              <w:top w:w="80" w:type="dxa"/>
              <w:bottom w:w="80" w:type="dxa"/>
              <w:start w:w="120" w:type="dxa"/>
              <w:end w:w="120" w:type="dxa"/>
            </w:tcMar>
          </w:tcPr>
          <w:p>
            <w:pPr>
              <w:spacing w:after="0"/>
            </w:pPr>
            <w:r>
              <w:rPr>
                <w:rFonts w:ascii="Calibri" w:hAnsi="Calibri"/>
                <w:b w:val="0"/>
                <w:i w:val="0"/>
                <w:color w:val="20252B"/>
                <w:sz w:val="18"/>
              </w:rPr>
              <w:t>Angelis Pseftis</w:t>
            </w:r>
          </w:p>
        </w:tc>
      </w:tr>
      <w:tr>
        <w:trPr>
          <w:cantSplit w:val="true"/>
        </w:trPr>
        <w:tc>
          <w:tcPr>
            <w:tcW w:type="dxa" w:w="2300"/>
            <w:vAlign w:val="center"/>
            <w:tcMar>
              <w:top w:w="80" w:type="dxa"/>
              <w:bottom w:w="80" w:type="dxa"/>
              <w:start w:w="120" w:type="dxa"/>
              <w:end w:w="120" w:type="dxa"/>
            </w:tcMar>
          </w:tcPr>
          <w:p>
            <w:pPr>
              <w:spacing w:after="0"/>
            </w:pPr>
            <w:r>
              <w:rPr>
                <w:rFonts w:ascii="Calibri" w:hAnsi="Calibri"/>
                <w:b w:val="0"/>
                <w:i w:val="0"/>
                <w:color w:val="20252B"/>
                <w:sz w:val="18"/>
              </w:rPr>
              <w:t>Affiliation</w:t>
            </w:r>
          </w:p>
        </w:tc>
        <w:tc>
          <w:tcPr>
            <w:tcW w:type="dxa" w:w="7060"/>
            <w:vAlign w:val="center"/>
            <w:tcMar>
              <w:top w:w="80" w:type="dxa"/>
              <w:bottom w:w="80" w:type="dxa"/>
              <w:start w:w="120" w:type="dxa"/>
              <w:end w:w="120" w:type="dxa"/>
            </w:tcMar>
          </w:tcPr>
          <w:p>
            <w:pPr>
              <w:spacing w:after="0"/>
            </w:pPr>
            <w:r>
              <w:rPr>
                <w:rFonts w:ascii="Calibri" w:hAnsi="Calibri"/>
                <w:b w:val="0"/>
                <w:i w:val="0"/>
                <w:color w:val="20252B"/>
                <w:sz w:val="18"/>
              </w:rPr>
              <w:t>Independent author</w:t>
            </w:r>
          </w:p>
        </w:tc>
      </w:tr>
      <w:tr>
        <w:trPr>
          <w:cantSplit w:val="true"/>
        </w:trPr>
        <w:tc>
          <w:tcPr>
            <w:tcW w:type="dxa" w:w="2300"/>
            <w:vAlign w:val="center"/>
            <w:tcMar>
              <w:top w:w="80" w:type="dxa"/>
              <w:bottom w:w="80" w:type="dxa"/>
              <w:start w:w="120" w:type="dxa"/>
              <w:end w:w="120" w:type="dxa"/>
            </w:tcMar>
          </w:tcPr>
          <w:p>
            <w:pPr>
              <w:spacing w:after="0"/>
            </w:pPr>
            <w:r>
              <w:rPr>
                <w:rFonts w:ascii="Calibri" w:hAnsi="Calibri"/>
                <w:b w:val="0"/>
                <w:i w:val="0"/>
                <w:color w:val="20252B"/>
                <w:sz w:val="18"/>
              </w:rPr>
              <w:t>Document date</w:t>
            </w:r>
          </w:p>
        </w:tc>
        <w:tc>
          <w:tcPr>
            <w:tcW w:type="dxa" w:w="7060"/>
            <w:vAlign w:val="center"/>
            <w:tcMar>
              <w:top w:w="80" w:type="dxa"/>
              <w:bottom w:w="80" w:type="dxa"/>
              <w:start w:w="120" w:type="dxa"/>
              <w:end w:w="120" w:type="dxa"/>
            </w:tcMar>
          </w:tcPr>
          <w:p>
            <w:pPr>
              <w:spacing w:after="0"/>
            </w:pPr>
            <w:r>
              <w:rPr>
                <w:rFonts w:ascii="Calibri" w:hAnsi="Calibri"/>
                <w:b w:val="0"/>
                <w:i w:val="0"/>
                <w:color w:val="20252B"/>
                <w:sz w:val="18"/>
              </w:rPr>
              <w:t>7 August 2026</w:t>
            </w:r>
          </w:p>
        </w:tc>
      </w:tr>
      <w:tr>
        <w:trPr>
          <w:cantSplit w:val="true"/>
        </w:trPr>
        <w:tc>
          <w:tcPr>
            <w:tcW w:type="dxa" w:w="2300"/>
            <w:vAlign w:val="center"/>
            <w:tcMar>
              <w:top w:w="80" w:type="dxa"/>
              <w:bottom w:w="80" w:type="dxa"/>
              <w:start w:w="120" w:type="dxa"/>
              <w:end w:w="120" w:type="dxa"/>
            </w:tcMar>
          </w:tcPr>
          <w:p>
            <w:pPr>
              <w:spacing w:after="0"/>
            </w:pPr>
            <w:r>
              <w:rPr>
                <w:rFonts w:ascii="Calibri" w:hAnsi="Calibri"/>
                <w:b w:val="0"/>
                <w:i w:val="0"/>
                <w:color w:val="20252B"/>
                <w:sz w:val="18"/>
              </w:rPr>
              <w:t>Review status</w:t>
            </w:r>
          </w:p>
        </w:tc>
        <w:tc>
          <w:tcPr>
            <w:tcW w:type="dxa" w:w="7060"/>
            <w:vAlign w:val="center"/>
            <w:tcMar>
              <w:top w:w="80" w:type="dxa"/>
              <w:bottom w:w="80" w:type="dxa"/>
              <w:start w:w="120" w:type="dxa"/>
              <w:end w:w="120" w:type="dxa"/>
            </w:tcMar>
          </w:tcPr>
          <w:p>
            <w:pPr>
              <w:spacing w:after="0"/>
            </w:pPr>
            <w:r>
              <w:rPr>
                <w:rFonts w:ascii="Calibri" w:hAnsi="Calibri"/>
                <w:b w:val="0"/>
                <w:i w:val="0"/>
                <w:color w:val="20252B"/>
                <w:sz w:val="18"/>
              </w:rPr>
              <w:t>Developmental-review candidate; public review not open</w:t>
            </w:r>
          </w:p>
        </w:tc>
      </w:tr>
      <w:tr>
        <w:trPr>
          <w:cantSplit w:val="true"/>
        </w:trPr>
        <w:tc>
          <w:tcPr>
            <w:tcW w:type="dxa" w:w="2300"/>
            <w:vAlign w:val="center"/>
            <w:tcMar>
              <w:top w:w="80" w:type="dxa"/>
              <w:bottom w:w="80" w:type="dxa"/>
              <w:start w:w="120" w:type="dxa"/>
              <w:end w:w="120" w:type="dxa"/>
            </w:tcMar>
          </w:tcPr>
          <w:p>
            <w:pPr>
              <w:spacing w:after="0"/>
            </w:pPr>
            <w:r>
              <w:rPr>
                <w:rFonts w:ascii="Calibri" w:hAnsi="Calibri"/>
                <w:b w:val="0"/>
                <w:i w:val="0"/>
                <w:color w:val="20252B"/>
                <w:sz w:val="18"/>
              </w:rPr>
              <w:t>Review purpose</w:t>
            </w:r>
          </w:p>
        </w:tc>
        <w:tc>
          <w:tcPr>
            <w:tcW w:type="dxa" w:w="7060"/>
            <w:vAlign w:val="center"/>
            <w:tcMar>
              <w:top w:w="80" w:type="dxa"/>
              <w:bottom w:w="80" w:type="dxa"/>
              <w:start w:w="120" w:type="dxa"/>
              <w:end w:w="120" w:type="dxa"/>
            </w:tcMar>
          </w:tcPr>
          <w:p>
            <w:pPr>
              <w:spacing w:after="0"/>
            </w:pPr>
            <w:r>
              <w:rPr>
                <w:rFonts w:ascii="Calibri" w:hAnsi="Calibri"/>
                <w:b w:val="0"/>
                <w:i w:val="0"/>
                <w:color w:val="20252B"/>
                <w:sz w:val="18"/>
              </w:rPr>
              <w:t>Technical criticism, mapping adjudication, and pilot design</w:t>
            </w:r>
          </w:p>
        </w:tc>
      </w:tr>
    </w:tbl>
    <w:p>
      <w:pPr>
        <w:widowControl/>
        <w:spacing w:before="80" w:after="80"/>
      </w:pPr>
    </w:p>
    <w:tbl>
      <w:tblPr>
        <w:tblW w:type="dxa" w:w="9360"/>
        <w:jc w:val="left"/>
        <w:tblLayout w:type="fixed"/>
        <w:tblLook w:firstColumn="1" w:firstRow="1" w:lastColumn="0" w:lastRow="0" w:noHBand="0" w:noVBand="1" w:val="04A0"/>
        <w:tblInd w:w="120" w:type="dxa"/>
      </w:tblPr>
      <w:tblGrid>
        <w:gridCol w:w="9360"/>
      </w:tblGrid>
      <w:tr>
        <w:trPr>
          <w:tblHeader w:val="true"/>
          <w:cantSplit w:val="true"/>
        </w:trPr>
        <w:tc>
          <w:tcPr>
            <w:tcW w:type="dxa" w:w="9360"/>
            <w:tcMar>
              <w:top w:w="80" w:type="dxa"/>
              <w:bottom w:w="80" w:type="dxa"/>
              <w:start w:w="120" w:type="dxa"/>
              <w:end w:w="120" w:type="dxa"/>
            </w:tcMar>
            <w:shd w:fill="FFF5D6" w:val="clear"/>
            <w:vAlign w:val="center"/>
          </w:tcPr>
          <w:p>
            <w:pPr>
              <w:spacing w:after="0"/>
            </w:pPr>
            <w:r>
              <w:rPr>
                <w:rFonts w:ascii="Calibri" w:hAnsi="Calibri"/>
                <w:b/>
                <w:i w:val="0"/>
                <w:color w:val="A46F00"/>
                <w:sz w:val="21"/>
              </w:rPr>
              <w:t xml:space="preserve">STATUS: </w:t>
            </w:r>
            <w:r>
              <w:rPr>
                <w:rFonts w:ascii="Calibri" w:hAnsi="Calibri"/>
                <w:b w:val="0"/>
                <w:i w:val="0"/>
                <w:color w:val="20252B"/>
                <w:sz w:val="21"/>
              </w:rPr>
              <w:t>AERA is a proposed architecture. It is not an adopted standard, certification scheme, NIST publication, or evidence of government support or endorsement.</w:t>
            </w:r>
          </w:p>
        </w:tc>
      </w:tr>
    </w:tbl>
    <w:p>
      <w:pPr>
        <w:widowControl/>
        <w:spacing w:after="40"/>
      </w:pPr>
    </w:p>
    <w:p>
      <w:pPr>
        <w:widowControl/>
        <w:spacing w:before="240"/>
        <w:jc w:val="center"/>
      </w:pPr>
      <w:r>
        <w:rPr>
          <w:rFonts w:ascii="Calibri" w:hAnsi="Calibri"/>
          <w:b/>
          <w:i w:val="0"/>
          <w:color w:val="52616B"/>
          <w:sz w:val="18"/>
        </w:rPr>
        <w:t>AERA-001  |  Version 1.2 WD  |  Working Draft</w:t>
      </w:r>
    </w:p>
    <w:tbl>
      <w:tblPr>
        <w:tblW w:type="dxa" w:w="9360"/>
        <w:jc w:val="left"/>
        <w:tblLayout w:type="fixed"/>
        <w:tblLook w:firstColumn="1" w:firstRow="1" w:lastColumn="0" w:lastRow="0" w:noHBand="0" w:noVBand="1" w:val="04A0"/>
        <w:tblInd w:w="120" w:type="dxa"/>
      </w:tblPr>
      <w:tblGrid>
        <w:gridCol w:w="9360"/>
      </w:tblGrid>
      <w:tr>
        <w:trPr>
          <w:tblHeader w:val="true"/>
          <w:cantSplit w:val="true"/>
        </w:trPr>
        <w:tc>
          <w:tcPr>
            <w:tcW w:type="dxa" w:w="9360"/>
            <w:tcMar>
              <w:top w:w="80" w:type="dxa"/>
              <w:bottom w:w="80" w:type="dxa"/>
              <w:start w:w="120" w:type="dxa"/>
              <w:end w:w="120" w:type="dxa"/>
            </w:tcMar>
            <w:shd w:fill="E8EEF5" w:val="clear"/>
            <w:vAlign w:val="center"/>
          </w:tcPr>
          <w:p>
            <w:pPr>
              <w:spacing w:after="0"/>
            </w:pPr>
            <w:r>
              <w:rPr>
                <w:rFonts w:ascii="Calibri" w:hAnsi="Calibri"/>
                <w:b/>
                <w:i w:val="0"/>
                <w:color w:val="17324D"/>
                <w:sz w:val="21"/>
              </w:rPr>
              <w:t xml:space="preserve">CORE RULE: </w:t>
            </w:r>
            <w:r>
              <w:rPr>
                <w:rFonts w:ascii="Calibri" w:hAnsi="Calibri"/>
                <w:b w:val="0"/>
                <w:i w:val="0"/>
                <w:color w:val="20252B"/>
                <w:sz w:val="21"/>
              </w:rPr>
              <w:t>Every autonomous decision shall be governed, assured, attributable, temporally valid, and recoverable before it can produce a mission effect.</w:t>
            </w:r>
          </w:p>
        </w:tc>
      </w:tr>
    </w:tbl>
    <w:p>
      <w:pPr>
        <w:widowControl/>
        <w:spacing w:after="40"/>
      </w:pPr>
    </w:p>
    <w:p>
      <w:pPr>
        <w:pStyle w:val="Heading1"/>
        <w:pageBreakBefore/>
        <w:widowControl/>
      </w:pPr>
      <w:r>
        <w:t>1. The Control Gap</w:t>
      </w:r>
    </w:p>
    <w:p>
      <w:pPr>
        <w:widowControl/>
        <w:spacing w:after="200"/>
      </w:pPr>
      <w:r>
        <w:rPr>
          <w:rFonts w:ascii="Calibri" w:hAnsi="Calibri"/>
          <w:b/>
          <w:i w:val="0"/>
          <w:color w:val="17324D"/>
          <w:sz w:val="23"/>
        </w:rPr>
        <w:t>Access is not authority.</w:t>
      </w:r>
    </w:p>
    <w:p>
      <w:pPr>
        <w:widowControl/>
      </w:pPr>
      <w:r>
        <w:rPr>
          <w:rFonts w:ascii="Calibri" w:hAnsi="Calibri"/>
          <w:b w:val="0"/>
          <w:i w:val="0"/>
          <w:color w:val="20252B"/>
          <w:sz w:val="22"/>
        </w:rPr>
        <w:t>Autonomous systems create a boundary problem that identity, resource access, model quality, and policy statements cannot solve separately. The relevant engineering question is whether this actor may cause this exact consequence now, under current authority, evidence, policy, time, risk, and recovery state.</w:t>
      </w:r>
    </w:p>
    <w:tbl>
      <w:tblPr>
        <w:tblStyle w:val="TableGrid"/>
        <w:tblW w:type="dxa" w:w="9360"/>
        <w:jc w:val="left"/>
        <w:tblLayout w:type="fixed"/>
        <w:tblLook w:firstColumn="1" w:firstRow="1" w:lastColumn="0" w:lastRow="0" w:noHBand="0" w:noVBand="1" w:val="04A0"/>
        <w:tblInd w:w="120" w:type="dxa"/>
      </w:tblPr>
      <w:tblGrid>
        <w:gridCol w:w="1850"/>
        <w:gridCol w:w="3600"/>
        <w:gridCol w:w="3910"/>
      </w:tblGrid>
      <w:tr>
        <w:trPr>
          <w:tblHeader w:val="true"/>
          <w:cantSplit w:val="true"/>
        </w:trPr>
        <w:tc>
          <w:tcPr>
            <w:tcW w:type="dxa" w:w="1850"/>
            <w:shd w:fill="F2F4F7" w:val="clear"/>
            <w:vAlign w:val="center"/>
            <w:tcMar>
              <w:top w:w="80" w:type="dxa"/>
              <w:bottom w:w="80" w:type="dxa"/>
              <w:start w:w="120" w:type="dxa"/>
              <w:end w:w="120" w:type="dxa"/>
            </w:tcMar>
          </w:tcPr>
          <w:p>
            <w:pPr>
              <w:spacing w:after="0"/>
              <w:jc w:val="left"/>
            </w:pPr>
            <w:r>
              <w:rPr>
                <w:rFonts w:ascii="Calibri" w:hAnsi="Calibri"/>
                <w:b/>
                <w:i w:val="0"/>
                <w:color w:val="17324D"/>
                <w:sz w:val="17"/>
              </w:rPr>
              <w:t>Common proxy</w:t>
            </w:r>
          </w:p>
        </w:tc>
        <w:tc>
          <w:tcPr>
            <w:tcW w:type="dxa" w:w="3600"/>
            <w:shd w:fill="F2F4F7" w:val="clear"/>
            <w:vAlign w:val="center"/>
            <w:tcMar>
              <w:top w:w="80" w:type="dxa"/>
              <w:bottom w:w="80" w:type="dxa"/>
              <w:start w:w="120" w:type="dxa"/>
              <w:end w:w="120" w:type="dxa"/>
            </w:tcMar>
          </w:tcPr>
          <w:p>
            <w:pPr>
              <w:spacing w:after="0"/>
              <w:jc w:val="left"/>
            </w:pPr>
            <w:r>
              <w:rPr>
                <w:rFonts w:ascii="Calibri" w:hAnsi="Calibri"/>
                <w:b/>
                <w:i w:val="0"/>
                <w:color w:val="17324D"/>
                <w:sz w:val="17"/>
              </w:rPr>
              <w:t>Why it is insufficient</w:t>
            </w:r>
          </w:p>
        </w:tc>
        <w:tc>
          <w:tcPr>
            <w:tcW w:type="dxa" w:w="3910"/>
            <w:shd w:fill="F2F4F7" w:val="clear"/>
            <w:vAlign w:val="center"/>
            <w:tcMar>
              <w:top w:w="80" w:type="dxa"/>
              <w:bottom w:w="80" w:type="dxa"/>
              <w:start w:w="120" w:type="dxa"/>
              <w:end w:w="120" w:type="dxa"/>
            </w:tcMar>
          </w:tcPr>
          <w:p>
            <w:pPr>
              <w:spacing w:after="0"/>
              <w:jc w:val="left"/>
            </w:pPr>
            <w:r>
              <w:rPr>
                <w:rFonts w:ascii="Calibri" w:hAnsi="Calibri"/>
                <w:b/>
                <w:i w:val="0"/>
                <w:color w:val="17324D"/>
                <w:sz w:val="17"/>
              </w:rPr>
              <w:t>AERA control response</w:t>
            </w:r>
          </w:p>
        </w:tc>
      </w:tr>
      <w:tr>
        <w:trPr>
          <w:cantSplit w:val="true"/>
        </w:trPr>
        <w:tc>
          <w:tcPr>
            <w:tcW w:type="dxa" w:w="1850"/>
            <w:vAlign w:val="center"/>
            <w:tcMar>
              <w:top w:w="80" w:type="dxa"/>
              <w:bottom w:w="80" w:type="dxa"/>
              <w:start w:w="120" w:type="dxa"/>
              <w:end w:w="120" w:type="dxa"/>
            </w:tcMar>
          </w:tcPr>
          <w:p>
            <w:pPr>
              <w:spacing w:after="0"/>
            </w:pPr>
            <w:r>
              <w:rPr>
                <w:rFonts w:ascii="Calibri" w:hAnsi="Calibri"/>
                <w:b w:val="0"/>
                <w:i w:val="0"/>
                <w:color w:val="20252B"/>
                <w:sz w:val="17"/>
              </w:rPr>
              <w:t>Authenticated identity</w:t>
            </w:r>
          </w:p>
        </w:tc>
        <w:tc>
          <w:tcPr>
            <w:tcW w:type="dxa" w:w="3600"/>
            <w:vAlign w:val="center"/>
            <w:tcMar>
              <w:top w:w="80" w:type="dxa"/>
              <w:bottom w:w="80" w:type="dxa"/>
              <w:start w:w="120" w:type="dxa"/>
              <w:end w:w="120" w:type="dxa"/>
            </w:tcMar>
          </w:tcPr>
          <w:p>
            <w:pPr>
              <w:spacing w:after="0"/>
            </w:pPr>
            <w:r>
              <w:rPr>
                <w:rFonts w:ascii="Calibri" w:hAnsi="Calibri"/>
                <w:b w:val="0"/>
                <w:i w:val="0"/>
                <w:color w:val="20252B"/>
                <w:sz w:val="17"/>
              </w:rPr>
              <w:t>Establishes who or what acts, not the right to cause a specific effect.</w:t>
            </w:r>
          </w:p>
        </w:tc>
        <w:tc>
          <w:tcPr>
            <w:tcW w:type="dxa" w:w="3910"/>
            <w:vAlign w:val="center"/>
            <w:tcMar>
              <w:top w:w="80" w:type="dxa"/>
              <w:bottom w:w="80" w:type="dxa"/>
              <w:start w:w="120" w:type="dxa"/>
              <w:end w:w="120" w:type="dxa"/>
            </w:tcMar>
          </w:tcPr>
          <w:p>
            <w:pPr>
              <w:spacing w:after="0"/>
            </w:pPr>
            <w:r>
              <w:rPr>
                <w:rFonts w:ascii="Calibri" w:hAnsi="Calibri"/>
                <w:b w:val="0"/>
                <w:i w:val="0"/>
                <w:color w:val="20252B"/>
                <w:sz w:val="17"/>
              </w:rPr>
              <w:t>Resolve a current, attributable, revocable delegation.</w:t>
            </w:r>
          </w:p>
        </w:tc>
      </w:tr>
      <w:tr>
        <w:trPr>
          <w:cantSplit w:val="true"/>
        </w:trPr>
        <w:tc>
          <w:tcPr>
            <w:tcW w:type="dxa" w:w="1850"/>
            <w:vAlign w:val="center"/>
            <w:tcMar>
              <w:top w:w="80" w:type="dxa"/>
              <w:bottom w:w="80" w:type="dxa"/>
              <w:start w:w="120" w:type="dxa"/>
              <w:end w:w="120" w:type="dxa"/>
            </w:tcMar>
          </w:tcPr>
          <w:p>
            <w:pPr>
              <w:spacing w:after="0"/>
            </w:pPr>
            <w:r>
              <w:rPr>
                <w:rFonts w:ascii="Calibri" w:hAnsi="Calibri"/>
                <w:b w:val="0"/>
                <w:i w:val="0"/>
                <w:color w:val="20252B"/>
                <w:sz w:val="17"/>
              </w:rPr>
              <w:t>Model output</w:t>
            </w:r>
          </w:p>
        </w:tc>
        <w:tc>
          <w:tcPr>
            <w:tcW w:type="dxa" w:w="3600"/>
            <w:vAlign w:val="center"/>
            <w:tcMar>
              <w:top w:w="80" w:type="dxa"/>
              <w:bottom w:w="80" w:type="dxa"/>
              <w:start w:w="120" w:type="dxa"/>
              <w:end w:w="120" w:type="dxa"/>
            </w:tcMar>
          </w:tcPr>
          <w:p>
            <w:pPr>
              <w:spacing w:after="0"/>
            </w:pPr>
            <w:r>
              <w:rPr>
                <w:rFonts w:ascii="Calibri" w:hAnsi="Calibri"/>
                <w:b w:val="0"/>
                <w:i w:val="0"/>
                <w:color w:val="20252B"/>
                <w:sz w:val="17"/>
              </w:rPr>
              <w:t>A recommendation is not a governed action commitment.</w:t>
            </w:r>
          </w:p>
        </w:tc>
        <w:tc>
          <w:tcPr>
            <w:tcW w:type="dxa" w:w="3910"/>
            <w:vAlign w:val="center"/>
            <w:tcMar>
              <w:top w:w="80" w:type="dxa"/>
              <w:bottom w:w="80" w:type="dxa"/>
              <w:start w:w="120" w:type="dxa"/>
              <w:end w:w="120" w:type="dxa"/>
            </w:tcMar>
          </w:tcPr>
          <w:p>
            <w:pPr>
              <w:spacing w:after="0"/>
            </w:pPr>
            <w:r>
              <w:rPr>
                <w:rFonts w:ascii="Calibri" w:hAnsi="Calibri"/>
                <w:b w:val="0"/>
                <w:i w:val="0"/>
                <w:color w:val="20252B"/>
                <w:sz w:val="17"/>
              </w:rPr>
              <w:t>Bind intent, evidence, policy, consequence, and time before authorization.</w:t>
            </w:r>
          </w:p>
        </w:tc>
      </w:tr>
      <w:tr>
        <w:trPr>
          <w:cantSplit w:val="true"/>
        </w:trPr>
        <w:tc>
          <w:tcPr>
            <w:tcW w:type="dxa" w:w="1850"/>
            <w:vAlign w:val="center"/>
            <w:tcMar>
              <w:top w:w="80" w:type="dxa"/>
              <w:bottom w:w="80" w:type="dxa"/>
              <w:start w:w="120" w:type="dxa"/>
              <w:end w:w="120" w:type="dxa"/>
            </w:tcMar>
          </w:tcPr>
          <w:p>
            <w:pPr>
              <w:spacing w:after="0"/>
            </w:pPr>
            <w:r>
              <w:rPr>
                <w:rFonts w:ascii="Calibri" w:hAnsi="Calibri"/>
                <w:b w:val="0"/>
                <w:i w:val="0"/>
                <w:color w:val="20252B"/>
                <w:sz w:val="17"/>
              </w:rPr>
              <w:t>Available control</w:t>
            </w:r>
          </w:p>
        </w:tc>
        <w:tc>
          <w:tcPr>
            <w:tcW w:type="dxa" w:w="3600"/>
            <w:vAlign w:val="center"/>
            <w:tcMar>
              <w:top w:w="80" w:type="dxa"/>
              <w:bottom w:w="80" w:type="dxa"/>
              <w:start w:w="120" w:type="dxa"/>
              <w:end w:w="120" w:type="dxa"/>
            </w:tcMar>
          </w:tcPr>
          <w:p>
            <w:pPr>
              <w:spacing w:after="0"/>
            </w:pPr>
            <w:r>
              <w:rPr>
                <w:rFonts w:ascii="Calibri" w:hAnsi="Calibri"/>
                <w:b w:val="0"/>
                <w:i w:val="0"/>
                <w:color w:val="20252B"/>
                <w:sz w:val="17"/>
              </w:rPr>
              <w:t>Present or monitored does not mean active in the decision path.</w:t>
            </w:r>
          </w:p>
        </w:tc>
        <w:tc>
          <w:tcPr>
            <w:tcW w:type="dxa" w:w="3910"/>
            <w:vAlign w:val="center"/>
            <w:tcMar>
              <w:top w:w="80" w:type="dxa"/>
              <w:bottom w:w="80" w:type="dxa"/>
              <w:start w:w="120" w:type="dxa"/>
              <w:end w:w="120" w:type="dxa"/>
            </w:tcMar>
          </w:tcPr>
          <w:p>
            <w:pPr>
              <w:spacing w:after="0"/>
            </w:pPr>
            <w:r>
              <w:rPr>
                <w:rFonts w:ascii="Calibri" w:hAnsi="Calibri"/>
                <w:b w:val="0"/>
                <w:i w:val="0"/>
                <w:color w:val="20252B"/>
                <w:sz w:val="17"/>
              </w:rPr>
              <w:t>Report the highest evidenced operational-use state.</w:t>
            </w:r>
          </w:p>
        </w:tc>
      </w:tr>
      <w:tr>
        <w:trPr>
          <w:cantSplit w:val="true"/>
        </w:trPr>
        <w:tc>
          <w:tcPr>
            <w:tcW w:type="dxa" w:w="1850"/>
            <w:vAlign w:val="center"/>
            <w:tcMar>
              <w:top w:w="80" w:type="dxa"/>
              <w:bottom w:w="80" w:type="dxa"/>
              <w:start w:w="120" w:type="dxa"/>
              <w:end w:w="120" w:type="dxa"/>
            </w:tcMar>
          </w:tcPr>
          <w:p>
            <w:pPr>
              <w:spacing w:after="0"/>
            </w:pPr>
            <w:r>
              <w:rPr>
                <w:rFonts w:ascii="Calibri" w:hAnsi="Calibri"/>
                <w:b w:val="0"/>
                <w:i w:val="0"/>
                <w:color w:val="20252B"/>
                <w:sz w:val="17"/>
              </w:rPr>
              <w:t>Execution receipt</w:t>
            </w:r>
          </w:p>
        </w:tc>
        <w:tc>
          <w:tcPr>
            <w:tcW w:type="dxa" w:w="3600"/>
            <w:vAlign w:val="center"/>
            <w:tcMar>
              <w:top w:w="80" w:type="dxa"/>
              <w:bottom w:w="80" w:type="dxa"/>
              <w:start w:w="120" w:type="dxa"/>
              <w:end w:w="120" w:type="dxa"/>
            </w:tcMar>
          </w:tcPr>
          <w:p>
            <w:pPr>
              <w:spacing w:after="0"/>
            </w:pPr>
            <w:r>
              <w:rPr>
                <w:rFonts w:ascii="Calibri" w:hAnsi="Calibri"/>
                <w:b w:val="0"/>
                <w:i w:val="0"/>
                <w:color w:val="20252B"/>
                <w:sz w:val="17"/>
              </w:rPr>
              <w:t>A command or API success does not prove the intended external state.</w:t>
            </w:r>
          </w:p>
        </w:tc>
        <w:tc>
          <w:tcPr>
            <w:tcW w:type="dxa" w:w="3910"/>
            <w:vAlign w:val="center"/>
            <w:tcMar>
              <w:top w:w="80" w:type="dxa"/>
              <w:bottom w:w="80" w:type="dxa"/>
              <w:start w:w="120" w:type="dxa"/>
              <w:end w:w="120" w:type="dxa"/>
            </w:tcMar>
          </w:tcPr>
          <w:p>
            <w:pPr>
              <w:spacing w:after="0"/>
            </w:pPr>
            <w:r>
              <w:rPr>
                <w:rFonts w:ascii="Calibri" w:hAnsi="Calibri"/>
                <w:b w:val="0"/>
                <w:i w:val="0"/>
                <w:color w:val="20252B"/>
                <w:sz w:val="17"/>
              </w:rPr>
              <w:t>Reconcile independent effect observations, divergence, recovery, and closure.</w:t>
            </w:r>
          </w:p>
        </w:tc>
      </w:tr>
    </w:tbl>
    <w:p>
      <w:pPr>
        <w:widowControl/>
        <w:spacing w:before="80" w:after="80"/>
      </w:pPr>
    </w:p>
    <w:tbl>
      <w:tblPr>
        <w:tblW w:type="dxa" w:w="9360"/>
        <w:jc w:val="left"/>
        <w:tblLayout w:type="fixed"/>
        <w:tblLook w:firstColumn="1" w:firstRow="1" w:lastColumn="0" w:lastRow="0" w:noHBand="0" w:noVBand="1" w:val="04A0"/>
        <w:tblInd w:w="120" w:type="dxa"/>
      </w:tblPr>
      <w:tblGrid>
        <w:gridCol w:w="9360"/>
      </w:tblGrid>
      <w:tr>
        <w:trPr>
          <w:tblHeader w:val="true"/>
          <w:cantSplit w:val="true"/>
        </w:trPr>
        <w:tc>
          <w:tcPr>
            <w:tcW w:type="dxa" w:w="9360"/>
            <w:tcMar>
              <w:top w:w="80" w:type="dxa"/>
              <w:bottom w:w="80" w:type="dxa"/>
              <w:start w:w="120" w:type="dxa"/>
              <w:end w:w="120" w:type="dxa"/>
            </w:tcMar>
            <w:shd w:fill="FFF5D6" w:val="clear"/>
            <w:vAlign w:val="center"/>
          </w:tcPr>
          <w:p>
            <w:pPr>
              <w:spacing w:after="0"/>
            </w:pPr>
            <w:r>
              <w:rPr>
                <w:rFonts w:ascii="Calibri" w:hAnsi="Calibri"/>
                <w:b/>
                <w:i w:val="0"/>
                <w:color w:val="A46F00"/>
                <w:sz w:val="21"/>
              </w:rPr>
              <w:t xml:space="preserve">EXECUTIVE IMPLICATION: </w:t>
            </w:r>
            <w:r>
              <w:rPr>
                <w:rFonts w:ascii="Calibri" w:hAnsi="Calibri"/>
                <w:b w:val="0"/>
                <w:i w:val="0"/>
                <w:color w:val="20252B"/>
                <w:sz w:val="21"/>
              </w:rPr>
              <w:t>Delegating execution to autonomous actors does not delegate institutional accountability. Named people or governance bodies remain responsible for risk acceptance, control floors, and suspension authority.</w:t>
            </w:r>
          </w:p>
        </w:tc>
      </w:tr>
    </w:tbl>
    <w:p>
      <w:pPr>
        <w:widowControl/>
        <w:spacing w:after="40"/>
      </w:pPr>
    </w:p>
    <w:p>
      <w:pPr>
        <w:pStyle w:val="Heading1"/>
        <w:pageBreakBefore/>
        <w:widowControl/>
      </w:pPr>
      <w:r>
        <w:t>2. The AERA Thesis</w:t>
      </w:r>
    </w:p>
    <w:p>
      <w:pPr>
        <w:widowControl/>
        <w:spacing w:after="200"/>
      </w:pPr>
      <w:r>
        <w:rPr>
          <w:rFonts w:ascii="Calibri" w:hAnsi="Calibri"/>
          <w:b/>
          <w:i w:val="0"/>
          <w:color w:val="17324D"/>
          <w:sz w:val="23"/>
        </w:rPr>
        <w:t>Govern the complete decision-authority transaction.</w:t>
      </w:r>
    </w:p>
    <w:p>
      <w:pPr>
        <w:widowControl/>
      </w:pPr>
      <w:r>
        <w:rPr>
          <w:rFonts w:ascii="Calibri" w:hAnsi="Calibri"/>
          <w:b w:val="0"/>
          <w:i w:val="0"/>
          <w:color w:val="20252B"/>
          <w:sz w:val="22"/>
        </w:rPr>
        <w:t>AERA treats the path from accountable delegation to verified effect as the primary unit of assurance. Each transition must preserve attribution, integrity, policy, temporal validity, consequence constraints, evidence, and recovery obligations.</w:t>
      </w:r>
    </w:p>
    <w:tbl>
      <w:tblPr>
        <w:tblStyle w:val="TableGrid"/>
        <w:tblW w:type="dxa" w:w="9360"/>
        <w:jc w:val="left"/>
        <w:tblLayout w:type="fixed"/>
        <w:tblLook w:firstColumn="1" w:firstRow="1" w:lastColumn="0" w:lastRow="0" w:noHBand="0" w:noVBand="1" w:val="04A0"/>
        <w:tblInd w:w="120" w:type="dxa"/>
      </w:tblPr>
      <w:tblGrid>
        <w:gridCol w:w="1250"/>
        <w:gridCol w:w="4350"/>
        <w:gridCol w:w="3760"/>
      </w:tblGrid>
      <w:tr>
        <w:trPr>
          <w:tblHeader w:val="true"/>
          <w:cantSplit w:val="true"/>
        </w:trPr>
        <w:tc>
          <w:tcPr>
            <w:tcW w:type="dxa" w:w="1250"/>
            <w:shd w:fill="F2F4F7" w:val="clear"/>
            <w:vAlign w:val="center"/>
            <w:tcMar>
              <w:top w:w="80" w:type="dxa"/>
              <w:bottom w:w="80" w:type="dxa"/>
              <w:start w:w="120" w:type="dxa"/>
              <w:end w:w="120" w:type="dxa"/>
            </w:tcMar>
          </w:tcPr>
          <w:p>
            <w:pPr>
              <w:spacing w:after="0"/>
              <w:jc w:val="left"/>
            </w:pPr>
            <w:r>
              <w:rPr>
                <w:rFonts w:ascii="Calibri" w:hAnsi="Calibri"/>
                <w:b/>
                <w:i w:val="0"/>
                <w:color w:val="17324D"/>
                <w:sz w:val="15"/>
              </w:rPr>
              <w:t>Stage</w:t>
            </w:r>
          </w:p>
        </w:tc>
        <w:tc>
          <w:tcPr>
            <w:tcW w:type="dxa" w:w="4350"/>
            <w:shd w:fill="F2F4F7" w:val="clear"/>
            <w:vAlign w:val="center"/>
            <w:tcMar>
              <w:top w:w="80" w:type="dxa"/>
              <w:bottom w:w="80" w:type="dxa"/>
              <w:start w:w="120" w:type="dxa"/>
              <w:end w:w="120" w:type="dxa"/>
            </w:tcMar>
          </w:tcPr>
          <w:p>
            <w:pPr>
              <w:spacing w:after="0"/>
              <w:jc w:val="left"/>
            </w:pPr>
            <w:r>
              <w:rPr>
                <w:rFonts w:ascii="Calibri" w:hAnsi="Calibri"/>
                <w:b/>
                <w:i w:val="0"/>
                <w:color w:val="17324D"/>
                <w:sz w:val="15"/>
              </w:rPr>
              <w:t>Required state</w:t>
            </w:r>
          </w:p>
        </w:tc>
        <w:tc>
          <w:tcPr>
            <w:tcW w:type="dxa" w:w="3760"/>
            <w:shd w:fill="F2F4F7" w:val="clear"/>
            <w:vAlign w:val="center"/>
            <w:tcMar>
              <w:top w:w="80" w:type="dxa"/>
              <w:bottom w:w="80" w:type="dxa"/>
              <w:start w:w="120" w:type="dxa"/>
              <w:end w:w="120" w:type="dxa"/>
            </w:tcMar>
          </w:tcPr>
          <w:p>
            <w:pPr>
              <w:spacing w:after="0"/>
              <w:jc w:val="left"/>
            </w:pPr>
            <w:r>
              <w:rPr>
                <w:rFonts w:ascii="Calibri" w:hAnsi="Calibri"/>
                <w:b/>
                <w:i w:val="0"/>
                <w:color w:val="17324D"/>
                <w:sz w:val="15"/>
              </w:rPr>
              <w:t>Failure question</w:t>
            </w:r>
          </w:p>
        </w:tc>
      </w:tr>
      <w:tr>
        <w:trPr>
          <w:cantSplit w:val="true"/>
        </w:trPr>
        <w:tc>
          <w:tcPr>
            <w:tcW w:type="dxa" w:w="1250"/>
            <w:vAlign w:val="center"/>
            <w:tcMar>
              <w:top w:w="80" w:type="dxa"/>
              <w:bottom w:w="80" w:type="dxa"/>
              <w:start w:w="120" w:type="dxa"/>
              <w:end w:w="120" w:type="dxa"/>
            </w:tcMar>
          </w:tcPr>
          <w:p>
            <w:pPr>
              <w:spacing w:after="0"/>
            </w:pPr>
            <w:r>
              <w:rPr>
                <w:rFonts w:ascii="Calibri" w:hAnsi="Calibri"/>
                <w:b w:val="0"/>
                <w:i w:val="0"/>
                <w:color w:val="20252B"/>
                <w:sz w:val="15"/>
              </w:rPr>
              <w:t>1 Delegate</w:t>
            </w:r>
          </w:p>
        </w:tc>
        <w:tc>
          <w:tcPr>
            <w:tcW w:type="dxa" w:w="4350"/>
            <w:vAlign w:val="center"/>
            <w:tcMar>
              <w:top w:w="80" w:type="dxa"/>
              <w:bottom w:w="80" w:type="dxa"/>
              <w:start w:w="120" w:type="dxa"/>
              <w:end w:w="120" w:type="dxa"/>
            </w:tcMar>
          </w:tcPr>
          <w:p>
            <w:pPr>
              <w:spacing w:after="0"/>
            </w:pPr>
            <w:r>
              <w:rPr>
                <w:rFonts w:ascii="Calibri" w:hAnsi="Calibri"/>
                <w:b w:val="0"/>
                <w:i w:val="0"/>
                <w:color w:val="20252B"/>
                <w:sz w:val="15"/>
              </w:rPr>
              <w:t>Bounded, revocable authority rooted in an accountable grantor.</w:t>
            </w:r>
          </w:p>
        </w:tc>
        <w:tc>
          <w:tcPr>
            <w:tcW w:type="dxa" w:w="3760"/>
            <w:vAlign w:val="center"/>
            <w:tcMar>
              <w:top w:w="80" w:type="dxa"/>
              <w:bottom w:w="80" w:type="dxa"/>
              <w:start w:w="120" w:type="dxa"/>
              <w:end w:w="120" w:type="dxa"/>
            </w:tcMar>
          </w:tcPr>
          <w:p>
            <w:pPr>
              <w:spacing w:after="0"/>
            </w:pPr>
            <w:r>
              <w:rPr>
                <w:rFonts w:ascii="Calibri" w:hAnsi="Calibri"/>
                <w:b w:val="0"/>
                <w:i w:val="0"/>
                <w:color w:val="20252B"/>
                <w:sz w:val="15"/>
              </w:rPr>
              <w:t>Was authority absent, expired, expanded, or improperly subdelegated?</w:t>
            </w:r>
          </w:p>
        </w:tc>
      </w:tr>
      <w:tr>
        <w:trPr>
          <w:cantSplit w:val="true"/>
        </w:trPr>
        <w:tc>
          <w:tcPr>
            <w:tcW w:type="dxa" w:w="1250"/>
            <w:vAlign w:val="center"/>
            <w:tcMar>
              <w:top w:w="80" w:type="dxa"/>
              <w:bottom w:w="80" w:type="dxa"/>
              <w:start w:w="120" w:type="dxa"/>
              <w:end w:w="120" w:type="dxa"/>
            </w:tcMar>
          </w:tcPr>
          <w:p>
            <w:pPr>
              <w:spacing w:after="0"/>
            </w:pPr>
            <w:r>
              <w:rPr>
                <w:rFonts w:ascii="Calibri" w:hAnsi="Calibri"/>
                <w:b w:val="0"/>
                <w:i w:val="0"/>
                <w:color w:val="20252B"/>
                <w:sz w:val="15"/>
              </w:rPr>
              <w:t>2 Propose</w:t>
            </w:r>
          </w:p>
        </w:tc>
        <w:tc>
          <w:tcPr>
            <w:tcW w:type="dxa" w:w="4350"/>
            <w:vAlign w:val="center"/>
            <w:tcMar>
              <w:top w:w="80" w:type="dxa"/>
              <w:bottom w:w="80" w:type="dxa"/>
              <w:start w:w="120" w:type="dxa"/>
              <w:end w:w="120" w:type="dxa"/>
            </w:tcMar>
          </w:tcPr>
          <w:p>
            <w:pPr>
              <w:spacing w:after="0"/>
            </w:pPr>
            <w:r>
              <w:rPr>
                <w:rFonts w:ascii="Calibri" w:hAnsi="Calibri"/>
                <w:b w:val="0"/>
                <w:i w:val="0"/>
                <w:color w:val="20252B"/>
                <w:sz w:val="15"/>
              </w:rPr>
              <w:t>Canonical actor, action, target, purpose, parameters, and expected effect.</w:t>
            </w:r>
          </w:p>
        </w:tc>
        <w:tc>
          <w:tcPr>
            <w:tcW w:type="dxa" w:w="3760"/>
            <w:vAlign w:val="center"/>
            <w:tcMar>
              <w:top w:w="80" w:type="dxa"/>
              <w:bottom w:w="80" w:type="dxa"/>
              <w:start w:w="120" w:type="dxa"/>
              <w:end w:w="120" w:type="dxa"/>
            </w:tcMar>
          </w:tcPr>
          <w:p>
            <w:pPr>
              <w:spacing w:after="0"/>
            </w:pPr>
            <w:r>
              <w:rPr>
                <w:rFonts w:ascii="Calibri" w:hAnsi="Calibri"/>
                <w:b w:val="0"/>
                <w:i w:val="0"/>
                <w:color w:val="20252B"/>
                <w:sz w:val="15"/>
              </w:rPr>
              <w:t>Did the proposal conceal or substitute a material field?</w:t>
            </w:r>
          </w:p>
        </w:tc>
      </w:tr>
      <w:tr>
        <w:trPr>
          <w:cantSplit w:val="true"/>
        </w:trPr>
        <w:tc>
          <w:tcPr>
            <w:tcW w:type="dxa" w:w="1250"/>
            <w:vAlign w:val="center"/>
            <w:tcMar>
              <w:top w:w="80" w:type="dxa"/>
              <w:bottom w:w="80" w:type="dxa"/>
              <w:start w:w="120" w:type="dxa"/>
              <w:end w:w="120" w:type="dxa"/>
            </w:tcMar>
          </w:tcPr>
          <w:p>
            <w:pPr>
              <w:spacing w:after="0"/>
            </w:pPr>
            <w:r>
              <w:rPr>
                <w:rFonts w:ascii="Calibri" w:hAnsi="Calibri"/>
                <w:b w:val="0"/>
                <w:i w:val="0"/>
                <w:color w:val="20252B"/>
                <w:sz w:val="15"/>
              </w:rPr>
              <w:t>3 Assemble</w:t>
            </w:r>
          </w:p>
        </w:tc>
        <w:tc>
          <w:tcPr>
            <w:tcW w:type="dxa" w:w="4350"/>
            <w:vAlign w:val="center"/>
            <w:tcMar>
              <w:top w:w="80" w:type="dxa"/>
              <w:bottom w:w="80" w:type="dxa"/>
              <w:start w:w="120" w:type="dxa"/>
              <w:end w:w="120" w:type="dxa"/>
            </w:tcMar>
          </w:tcPr>
          <w:p>
            <w:pPr>
              <w:spacing w:after="0"/>
            </w:pPr>
            <w:r>
              <w:rPr>
                <w:rFonts w:ascii="Calibri" w:hAnsi="Calibri"/>
                <w:b w:val="0"/>
                <w:i w:val="0"/>
                <w:color w:val="20252B"/>
                <w:sz w:val="15"/>
              </w:rPr>
              <w:t>Current evidence, provenance, policy, threat, time/PNT, and recovery state.</w:t>
            </w:r>
          </w:p>
        </w:tc>
        <w:tc>
          <w:tcPr>
            <w:tcW w:type="dxa" w:w="3760"/>
            <w:vAlign w:val="center"/>
            <w:tcMar>
              <w:top w:w="80" w:type="dxa"/>
              <w:bottom w:w="80" w:type="dxa"/>
              <w:start w:w="120" w:type="dxa"/>
              <w:end w:w="120" w:type="dxa"/>
            </w:tcMar>
          </w:tcPr>
          <w:p>
            <w:pPr>
              <w:spacing w:after="0"/>
            </w:pPr>
            <w:r>
              <w:rPr>
                <w:rFonts w:ascii="Calibri" w:hAnsi="Calibri"/>
                <w:b w:val="0"/>
                <w:i w:val="0"/>
                <w:color w:val="20252B"/>
                <w:sz w:val="15"/>
              </w:rPr>
              <w:t>Was evidence stale, correlated, contradicted, or manipulated?</w:t>
            </w:r>
          </w:p>
        </w:tc>
      </w:tr>
      <w:tr>
        <w:trPr>
          <w:cantSplit w:val="true"/>
        </w:trPr>
        <w:tc>
          <w:tcPr>
            <w:tcW w:type="dxa" w:w="1250"/>
            <w:vAlign w:val="center"/>
            <w:tcMar>
              <w:top w:w="80" w:type="dxa"/>
              <w:bottom w:w="80" w:type="dxa"/>
              <w:start w:w="120" w:type="dxa"/>
              <w:end w:w="120" w:type="dxa"/>
            </w:tcMar>
          </w:tcPr>
          <w:p>
            <w:pPr>
              <w:spacing w:after="0"/>
            </w:pPr>
            <w:r>
              <w:rPr>
                <w:rFonts w:ascii="Calibri" w:hAnsi="Calibri"/>
                <w:b w:val="0"/>
                <w:i w:val="0"/>
                <w:color w:val="20252B"/>
                <w:sz w:val="15"/>
              </w:rPr>
              <w:t>4 Authorize</w:t>
            </w:r>
          </w:p>
        </w:tc>
        <w:tc>
          <w:tcPr>
            <w:tcW w:type="dxa" w:w="4350"/>
            <w:vAlign w:val="center"/>
            <w:tcMar>
              <w:top w:w="80" w:type="dxa"/>
              <w:bottom w:w="80" w:type="dxa"/>
              <w:start w:w="120" w:type="dxa"/>
              <w:end w:w="120" w:type="dxa"/>
            </w:tcMar>
          </w:tcPr>
          <w:p>
            <w:pPr>
              <w:spacing w:after="0"/>
            </w:pPr>
            <w:r>
              <w:rPr>
                <w:rFonts w:ascii="Calibri" w:hAnsi="Calibri"/>
                <w:b w:val="0"/>
                <w:i w:val="0"/>
                <w:color w:val="20252B"/>
                <w:sz w:val="15"/>
              </w:rPr>
              <w:t>Visible assurance-vector results and consequence-appropriate disposition.</w:t>
            </w:r>
          </w:p>
        </w:tc>
        <w:tc>
          <w:tcPr>
            <w:tcW w:type="dxa" w:w="3760"/>
            <w:vAlign w:val="center"/>
            <w:tcMar>
              <w:top w:w="80" w:type="dxa"/>
              <w:bottom w:w="80" w:type="dxa"/>
              <w:start w:w="120" w:type="dxa"/>
              <w:end w:w="120" w:type="dxa"/>
            </w:tcMar>
          </w:tcPr>
          <w:p>
            <w:pPr>
              <w:spacing w:after="0"/>
            </w:pPr>
            <w:r>
              <w:rPr>
                <w:rFonts w:ascii="Calibri" w:hAnsi="Calibri"/>
                <w:b w:val="0"/>
                <w:i w:val="0"/>
                <w:color w:val="20252B"/>
                <w:sz w:val="15"/>
              </w:rPr>
              <w:t>Was a permit inferred from one score or an incomplete policy view?</w:t>
            </w:r>
          </w:p>
        </w:tc>
      </w:tr>
      <w:tr>
        <w:trPr>
          <w:cantSplit w:val="true"/>
        </w:trPr>
        <w:tc>
          <w:tcPr>
            <w:tcW w:type="dxa" w:w="1250"/>
            <w:vAlign w:val="center"/>
            <w:tcMar>
              <w:top w:w="80" w:type="dxa"/>
              <w:bottom w:w="80" w:type="dxa"/>
              <w:start w:w="120" w:type="dxa"/>
              <w:end w:w="120" w:type="dxa"/>
            </w:tcMar>
          </w:tcPr>
          <w:p>
            <w:pPr>
              <w:spacing w:after="0"/>
            </w:pPr>
            <w:r>
              <w:rPr>
                <w:rFonts w:ascii="Calibri" w:hAnsi="Calibri"/>
                <w:b w:val="0"/>
                <w:i w:val="0"/>
                <w:color w:val="20252B"/>
                <w:sz w:val="15"/>
              </w:rPr>
              <w:t>5 Enforce</w:t>
            </w:r>
          </w:p>
        </w:tc>
        <w:tc>
          <w:tcPr>
            <w:tcW w:type="dxa" w:w="4350"/>
            <w:vAlign w:val="center"/>
            <w:tcMar>
              <w:top w:w="80" w:type="dxa"/>
              <w:bottom w:w="80" w:type="dxa"/>
              <w:start w:w="120" w:type="dxa"/>
              <w:end w:w="120" w:type="dxa"/>
            </w:tcMar>
          </w:tcPr>
          <w:p>
            <w:pPr>
              <w:spacing w:after="0"/>
            </w:pPr>
            <w:r>
              <w:rPr>
                <w:rFonts w:ascii="Calibri" w:hAnsi="Calibri"/>
                <w:b w:val="0"/>
                <w:i w:val="0"/>
                <w:color w:val="20252B"/>
                <w:sz w:val="15"/>
              </w:rPr>
              <w:t>Authorization bound to the exact effect boundary and validity interval.</w:t>
            </w:r>
          </w:p>
        </w:tc>
        <w:tc>
          <w:tcPr>
            <w:tcW w:type="dxa" w:w="3760"/>
            <w:vAlign w:val="center"/>
            <w:tcMar>
              <w:top w:w="80" w:type="dxa"/>
              <w:bottom w:w="80" w:type="dxa"/>
              <w:start w:w="120" w:type="dxa"/>
              <w:end w:w="120" w:type="dxa"/>
            </w:tcMar>
          </w:tcPr>
          <w:p>
            <w:pPr>
              <w:spacing w:after="0"/>
            </w:pPr>
            <w:r>
              <w:rPr>
                <w:rFonts w:ascii="Calibri" w:hAnsi="Calibri"/>
                <w:b w:val="0"/>
                <w:i w:val="0"/>
                <w:color w:val="20252B"/>
                <w:sz w:val="15"/>
              </w:rPr>
              <w:t>Could the proposer bypass or broaden enforcement?</w:t>
            </w:r>
          </w:p>
        </w:tc>
      </w:tr>
      <w:tr>
        <w:trPr>
          <w:cantSplit w:val="true"/>
        </w:trPr>
        <w:tc>
          <w:tcPr>
            <w:tcW w:type="dxa" w:w="1250"/>
            <w:vAlign w:val="center"/>
            <w:tcMar>
              <w:top w:w="80" w:type="dxa"/>
              <w:bottom w:w="80" w:type="dxa"/>
              <w:start w:w="120" w:type="dxa"/>
              <w:end w:w="120" w:type="dxa"/>
            </w:tcMar>
          </w:tcPr>
          <w:p>
            <w:pPr>
              <w:spacing w:after="0"/>
            </w:pPr>
            <w:r>
              <w:rPr>
                <w:rFonts w:ascii="Calibri" w:hAnsi="Calibri"/>
                <w:b w:val="0"/>
                <w:i w:val="0"/>
                <w:color w:val="20252B"/>
                <w:sz w:val="15"/>
              </w:rPr>
              <w:t>6 Observe</w:t>
            </w:r>
          </w:p>
        </w:tc>
        <w:tc>
          <w:tcPr>
            <w:tcW w:type="dxa" w:w="4350"/>
            <w:vAlign w:val="center"/>
            <w:tcMar>
              <w:top w:w="80" w:type="dxa"/>
              <w:bottom w:w="80" w:type="dxa"/>
              <w:start w:w="120" w:type="dxa"/>
              <w:end w:w="120" w:type="dxa"/>
            </w:tcMar>
          </w:tcPr>
          <w:p>
            <w:pPr>
              <w:spacing w:after="0"/>
            </w:pPr>
            <w:r>
              <w:rPr>
                <w:rFonts w:ascii="Calibri" w:hAnsi="Calibri"/>
                <w:b w:val="0"/>
                <w:i w:val="0"/>
                <w:color w:val="20252B"/>
                <w:sz w:val="15"/>
              </w:rPr>
              <w:t>Attempted effect and achieved external state observed independently.</w:t>
            </w:r>
          </w:p>
        </w:tc>
        <w:tc>
          <w:tcPr>
            <w:tcW w:type="dxa" w:w="3760"/>
            <w:vAlign w:val="center"/>
            <w:tcMar>
              <w:top w:w="80" w:type="dxa"/>
              <w:bottom w:w="80" w:type="dxa"/>
              <w:start w:w="120" w:type="dxa"/>
              <w:end w:w="120" w:type="dxa"/>
            </w:tcMar>
          </w:tcPr>
          <w:p>
            <w:pPr>
              <w:spacing w:after="0"/>
            </w:pPr>
            <w:r>
              <w:rPr>
                <w:rFonts w:ascii="Calibri" w:hAnsi="Calibri"/>
                <w:b w:val="0"/>
                <w:i w:val="0"/>
                <w:color w:val="20252B"/>
                <w:sz w:val="15"/>
              </w:rPr>
              <w:t>Did the command succeed while the mission effect failed or diverged?</w:t>
            </w:r>
          </w:p>
        </w:tc>
      </w:tr>
      <w:tr>
        <w:trPr>
          <w:cantSplit w:val="true"/>
        </w:trPr>
        <w:tc>
          <w:tcPr>
            <w:tcW w:type="dxa" w:w="1250"/>
            <w:vAlign w:val="center"/>
            <w:tcMar>
              <w:top w:w="80" w:type="dxa"/>
              <w:bottom w:w="80" w:type="dxa"/>
              <w:start w:w="120" w:type="dxa"/>
              <w:end w:w="120" w:type="dxa"/>
            </w:tcMar>
          </w:tcPr>
          <w:p>
            <w:pPr>
              <w:spacing w:after="0"/>
            </w:pPr>
            <w:r>
              <w:rPr>
                <w:rFonts w:ascii="Calibri" w:hAnsi="Calibri"/>
                <w:b w:val="0"/>
                <w:i w:val="0"/>
                <w:color w:val="20252B"/>
                <w:sz w:val="15"/>
              </w:rPr>
              <w:t>7 Recover/close</w:t>
            </w:r>
          </w:p>
        </w:tc>
        <w:tc>
          <w:tcPr>
            <w:tcW w:type="dxa" w:w="4350"/>
            <w:vAlign w:val="center"/>
            <w:tcMar>
              <w:top w:w="80" w:type="dxa"/>
              <w:bottom w:w="80" w:type="dxa"/>
              <w:start w:w="120" w:type="dxa"/>
              <w:end w:w="120" w:type="dxa"/>
            </w:tcMar>
          </w:tcPr>
          <w:p>
            <w:pPr>
              <w:spacing w:after="0"/>
            </w:pPr>
            <w:r>
              <w:rPr>
                <w:rFonts w:ascii="Calibri" w:hAnsi="Calibri"/>
                <w:b w:val="0"/>
                <w:i w:val="0"/>
                <w:color w:val="20252B"/>
                <w:sz w:val="15"/>
              </w:rPr>
              <w:t>Containment, rollback, takeover, reconciliation, and retained evidence.</w:t>
            </w:r>
          </w:p>
        </w:tc>
        <w:tc>
          <w:tcPr>
            <w:tcW w:type="dxa" w:w="3760"/>
            <w:vAlign w:val="center"/>
            <w:tcMar>
              <w:top w:w="80" w:type="dxa"/>
              <w:bottom w:w="80" w:type="dxa"/>
              <w:start w:w="120" w:type="dxa"/>
              <w:end w:w="120" w:type="dxa"/>
            </w:tcMar>
          </w:tcPr>
          <w:p>
            <w:pPr>
              <w:spacing w:after="0"/>
            </w:pPr>
            <w:r>
              <w:rPr>
                <w:rFonts w:ascii="Calibri" w:hAnsi="Calibri"/>
                <w:b w:val="0"/>
                <w:i w:val="0"/>
                <w:color w:val="20252B"/>
                <w:sz w:val="15"/>
              </w:rPr>
              <w:t>Was the transaction closed without verified effect and recovery state?</w:t>
            </w:r>
          </w:p>
        </w:tc>
      </w:tr>
    </w:tbl>
    <w:p>
      <w:pPr>
        <w:widowControl/>
        <w:spacing w:before="80" w:after="80"/>
      </w:pPr>
    </w:p>
    <w:tbl>
      <w:tblPr>
        <w:tblW w:type="dxa" w:w="9360"/>
        <w:jc w:val="left"/>
        <w:tblLayout w:type="fixed"/>
        <w:tblLook w:firstColumn="1" w:firstRow="1" w:lastColumn="0" w:lastRow="0" w:noHBand="0" w:noVBand="1" w:val="04A0"/>
        <w:tblInd w:w="120" w:type="dxa"/>
      </w:tblPr>
      <w:tblGrid>
        <w:gridCol w:w="9360"/>
      </w:tblGrid>
      <w:tr>
        <w:trPr>
          <w:tblHeader w:val="true"/>
          <w:cantSplit w:val="true"/>
        </w:trPr>
        <w:tc>
          <w:tcPr>
            <w:tcW w:type="dxa" w:w="9360"/>
            <w:tcMar>
              <w:top w:w="80" w:type="dxa"/>
              <w:bottom w:w="80" w:type="dxa"/>
              <w:start w:w="120" w:type="dxa"/>
              <w:end w:w="120" w:type="dxa"/>
            </w:tcMar>
            <w:shd w:fill="E8EEF5" w:val="clear"/>
            <w:vAlign w:val="center"/>
          </w:tcPr>
          <w:p>
            <w:pPr>
              <w:spacing w:after="0"/>
            </w:pPr>
            <w:r>
              <w:rPr>
                <w:rFonts w:ascii="Calibri" w:hAnsi="Calibri"/>
                <w:b/>
                <w:i w:val="0"/>
                <w:color w:val="17324D"/>
                <w:sz w:val="21"/>
              </w:rPr>
              <w:t xml:space="preserve">INVARIANT: </w:t>
            </w:r>
            <w:r>
              <w:rPr>
                <w:rFonts w:ascii="Calibri" w:hAnsi="Calibri"/>
                <w:b w:val="0"/>
                <w:i w:val="0"/>
                <w:color w:val="20252B"/>
                <w:sz w:val="21"/>
              </w:rPr>
              <w:t>A material change to any bound actor, authority, intent, action, target, evidence, policy, consequence, time, recovery, or enforcement object requires reassessment or a new transaction.</w:t>
            </w:r>
          </w:p>
        </w:tc>
      </w:tr>
    </w:tbl>
    <w:p>
      <w:pPr>
        <w:widowControl/>
        <w:spacing w:after="40"/>
      </w:pPr>
    </w:p>
    <w:p>
      <w:pPr>
        <w:pStyle w:val="Heading1"/>
        <w:pageBreakBefore/>
        <w:widowControl/>
      </w:pPr>
      <w:r>
        <w:t>3. Logical Architecture</w:t>
      </w:r>
    </w:p>
    <w:p>
      <w:pPr>
        <w:widowControl/>
        <w:spacing w:after="200"/>
      </w:pPr>
      <w:r>
        <w:rPr>
          <w:rFonts w:ascii="Calibri" w:hAnsi="Calibri"/>
          <w:b/>
          <w:i w:val="0"/>
          <w:color w:val="17324D"/>
          <w:sz w:val="23"/>
        </w:rPr>
        <w:t>Eight logical capability domains connect accountable governance to operational effect.</w:t>
      </w:r>
    </w:p>
    <w:p>
      <w:pPr>
        <w:widowControl/>
        <w:spacing w:before="80" w:after="120"/>
        <w:jc w:val="center"/>
      </w:pPr>
      <w:r>
        <w:drawing>
          <wp:inline xmlns:a="http://schemas.openxmlformats.org/drawingml/2006/main" xmlns:pic="http://schemas.openxmlformats.org/drawingml/2006/picture">
            <wp:extent cx="5806440" cy="3447574"/>
            <wp:docPr id="1" name="Picture 1" title="AERA logical architecture" descr="Eight concentric logical capability domains connect Human Governance at the center through Operational Intent, AI Cognitive Workforce, Decision Assurance Fabric, Hybrid Classical and Quantum Compute, Quantum Network Services, Global Sensor Mesh, and the Operational Environment. Outward decisions and inward evidence support continuous reassessment."/>
            <wp:cNvGraphicFramePr>
              <a:graphicFrameLocks noChangeAspect="1"/>
            </wp:cNvGraphicFramePr>
            <a:graphic>
              <a:graphicData uri="http://schemas.openxmlformats.org/drawingml/2006/picture">
                <pic:pic>
                  <pic:nvPicPr>
                    <pic:cNvPr id="0" name="aera_primary_architecture.png"/>
                    <pic:cNvPicPr/>
                  </pic:nvPicPr>
                  <pic:blipFill>
                    <a:blip r:embed="rId11"/>
                    <a:stretch>
                      <a:fillRect/>
                    </a:stretch>
                  </pic:blipFill>
                  <pic:spPr>
                    <a:xfrm>
                      <a:off x="0" y="0"/>
                      <a:ext cx="5806440" cy="3447574"/>
                    </a:xfrm>
                    <a:prstGeom prst="rect"/>
                  </pic:spPr>
                </pic:pic>
              </a:graphicData>
            </a:graphic>
          </wp:inline>
        </w:drawing>
      </w:r>
    </w:p>
    <w:p>
      <w:pPr>
        <w:widowControl/>
      </w:pPr>
      <w:r>
        <w:rPr>
          <w:rFonts w:ascii="Calibri" w:hAnsi="Calibri"/>
          <w:b w:val="0"/>
          <w:i w:val="0"/>
          <w:color w:val="20252B"/>
          <w:sz w:val="22"/>
        </w:rPr>
        <w:t>The rings are logical capability domains and extension points, not mandatory deployment tiers, products, cloud layers, or organizational boundaries. AI, classical compute, quantum services, RF sensing, PNT, operational technology, and networks are governed resources inside the same authority-and-effect model.</w:t>
      </w:r>
    </w:p>
    <w:tbl>
      <w:tblPr>
        <w:tblW w:type="dxa" w:w="9360"/>
        <w:jc w:val="left"/>
        <w:tblLayout w:type="fixed"/>
        <w:tblLook w:firstColumn="1" w:firstRow="1" w:lastColumn="0" w:lastRow="0" w:noHBand="0" w:noVBand="1" w:val="04A0"/>
        <w:tblInd w:w="120" w:type="dxa"/>
      </w:tblPr>
      <w:tblGrid>
        <w:gridCol w:w="9360"/>
      </w:tblGrid>
      <w:tr>
        <w:trPr>
          <w:tblHeader w:val="true"/>
          <w:cantSplit w:val="true"/>
        </w:trPr>
        <w:tc>
          <w:tcPr>
            <w:tcW w:type="dxa" w:w="9360"/>
            <w:tcMar>
              <w:top w:w="80" w:type="dxa"/>
              <w:bottom w:w="80" w:type="dxa"/>
              <w:start w:w="120" w:type="dxa"/>
              <w:end w:w="120" w:type="dxa"/>
            </w:tcMar>
            <w:shd w:fill="FFF5D6" w:val="clear"/>
            <w:vAlign w:val="center"/>
          </w:tcPr>
          <w:p>
            <w:pPr>
              <w:spacing w:after="0"/>
            </w:pPr>
            <w:r>
              <w:rPr>
                <w:rFonts w:ascii="Calibri" w:hAnsi="Calibri"/>
                <w:b/>
                <w:i w:val="0"/>
                <w:color w:val="A46F00"/>
                <w:sz w:val="21"/>
              </w:rPr>
              <w:t xml:space="preserve">TECHNOLOGY BOUNDARY: </w:t>
            </w:r>
            <w:r>
              <w:rPr>
                <w:rFonts w:ascii="Calibri" w:hAnsi="Calibri"/>
                <w:b w:val="0"/>
                <w:i w:val="0"/>
                <w:color w:val="20252B"/>
                <w:sz w:val="21"/>
              </w:rPr>
              <w:t>A conforming implementation does not require quantum computing, quantum networking, or a globally deployed sensor mesh. Applicability is determined by capability, credible consequence, dependency, and risk.</w:t>
            </w:r>
          </w:p>
        </w:tc>
      </w:tr>
    </w:tbl>
    <w:p>
      <w:pPr>
        <w:widowControl/>
        <w:spacing w:after="40"/>
      </w:pPr>
    </w:p>
    <w:p>
      <w:pPr>
        <w:pStyle w:val="Heading1"/>
        <w:pageBreakBefore/>
        <w:widowControl/>
      </w:pPr>
      <w:r>
        <w:t>4. Decision Assurance Fabric</w:t>
      </w:r>
    </w:p>
    <w:p>
      <w:pPr>
        <w:widowControl/>
        <w:spacing w:after="200"/>
      </w:pPr>
      <w:r>
        <w:rPr>
          <w:rFonts w:ascii="Calibri" w:hAnsi="Calibri"/>
          <w:b/>
          <w:i w:val="0"/>
          <w:color w:val="17324D"/>
          <w:sz w:val="23"/>
        </w:rPr>
        <w:t>A permit is an enforceable, evidence-bounded disposition - not a recommendation.</w:t>
      </w:r>
    </w:p>
    <w:p>
      <w:pPr>
        <w:widowControl/>
        <w:spacing w:before="80" w:after="120"/>
        <w:jc w:val="center"/>
      </w:pPr>
      <w:r>
        <w:drawing>
          <wp:inline xmlns:a="http://schemas.openxmlformats.org/drawingml/2006/main" xmlns:pic="http://schemas.openxmlformats.org/drawingml/2006/picture">
            <wp:extent cx="5806440" cy="2073728"/>
            <wp:docPr id="2" name="Picture 2" title="AERA Decision Assurance Fabric transaction" descr="The decision transaction proceeds from bounded authority and proposal through evidence, policy, assurance, authorization, enforcement, effect observation, recovery, and closure."/>
            <wp:cNvGraphicFramePr>
              <a:graphicFrameLocks noChangeAspect="1"/>
            </wp:cNvGraphicFramePr>
            <a:graphic>
              <a:graphicData uri="http://schemas.openxmlformats.org/drawingml/2006/picture">
                <pic:pic>
                  <pic:nvPicPr>
                    <pic:cNvPr id="0" name="aera_daf_transaction.png"/>
                    <pic:cNvPicPr/>
                  </pic:nvPicPr>
                  <pic:blipFill>
                    <a:blip r:embed="rId12"/>
                    <a:stretch>
                      <a:fillRect/>
                    </a:stretch>
                  </pic:blipFill>
                  <pic:spPr>
                    <a:xfrm>
                      <a:off x="0" y="0"/>
                      <a:ext cx="5806440" cy="2073728"/>
                    </a:xfrm>
                    <a:prstGeom prst="rect"/>
                  </pic:spPr>
                </pic:pic>
              </a:graphicData>
            </a:graphic>
          </wp:inline>
        </w:drawing>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cantSplit w:val="true"/>
        </w:trPr>
        <w:tc>
          <w:tcPr>
            <w:tcW w:type="dxa" w:w="2500"/>
            <w:shd w:fill="F2F4F7" w:val="clear"/>
            <w:vAlign w:val="center"/>
            <w:tcMar>
              <w:top w:w="80" w:type="dxa"/>
              <w:bottom w:w="80" w:type="dxa"/>
              <w:start w:w="120" w:type="dxa"/>
              <w:end w:w="120" w:type="dxa"/>
            </w:tcMar>
          </w:tcPr>
          <w:p>
            <w:pPr>
              <w:spacing w:after="0"/>
              <w:jc w:val="left"/>
            </w:pPr>
            <w:r>
              <w:rPr>
                <w:rFonts w:ascii="Calibri" w:hAnsi="Calibri"/>
                <w:b/>
                <w:i w:val="0"/>
                <w:color w:val="17324D"/>
                <w:sz w:val="16"/>
              </w:rPr>
              <w:t>Fabric property</w:t>
            </w:r>
          </w:p>
        </w:tc>
        <w:tc>
          <w:tcPr>
            <w:tcW w:type="dxa" w:w="6860"/>
            <w:shd w:fill="F2F4F7" w:val="clear"/>
            <w:vAlign w:val="center"/>
            <w:tcMar>
              <w:top w:w="80" w:type="dxa"/>
              <w:bottom w:w="80" w:type="dxa"/>
              <w:start w:w="120" w:type="dxa"/>
              <w:end w:w="120" w:type="dxa"/>
            </w:tcMar>
          </w:tcPr>
          <w:p>
            <w:pPr>
              <w:spacing w:after="0"/>
              <w:jc w:val="left"/>
            </w:pPr>
            <w:r>
              <w:rPr>
                <w:rFonts w:ascii="Calibri" w:hAnsi="Calibri"/>
                <w:b/>
                <w:i w:val="0"/>
                <w:color w:val="17324D"/>
                <w:sz w:val="16"/>
              </w:rPr>
              <w:t>Engineering obligation</w:t>
            </w:r>
          </w:p>
        </w:tc>
      </w:tr>
      <w:tr>
        <w:trPr>
          <w:cantSplit w:val="true"/>
        </w:trPr>
        <w:tc>
          <w:tcPr>
            <w:tcW w:type="dxa" w:w="2500"/>
            <w:vAlign w:val="center"/>
            <w:tcMar>
              <w:top w:w="80" w:type="dxa"/>
              <w:bottom w:w="80" w:type="dxa"/>
              <w:start w:w="120" w:type="dxa"/>
              <w:end w:w="120" w:type="dxa"/>
            </w:tcMar>
          </w:tcPr>
          <w:p>
            <w:pPr>
              <w:spacing w:after="0"/>
            </w:pPr>
            <w:r>
              <w:rPr>
                <w:rFonts w:ascii="Calibri" w:hAnsi="Calibri"/>
                <w:b w:val="0"/>
                <w:i w:val="0"/>
                <w:color w:val="20252B"/>
                <w:sz w:val="16"/>
              </w:rPr>
              <w:t>Exact binding</w:t>
            </w:r>
          </w:p>
        </w:tc>
        <w:tc>
          <w:tcPr>
            <w:tcW w:type="dxa" w:w="6860"/>
            <w:vAlign w:val="center"/>
            <w:tcMar>
              <w:top w:w="80" w:type="dxa"/>
              <w:bottom w:w="80" w:type="dxa"/>
              <w:start w:w="120" w:type="dxa"/>
              <w:end w:w="120" w:type="dxa"/>
            </w:tcMar>
          </w:tcPr>
          <w:p>
            <w:pPr>
              <w:spacing w:after="0"/>
            </w:pPr>
            <w:r>
              <w:rPr>
                <w:rFonts w:ascii="Calibri" w:hAnsi="Calibri"/>
                <w:b w:val="0"/>
                <w:i w:val="0"/>
                <w:color w:val="20252B"/>
                <w:sz w:val="16"/>
              </w:rPr>
              <w:t>Bind actor, action, target, parameters, purpose, evidence, policy, consequence, time, use, and enforcement boundary.</w:t>
            </w:r>
          </w:p>
        </w:tc>
      </w:tr>
      <w:tr>
        <w:trPr>
          <w:cantSplit w:val="true"/>
        </w:trPr>
        <w:tc>
          <w:tcPr>
            <w:tcW w:type="dxa" w:w="2500"/>
            <w:vAlign w:val="center"/>
            <w:tcMar>
              <w:top w:w="80" w:type="dxa"/>
              <w:bottom w:w="80" w:type="dxa"/>
              <w:start w:w="120" w:type="dxa"/>
              <w:end w:w="120" w:type="dxa"/>
            </w:tcMar>
          </w:tcPr>
          <w:p>
            <w:pPr>
              <w:spacing w:after="0"/>
            </w:pPr>
            <w:r>
              <w:rPr>
                <w:rFonts w:ascii="Calibri" w:hAnsi="Calibri"/>
                <w:b w:val="0"/>
                <w:i w:val="0"/>
                <w:color w:val="20252B"/>
                <w:sz w:val="16"/>
              </w:rPr>
              <w:t>Visible assurance vector</w:t>
            </w:r>
          </w:p>
        </w:tc>
        <w:tc>
          <w:tcPr>
            <w:tcW w:type="dxa" w:w="6860"/>
            <w:vAlign w:val="center"/>
            <w:tcMar>
              <w:top w:w="80" w:type="dxa"/>
              <w:bottom w:w="80" w:type="dxa"/>
              <w:start w:w="120" w:type="dxa"/>
              <w:end w:w="120" w:type="dxa"/>
            </w:tcMar>
          </w:tcPr>
          <w:p>
            <w:pPr>
              <w:spacing w:after="0"/>
            </w:pPr>
            <w:r>
              <w:rPr>
                <w:rFonts w:ascii="Calibri" w:hAnsi="Calibri"/>
                <w:b w:val="0"/>
                <w:i w:val="0"/>
                <w:color w:val="20252B"/>
                <w:sz w:val="16"/>
              </w:rPr>
              <w:t>Keep authority, identity, mission, evidence, provenance, competence, cyber integrity, time/PNT, consequence, recovery, and oversight results distinct.</w:t>
            </w:r>
          </w:p>
        </w:tc>
      </w:tr>
      <w:tr>
        <w:trPr>
          <w:cantSplit w:val="true"/>
        </w:trPr>
        <w:tc>
          <w:tcPr>
            <w:tcW w:type="dxa" w:w="2500"/>
            <w:vAlign w:val="center"/>
            <w:tcMar>
              <w:top w:w="80" w:type="dxa"/>
              <w:bottom w:w="80" w:type="dxa"/>
              <w:start w:w="120" w:type="dxa"/>
              <w:end w:w="120" w:type="dxa"/>
            </w:tcMar>
          </w:tcPr>
          <w:p>
            <w:pPr>
              <w:spacing w:after="0"/>
            </w:pPr>
            <w:r>
              <w:rPr>
                <w:rFonts w:ascii="Calibri" w:hAnsi="Calibri"/>
                <w:b w:val="0"/>
                <w:i w:val="0"/>
                <w:color w:val="20252B"/>
                <w:sz w:val="16"/>
              </w:rPr>
              <w:t>Independent enforcement</w:t>
            </w:r>
          </w:p>
        </w:tc>
        <w:tc>
          <w:tcPr>
            <w:tcW w:type="dxa" w:w="6860"/>
            <w:vAlign w:val="center"/>
            <w:tcMar>
              <w:top w:w="80" w:type="dxa"/>
              <w:bottom w:w="80" w:type="dxa"/>
              <w:start w:w="120" w:type="dxa"/>
              <w:end w:w="120" w:type="dxa"/>
            </w:tcMar>
          </w:tcPr>
          <w:p>
            <w:pPr>
              <w:spacing w:after="0"/>
            </w:pPr>
            <w:r>
              <w:rPr>
                <w:rFonts w:ascii="Calibri" w:hAnsi="Calibri"/>
                <w:b w:val="0"/>
                <w:i w:val="0"/>
                <w:color w:val="20252B"/>
                <w:sz w:val="16"/>
              </w:rPr>
              <w:t>The proposer cannot be the sole authorizer, evidence source, and effect path for a material action.</w:t>
            </w:r>
          </w:p>
        </w:tc>
      </w:tr>
      <w:tr>
        <w:trPr>
          <w:cantSplit w:val="true"/>
        </w:trPr>
        <w:tc>
          <w:tcPr>
            <w:tcW w:type="dxa" w:w="2500"/>
            <w:vAlign w:val="center"/>
            <w:tcMar>
              <w:top w:w="80" w:type="dxa"/>
              <w:bottom w:w="80" w:type="dxa"/>
              <w:start w:w="120" w:type="dxa"/>
              <w:end w:w="120" w:type="dxa"/>
            </w:tcMar>
          </w:tcPr>
          <w:p>
            <w:pPr>
              <w:spacing w:after="0"/>
            </w:pPr>
            <w:r>
              <w:rPr>
                <w:rFonts w:ascii="Calibri" w:hAnsi="Calibri"/>
                <w:b w:val="0"/>
                <w:i w:val="0"/>
                <w:color w:val="20252B"/>
                <w:sz w:val="16"/>
              </w:rPr>
              <w:t>Effect reconciliation</w:t>
            </w:r>
          </w:p>
        </w:tc>
        <w:tc>
          <w:tcPr>
            <w:tcW w:type="dxa" w:w="6860"/>
            <w:vAlign w:val="center"/>
            <w:tcMar>
              <w:top w:w="80" w:type="dxa"/>
              <w:bottom w:w="80" w:type="dxa"/>
              <w:start w:w="120" w:type="dxa"/>
              <w:end w:w="120" w:type="dxa"/>
            </w:tcMar>
          </w:tcPr>
          <w:p>
            <w:pPr>
              <w:spacing w:after="0"/>
            </w:pPr>
            <w:r>
              <w:rPr>
                <w:rFonts w:ascii="Calibri" w:hAnsi="Calibri"/>
                <w:b w:val="0"/>
                <w:i w:val="0"/>
                <w:color w:val="20252B"/>
                <w:sz w:val="16"/>
              </w:rPr>
              <w:t>Record attempted effect, independently observe achieved state, and retain divergence and recovery evidence.</w:t>
            </w:r>
          </w:p>
        </w:tc>
      </w:tr>
      <w:tr>
        <w:trPr>
          <w:cantSplit w:val="true"/>
        </w:trPr>
        <w:tc>
          <w:tcPr>
            <w:tcW w:type="dxa" w:w="2500"/>
            <w:vAlign w:val="center"/>
            <w:tcMar>
              <w:top w:w="80" w:type="dxa"/>
              <w:bottom w:w="80" w:type="dxa"/>
              <w:start w:w="120" w:type="dxa"/>
              <w:end w:w="120" w:type="dxa"/>
            </w:tcMar>
          </w:tcPr>
          <w:p>
            <w:pPr>
              <w:spacing w:after="0"/>
            </w:pPr>
            <w:r>
              <w:rPr>
                <w:rFonts w:ascii="Calibri" w:hAnsi="Calibri"/>
                <w:b w:val="0"/>
                <w:i w:val="0"/>
                <w:color w:val="20252B"/>
                <w:sz w:val="16"/>
              </w:rPr>
              <w:t>Continuous reassessment</w:t>
            </w:r>
          </w:p>
        </w:tc>
        <w:tc>
          <w:tcPr>
            <w:tcW w:type="dxa" w:w="6860"/>
            <w:vAlign w:val="center"/>
            <w:tcMar>
              <w:top w:w="80" w:type="dxa"/>
              <w:bottom w:w="80" w:type="dxa"/>
              <w:start w:w="120" w:type="dxa"/>
              <w:end w:w="120" w:type="dxa"/>
            </w:tcMar>
          </w:tcPr>
          <w:p>
            <w:pPr>
              <w:spacing w:after="0"/>
            </w:pPr>
            <w:r>
              <w:rPr>
                <w:rFonts w:ascii="Calibri" w:hAnsi="Calibri"/>
                <w:b w:val="0"/>
                <w:i w:val="0"/>
                <w:color w:val="20252B"/>
                <w:sz w:val="16"/>
              </w:rPr>
              <w:t>Invalidate or constrain authorization when authority, evidence, policy, threat, integrity, timing, or effect state materially changes.</w:t>
            </w:r>
          </w:p>
        </w:tc>
      </w:tr>
    </w:tbl>
    <w:p>
      <w:pPr>
        <w:widowControl/>
        <w:spacing w:before="80" w:after="80"/>
      </w:pPr>
    </w:p>
    <w:p>
      <w:pPr>
        <w:pStyle w:val="Heading1"/>
        <w:pageBreakBefore/>
        <w:widowControl/>
      </w:pPr>
      <w:r>
        <w:t>5. Decision Contract</w:t>
      </w:r>
    </w:p>
    <w:p>
      <w:pPr>
        <w:widowControl/>
        <w:spacing w:after="200"/>
      </w:pPr>
      <w:r>
        <w:rPr>
          <w:rFonts w:ascii="Calibri" w:hAnsi="Calibri"/>
          <w:b/>
          <w:i w:val="0"/>
          <w:color w:val="17324D"/>
          <w:sz w:val="23"/>
        </w:rPr>
        <w:t>Make authority portable, testable, enforceable, and reconstructable.</w:t>
      </w:r>
    </w:p>
    <w:tbl>
      <w:tblPr>
        <w:tblStyle w:val="TableGrid"/>
        <w:tblW w:type="dxa" w:w="9360"/>
        <w:jc w:val="left"/>
        <w:tblLayout w:type="fixed"/>
        <w:tblLook w:firstColumn="1" w:firstRow="1" w:lastColumn="0" w:lastRow="0" w:noHBand="0" w:noVBand="1" w:val="04A0"/>
        <w:tblInd w:w="120" w:type="dxa"/>
      </w:tblPr>
      <w:tblGrid>
        <w:gridCol w:w="1500"/>
        <w:gridCol w:w="4480"/>
        <w:gridCol w:w="3380"/>
      </w:tblGrid>
      <w:tr>
        <w:trPr>
          <w:tblHeader w:val="true"/>
          <w:cantSplit w:val="true"/>
        </w:trPr>
        <w:tc>
          <w:tcPr>
            <w:tcW w:type="dxa" w:w="1500"/>
            <w:shd w:fill="F2F4F7" w:val="clear"/>
            <w:vAlign w:val="center"/>
            <w:tcMar>
              <w:top w:w="80" w:type="dxa"/>
              <w:bottom w:w="80" w:type="dxa"/>
              <w:start w:w="120" w:type="dxa"/>
              <w:end w:w="120" w:type="dxa"/>
            </w:tcMar>
          </w:tcPr>
          <w:p>
            <w:pPr>
              <w:spacing w:after="0"/>
              <w:jc w:val="left"/>
            </w:pPr>
            <w:r>
              <w:rPr>
                <w:rFonts w:ascii="Calibri" w:hAnsi="Calibri"/>
                <w:b/>
                <w:i w:val="0"/>
                <w:color w:val="17324D"/>
                <w:sz w:val="14"/>
              </w:rPr>
              <w:t>Object</w:t>
            </w:r>
          </w:p>
        </w:tc>
        <w:tc>
          <w:tcPr>
            <w:tcW w:type="dxa" w:w="4480"/>
            <w:shd w:fill="F2F4F7" w:val="clear"/>
            <w:vAlign w:val="center"/>
            <w:tcMar>
              <w:top w:w="80" w:type="dxa"/>
              <w:bottom w:w="80" w:type="dxa"/>
              <w:start w:w="120" w:type="dxa"/>
              <w:end w:w="120" w:type="dxa"/>
            </w:tcMar>
          </w:tcPr>
          <w:p>
            <w:pPr>
              <w:spacing w:after="0"/>
              <w:jc w:val="left"/>
            </w:pPr>
            <w:r>
              <w:rPr>
                <w:rFonts w:ascii="Calibri" w:hAnsi="Calibri"/>
                <w:b/>
                <w:i w:val="0"/>
                <w:color w:val="17324D"/>
                <w:sz w:val="14"/>
              </w:rPr>
              <w:t>Minimum semantics</w:t>
            </w:r>
          </w:p>
        </w:tc>
        <w:tc>
          <w:tcPr>
            <w:tcW w:type="dxa" w:w="3380"/>
            <w:shd w:fill="F2F4F7" w:val="clear"/>
            <w:vAlign w:val="center"/>
            <w:tcMar>
              <w:top w:w="80" w:type="dxa"/>
              <w:bottom w:w="80" w:type="dxa"/>
              <w:start w:w="120" w:type="dxa"/>
              <w:end w:w="120" w:type="dxa"/>
            </w:tcMar>
          </w:tcPr>
          <w:p>
            <w:pPr>
              <w:spacing w:after="0"/>
              <w:jc w:val="left"/>
            </w:pPr>
            <w:r>
              <w:rPr>
                <w:rFonts w:ascii="Calibri" w:hAnsi="Calibri"/>
                <w:b/>
                <w:i w:val="0"/>
                <w:color w:val="17324D"/>
                <w:sz w:val="14"/>
              </w:rPr>
              <w:t>Assurance purpose</w:t>
            </w:r>
          </w:p>
        </w:tc>
      </w:tr>
      <w:tr>
        <w:trPr>
          <w:cantSplit w:val="true"/>
        </w:trPr>
        <w:tc>
          <w:tcPr>
            <w:tcW w:type="dxa" w:w="1500"/>
            <w:vAlign w:val="center"/>
            <w:tcMar>
              <w:top w:w="80" w:type="dxa"/>
              <w:bottom w:w="80" w:type="dxa"/>
              <w:start w:w="120" w:type="dxa"/>
              <w:end w:w="120" w:type="dxa"/>
            </w:tcMar>
          </w:tcPr>
          <w:p>
            <w:pPr>
              <w:spacing w:after="0"/>
            </w:pPr>
            <w:r>
              <w:rPr>
                <w:rFonts w:ascii="Calibri" w:hAnsi="Calibri"/>
                <w:b w:val="0"/>
                <w:i w:val="0"/>
                <w:color w:val="20252B"/>
                <w:sz w:val="14"/>
              </w:rPr>
              <w:t>Actor</w:t>
            </w:r>
          </w:p>
        </w:tc>
        <w:tc>
          <w:tcPr>
            <w:tcW w:type="dxa" w:w="4480"/>
            <w:vAlign w:val="center"/>
            <w:tcMar>
              <w:top w:w="80" w:type="dxa"/>
              <w:bottom w:w="80" w:type="dxa"/>
              <w:start w:w="120" w:type="dxa"/>
              <w:end w:w="120" w:type="dxa"/>
            </w:tcMar>
          </w:tcPr>
          <w:p>
            <w:pPr>
              <w:spacing w:after="0"/>
            </w:pPr>
            <w:r>
              <w:rPr>
                <w:rFonts w:ascii="Calibri" w:hAnsi="Calibri"/>
                <w:b w:val="0"/>
                <w:i w:val="0"/>
                <w:color w:val="20252B"/>
                <w:sz w:val="14"/>
              </w:rPr>
              <w:t>Workload identity, owner, role, competence, integrity, configuration.</w:t>
            </w:r>
          </w:p>
        </w:tc>
        <w:tc>
          <w:tcPr>
            <w:tcW w:type="dxa" w:w="3380"/>
            <w:vAlign w:val="center"/>
            <w:tcMar>
              <w:top w:w="80" w:type="dxa"/>
              <w:bottom w:w="80" w:type="dxa"/>
              <w:start w:w="120" w:type="dxa"/>
              <w:end w:w="120" w:type="dxa"/>
            </w:tcMar>
          </w:tcPr>
          <w:p>
            <w:pPr>
              <w:spacing w:after="0"/>
            </w:pPr>
            <w:r>
              <w:rPr>
                <w:rFonts w:ascii="Calibri" w:hAnsi="Calibri"/>
                <w:b w:val="0"/>
                <w:i w:val="0"/>
                <w:color w:val="20252B"/>
                <w:sz w:val="14"/>
              </w:rPr>
              <w:t>Establish accountable execution subject.</w:t>
            </w:r>
          </w:p>
        </w:tc>
      </w:tr>
      <w:tr>
        <w:trPr>
          <w:cantSplit w:val="true"/>
        </w:trPr>
        <w:tc>
          <w:tcPr>
            <w:tcW w:type="dxa" w:w="1500"/>
            <w:vAlign w:val="center"/>
            <w:tcMar>
              <w:top w:w="80" w:type="dxa"/>
              <w:bottom w:w="80" w:type="dxa"/>
              <w:start w:w="120" w:type="dxa"/>
              <w:end w:w="120" w:type="dxa"/>
            </w:tcMar>
          </w:tcPr>
          <w:p>
            <w:pPr>
              <w:spacing w:after="0"/>
            </w:pPr>
            <w:r>
              <w:rPr>
                <w:rFonts w:ascii="Calibri" w:hAnsi="Calibri"/>
                <w:b w:val="0"/>
                <w:i w:val="0"/>
                <w:color w:val="20252B"/>
                <w:sz w:val="14"/>
              </w:rPr>
              <w:t>Authority</w:t>
            </w:r>
          </w:p>
        </w:tc>
        <w:tc>
          <w:tcPr>
            <w:tcW w:type="dxa" w:w="4480"/>
            <w:vAlign w:val="center"/>
            <w:tcMar>
              <w:top w:w="80" w:type="dxa"/>
              <w:bottom w:w="80" w:type="dxa"/>
              <w:start w:w="120" w:type="dxa"/>
              <w:end w:w="120" w:type="dxa"/>
            </w:tcMar>
          </w:tcPr>
          <w:p>
            <w:pPr>
              <w:spacing w:after="0"/>
            </w:pPr>
            <w:r>
              <w:rPr>
                <w:rFonts w:ascii="Calibri" w:hAnsi="Calibri"/>
                <w:b w:val="0"/>
                <w:i w:val="0"/>
                <w:color w:val="20252B"/>
                <w:sz w:val="14"/>
              </w:rPr>
              <w:t>Grantor, grantee, scope, bounds, expiry, subdelegation, revocation.</w:t>
            </w:r>
          </w:p>
        </w:tc>
        <w:tc>
          <w:tcPr>
            <w:tcW w:type="dxa" w:w="3380"/>
            <w:vAlign w:val="center"/>
            <w:tcMar>
              <w:top w:w="80" w:type="dxa"/>
              <w:bottom w:w="80" w:type="dxa"/>
              <w:start w:w="120" w:type="dxa"/>
              <w:end w:w="120" w:type="dxa"/>
            </w:tcMar>
          </w:tcPr>
          <w:p>
            <w:pPr>
              <w:spacing w:after="0"/>
            </w:pPr>
            <w:r>
              <w:rPr>
                <w:rFonts w:ascii="Calibri" w:hAnsi="Calibri"/>
                <w:b w:val="0"/>
                <w:i w:val="0"/>
                <w:color w:val="20252B"/>
                <w:sz w:val="14"/>
              </w:rPr>
              <w:t>Prove current decision rights.</w:t>
            </w:r>
          </w:p>
        </w:tc>
      </w:tr>
      <w:tr>
        <w:trPr>
          <w:cantSplit w:val="true"/>
        </w:trPr>
        <w:tc>
          <w:tcPr>
            <w:tcW w:type="dxa" w:w="1500"/>
            <w:vAlign w:val="center"/>
            <w:tcMar>
              <w:top w:w="80" w:type="dxa"/>
              <w:bottom w:w="80" w:type="dxa"/>
              <w:start w:w="120" w:type="dxa"/>
              <w:end w:w="120" w:type="dxa"/>
            </w:tcMar>
          </w:tcPr>
          <w:p>
            <w:pPr>
              <w:spacing w:after="0"/>
            </w:pPr>
            <w:r>
              <w:rPr>
                <w:rFonts w:ascii="Calibri" w:hAnsi="Calibri"/>
                <w:b w:val="0"/>
                <w:i w:val="0"/>
                <w:color w:val="20252B"/>
                <w:sz w:val="14"/>
              </w:rPr>
              <w:t>Intent</w:t>
            </w:r>
          </w:p>
        </w:tc>
        <w:tc>
          <w:tcPr>
            <w:tcW w:type="dxa" w:w="4480"/>
            <w:vAlign w:val="center"/>
            <w:tcMar>
              <w:top w:w="80" w:type="dxa"/>
              <w:bottom w:w="80" w:type="dxa"/>
              <w:start w:w="120" w:type="dxa"/>
              <w:end w:w="120" w:type="dxa"/>
            </w:tcMar>
          </w:tcPr>
          <w:p>
            <w:pPr>
              <w:spacing w:after="0"/>
            </w:pPr>
            <w:r>
              <w:rPr>
                <w:rFonts w:ascii="Calibri" w:hAnsi="Calibri"/>
                <w:b w:val="0"/>
                <w:i w:val="0"/>
                <w:color w:val="20252B"/>
                <w:sz w:val="14"/>
              </w:rPr>
              <w:t>Mission objective, priorities, constraints, version.</w:t>
            </w:r>
          </w:p>
        </w:tc>
        <w:tc>
          <w:tcPr>
            <w:tcW w:type="dxa" w:w="3380"/>
            <w:vAlign w:val="center"/>
            <w:tcMar>
              <w:top w:w="80" w:type="dxa"/>
              <w:bottom w:w="80" w:type="dxa"/>
              <w:start w:w="120" w:type="dxa"/>
              <w:end w:w="120" w:type="dxa"/>
            </w:tcMar>
          </w:tcPr>
          <w:p>
            <w:pPr>
              <w:spacing w:after="0"/>
            </w:pPr>
            <w:r>
              <w:rPr>
                <w:rFonts w:ascii="Calibri" w:hAnsi="Calibri"/>
                <w:b w:val="0"/>
                <w:i w:val="0"/>
                <w:color w:val="20252B"/>
                <w:sz w:val="14"/>
              </w:rPr>
              <w:t>Bind action to current purpose.</w:t>
            </w:r>
          </w:p>
        </w:tc>
      </w:tr>
      <w:tr>
        <w:trPr>
          <w:cantSplit w:val="true"/>
        </w:trPr>
        <w:tc>
          <w:tcPr>
            <w:tcW w:type="dxa" w:w="1500"/>
            <w:vAlign w:val="center"/>
            <w:tcMar>
              <w:top w:w="80" w:type="dxa"/>
              <w:bottom w:w="80" w:type="dxa"/>
              <w:start w:w="120" w:type="dxa"/>
              <w:end w:w="120" w:type="dxa"/>
            </w:tcMar>
          </w:tcPr>
          <w:p>
            <w:pPr>
              <w:spacing w:after="0"/>
            </w:pPr>
            <w:r>
              <w:rPr>
                <w:rFonts w:ascii="Calibri" w:hAnsi="Calibri"/>
                <w:b w:val="0"/>
                <w:i w:val="0"/>
                <w:color w:val="20252B"/>
                <w:sz w:val="14"/>
              </w:rPr>
              <w:t>Action / target</w:t>
            </w:r>
          </w:p>
        </w:tc>
        <w:tc>
          <w:tcPr>
            <w:tcW w:type="dxa" w:w="4480"/>
            <w:vAlign w:val="center"/>
            <w:tcMar>
              <w:top w:w="80" w:type="dxa"/>
              <w:bottom w:w="80" w:type="dxa"/>
              <w:start w:w="120" w:type="dxa"/>
              <w:end w:w="120" w:type="dxa"/>
            </w:tcMar>
          </w:tcPr>
          <w:p>
            <w:pPr>
              <w:spacing w:after="0"/>
            </w:pPr>
            <w:r>
              <w:rPr>
                <w:rFonts w:ascii="Calibri" w:hAnsi="Calibri"/>
                <w:b w:val="0"/>
                <w:i w:val="0"/>
                <w:color w:val="20252B"/>
                <w:sz w:val="14"/>
              </w:rPr>
              <w:t>Canonical operation, parameters, resource, environment, stakeholder boundary.</w:t>
            </w:r>
          </w:p>
        </w:tc>
        <w:tc>
          <w:tcPr>
            <w:tcW w:type="dxa" w:w="3380"/>
            <w:vAlign w:val="center"/>
            <w:tcMar>
              <w:top w:w="80" w:type="dxa"/>
              <w:bottom w:w="80" w:type="dxa"/>
              <w:start w:w="120" w:type="dxa"/>
              <w:end w:w="120" w:type="dxa"/>
            </w:tcMar>
          </w:tcPr>
          <w:p>
            <w:pPr>
              <w:spacing w:after="0"/>
            </w:pPr>
            <w:r>
              <w:rPr>
                <w:rFonts w:ascii="Calibri" w:hAnsi="Calibri"/>
                <w:b w:val="0"/>
                <w:i w:val="0"/>
                <w:color w:val="20252B"/>
                <w:sz w:val="14"/>
              </w:rPr>
              <w:t>Prevent substitution and define effect destination.</w:t>
            </w:r>
          </w:p>
        </w:tc>
      </w:tr>
      <w:tr>
        <w:trPr>
          <w:cantSplit w:val="true"/>
        </w:trPr>
        <w:tc>
          <w:tcPr>
            <w:tcW w:type="dxa" w:w="1500"/>
            <w:vAlign w:val="center"/>
            <w:tcMar>
              <w:top w:w="80" w:type="dxa"/>
              <w:bottom w:w="80" w:type="dxa"/>
              <w:start w:w="120" w:type="dxa"/>
              <w:end w:w="120" w:type="dxa"/>
            </w:tcMar>
          </w:tcPr>
          <w:p>
            <w:pPr>
              <w:spacing w:after="0"/>
            </w:pPr>
            <w:r>
              <w:rPr>
                <w:rFonts w:ascii="Calibri" w:hAnsi="Calibri"/>
                <w:b w:val="0"/>
                <w:i w:val="0"/>
                <w:color w:val="20252B"/>
                <w:sz w:val="14"/>
              </w:rPr>
              <w:t>Evidence</w:t>
            </w:r>
          </w:p>
        </w:tc>
        <w:tc>
          <w:tcPr>
            <w:tcW w:type="dxa" w:w="4480"/>
            <w:vAlign w:val="center"/>
            <w:tcMar>
              <w:top w:w="80" w:type="dxa"/>
              <w:bottom w:w="80" w:type="dxa"/>
              <w:start w:w="120" w:type="dxa"/>
              <w:end w:w="120" w:type="dxa"/>
            </w:tcMar>
          </w:tcPr>
          <w:p>
            <w:pPr>
              <w:spacing w:after="0"/>
            </w:pPr>
            <w:r>
              <w:rPr>
                <w:rFonts w:ascii="Calibri" w:hAnsi="Calibri"/>
                <w:b w:val="0"/>
                <w:i w:val="0"/>
                <w:color w:val="20252B"/>
                <w:sz w:val="14"/>
              </w:rPr>
              <w:t>Source, provenance, freshness, uncertainty, integrity, independence.</w:t>
            </w:r>
          </w:p>
        </w:tc>
        <w:tc>
          <w:tcPr>
            <w:tcW w:type="dxa" w:w="3380"/>
            <w:vAlign w:val="center"/>
            <w:tcMar>
              <w:top w:w="80" w:type="dxa"/>
              <w:bottom w:w="80" w:type="dxa"/>
              <w:start w:w="120" w:type="dxa"/>
              <w:end w:w="120" w:type="dxa"/>
            </w:tcMar>
          </w:tcPr>
          <w:p>
            <w:pPr>
              <w:spacing w:after="0"/>
            </w:pPr>
            <w:r>
              <w:rPr>
                <w:rFonts w:ascii="Calibri" w:hAnsi="Calibri"/>
                <w:b w:val="0"/>
                <w:i w:val="0"/>
                <w:color w:val="20252B"/>
                <w:sz w:val="14"/>
              </w:rPr>
              <w:t>Support decision-relevant claims.</w:t>
            </w:r>
          </w:p>
        </w:tc>
      </w:tr>
      <w:tr>
        <w:trPr>
          <w:cantSplit w:val="true"/>
        </w:trPr>
        <w:tc>
          <w:tcPr>
            <w:tcW w:type="dxa" w:w="1500"/>
            <w:vAlign w:val="center"/>
            <w:tcMar>
              <w:top w:w="80" w:type="dxa"/>
              <w:bottom w:w="80" w:type="dxa"/>
              <w:start w:w="120" w:type="dxa"/>
              <w:end w:w="120" w:type="dxa"/>
            </w:tcMar>
          </w:tcPr>
          <w:p>
            <w:pPr>
              <w:spacing w:after="0"/>
            </w:pPr>
            <w:r>
              <w:rPr>
                <w:rFonts w:ascii="Calibri" w:hAnsi="Calibri"/>
                <w:b w:val="0"/>
                <w:i w:val="0"/>
                <w:color w:val="20252B"/>
                <w:sz w:val="14"/>
              </w:rPr>
              <w:t>Consequence</w:t>
            </w:r>
          </w:p>
        </w:tc>
        <w:tc>
          <w:tcPr>
            <w:tcW w:type="dxa" w:w="4480"/>
            <w:vAlign w:val="center"/>
            <w:tcMar>
              <w:top w:w="80" w:type="dxa"/>
              <w:bottom w:w="80" w:type="dxa"/>
              <w:start w:w="120" w:type="dxa"/>
              <w:end w:w="120" w:type="dxa"/>
            </w:tcMar>
          </w:tcPr>
          <w:p>
            <w:pPr>
              <w:spacing w:after="0"/>
            </w:pPr>
            <w:r>
              <w:rPr>
                <w:rFonts w:ascii="Calibri" w:hAnsi="Calibri"/>
                <w:b w:val="0"/>
                <w:i w:val="0"/>
                <w:color w:val="20252B"/>
                <w:sz w:val="14"/>
              </w:rPr>
              <w:t>Class, credible harms, reversibility, propagation, cumulative limits.</w:t>
            </w:r>
          </w:p>
        </w:tc>
        <w:tc>
          <w:tcPr>
            <w:tcW w:type="dxa" w:w="3380"/>
            <w:vAlign w:val="center"/>
            <w:tcMar>
              <w:top w:w="80" w:type="dxa"/>
              <w:bottom w:w="80" w:type="dxa"/>
              <w:start w:w="120" w:type="dxa"/>
              <w:end w:w="120" w:type="dxa"/>
            </w:tcMar>
          </w:tcPr>
          <w:p>
            <w:pPr>
              <w:spacing w:after="0"/>
            </w:pPr>
            <w:r>
              <w:rPr>
                <w:rFonts w:ascii="Calibri" w:hAnsi="Calibri"/>
                <w:b w:val="0"/>
                <w:i w:val="0"/>
                <w:color w:val="20252B"/>
                <w:sz w:val="14"/>
              </w:rPr>
              <w:t>Select the minimum control floor.</w:t>
            </w:r>
          </w:p>
        </w:tc>
      </w:tr>
      <w:tr>
        <w:trPr>
          <w:cantSplit w:val="true"/>
        </w:trPr>
        <w:tc>
          <w:tcPr>
            <w:tcW w:type="dxa" w:w="1500"/>
            <w:vAlign w:val="center"/>
            <w:tcMar>
              <w:top w:w="80" w:type="dxa"/>
              <w:bottom w:w="80" w:type="dxa"/>
              <w:start w:w="120" w:type="dxa"/>
              <w:end w:w="120" w:type="dxa"/>
            </w:tcMar>
          </w:tcPr>
          <w:p>
            <w:pPr>
              <w:spacing w:after="0"/>
            </w:pPr>
            <w:r>
              <w:rPr>
                <w:rFonts w:ascii="Calibri" w:hAnsi="Calibri"/>
                <w:b w:val="0"/>
                <w:i w:val="0"/>
                <w:color w:val="20252B"/>
                <w:sz w:val="14"/>
              </w:rPr>
              <w:t>Policy / assurance</w:t>
            </w:r>
          </w:p>
        </w:tc>
        <w:tc>
          <w:tcPr>
            <w:tcW w:type="dxa" w:w="4480"/>
            <w:vAlign w:val="center"/>
            <w:tcMar>
              <w:top w:w="80" w:type="dxa"/>
              <w:bottom w:w="80" w:type="dxa"/>
              <w:start w:w="120" w:type="dxa"/>
              <w:end w:w="120" w:type="dxa"/>
            </w:tcMar>
          </w:tcPr>
          <w:p>
            <w:pPr>
              <w:spacing w:after="0"/>
            </w:pPr>
            <w:r>
              <w:rPr>
                <w:rFonts w:ascii="Calibri" w:hAnsi="Calibri"/>
                <w:b w:val="0"/>
                <w:i w:val="0"/>
                <w:color w:val="20252B"/>
                <w:sz w:val="14"/>
              </w:rPr>
              <w:t>Rule and evaluator versions; visible vector results and limitations.</w:t>
            </w:r>
          </w:p>
        </w:tc>
        <w:tc>
          <w:tcPr>
            <w:tcW w:type="dxa" w:w="3380"/>
            <w:vAlign w:val="center"/>
            <w:tcMar>
              <w:top w:w="80" w:type="dxa"/>
              <w:bottom w:w="80" w:type="dxa"/>
              <w:start w:w="120" w:type="dxa"/>
              <w:end w:w="120" w:type="dxa"/>
            </w:tcMar>
          </w:tcPr>
          <w:p>
            <w:pPr>
              <w:spacing w:after="0"/>
            </w:pPr>
            <w:r>
              <w:rPr>
                <w:rFonts w:ascii="Calibri" w:hAnsi="Calibri"/>
                <w:b w:val="0"/>
                <w:i w:val="0"/>
                <w:color w:val="20252B"/>
                <w:sz w:val="14"/>
              </w:rPr>
              <w:t>Make authorization reproducible and contestable.</w:t>
            </w:r>
          </w:p>
        </w:tc>
      </w:tr>
      <w:tr>
        <w:trPr>
          <w:cantSplit w:val="true"/>
        </w:trPr>
        <w:tc>
          <w:tcPr>
            <w:tcW w:type="dxa" w:w="1500"/>
            <w:vAlign w:val="center"/>
            <w:tcMar>
              <w:top w:w="80" w:type="dxa"/>
              <w:bottom w:w="80" w:type="dxa"/>
              <w:start w:w="120" w:type="dxa"/>
              <w:end w:w="120" w:type="dxa"/>
            </w:tcMar>
          </w:tcPr>
          <w:p>
            <w:pPr>
              <w:spacing w:after="0"/>
            </w:pPr>
            <w:r>
              <w:rPr>
                <w:rFonts w:ascii="Calibri" w:hAnsi="Calibri"/>
                <w:b w:val="0"/>
                <w:i w:val="0"/>
                <w:color w:val="20252B"/>
                <w:sz w:val="14"/>
              </w:rPr>
              <w:t>Time / PNT</w:t>
            </w:r>
          </w:p>
        </w:tc>
        <w:tc>
          <w:tcPr>
            <w:tcW w:type="dxa" w:w="4480"/>
            <w:vAlign w:val="center"/>
            <w:tcMar>
              <w:top w:w="80" w:type="dxa"/>
              <w:bottom w:w="80" w:type="dxa"/>
              <w:start w:w="120" w:type="dxa"/>
              <w:end w:w="120" w:type="dxa"/>
            </w:tcMar>
          </w:tcPr>
          <w:p>
            <w:pPr>
              <w:spacing w:after="0"/>
            </w:pPr>
            <w:r>
              <w:rPr>
                <w:rFonts w:ascii="Calibri" w:hAnsi="Calibri"/>
                <w:b w:val="0"/>
                <w:i w:val="0"/>
                <w:color w:val="20252B"/>
                <w:sz w:val="14"/>
              </w:rPr>
              <w:t>Source, uncertainty, integrity, ordering, validity, degraded state.</w:t>
            </w:r>
          </w:p>
        </w:tc>
        <w:tc>
          <w:tcPr>
            <w:tcW w:type="dxa" w:w="3380"/>
            <w:vAlign w:val="center"/>
            <w:tcMar>
              <w:top w:w="80" w:type="dxa"/>
              <w:bottom w:w="80" w:type="dxa"/>
              <w:start w:w="120" w:type="dxa"/>
              <w:end w:w="120" w:type="dxa"/>
            </w:tcMar>
          </w:tcPr>
          <w:p>
            <w:pPr>
              <w:spacing w:after="0"/>
            </w:pPr>
            <w:r>
              <w:rPr>
                <w:rFonts w:ascii="Calibri" w:hAnsi="Calibri"/>
                <w:b w:val="0"/>
                <w:i w:val="0"/>
                <w:color w:val="20252B"/>
                <w:sz w:val="14"/>
              </w:rPr>
              <w:t>Preserve temporal and spatial validity.</w:t>
            </w:r>
          </w:p>
        </w:tc>
      </w:tr>
      <w:tr>
        <w:trPr>
          <w:cantSplit w:val="true"/>
        </w:trPr>
        <w:tc>
          <w:tcPr>
            <w:tcW w:type="dxa" w:w="1500"/>
            <w:vAlign w:val="center"/>
            <w:tcMar>
              <w:top w:w="80" w:type="dxa"/>
              <w:bottom w:w="80" w:type="dxa"/>
              <w:start w:w="120" w:type="dxa"/>
              <w:end w:w="120" w:type="dxa"/>
            </w:tcMar>
          </w:tcPr>
          <w:p>
            <w:pPr>
              <w:spacing w:after="0"/>
            </w:pPr>
            <w:r>
              <w:rPr>
                <w:rFonts w:ascii="Calibri" w:hAnsi="Calibri"/>
                <w:b w:val="0"/>
                <w:i w:val="0"/>
                <w:color w:val="20252B"/>
                <w:sz w:val="14"/>
              </w:rPr>
              <w:t>Recovery</w:t>
            </w:r>
          </w:p>
        </w:tc>
        <w:tc>
          <w:tcPr>
            <w:tcW w:type="dxa" w:w="4480"/>
            <w:vAlign w:val="center"/>
            <w:tcMar>
              <w:top w:w="80" w:type="dxa"/>
              <w:bottom w:w="80" w:type="dxa"/>
              <w:start w:w="120" w:type="dxa"/>
              <w:end w:w="120" w:type="dxa"/>
            </w:tcMar>
          </w:tcPr>
          <w:p>
            <w:pPr>
              <w:spacing w:after="0"/>
            </w:pPr>
            <w:r>
              <w:rPr>
                <w:rFonts w:ascii="Calibri" w:hAnsi="Calibri"/>
                <w:b w:val="0"/>
                <w:i w:val="0"/>
                <w:color w:val="20252B"/>
                <w:sz w:val="14"/>
              </w:rPr>
              <w:t>Stop, rollback, containment, compensation, takeover, resource bounds.</w:t>
            </w:r>
          </w:p>
        </w:tc>
        <w:tc>
          <w:tcPr>
            <w:tcW w:type="dxa" w:w="3380"/>
            <w:vAlign w:val="center"/>
            <w:tcMar>
              <w:top w:w="80" w:type="dxa"/>
              <w:bottom w:w="80" w:type="dxa"/>
              <w:start w:w="120" w:type="dxa"/>
              <w:end w:w="120" w:type="dxa"/>
            </w:tcMar>
          </w:tcPr>
          <w:p>
            <w:pPr>
              <w:spacing w:after="0"/>
            </w:pPr>
            <w:r>
              <w:rPr>
                <w:rFonts w:ascii="Calibri" w:hAnsi="Calibri"/>
                <w:b w:val="0"/>
                <w:i w:val="0"/>
                <w:color w:val="20252B"/>
                <w:sz w:val="14"/>
              </w:rPr>
              <w:t>Bound failure and restore accountable control.</w:t>
            </w:r>
          </w:p>
        </w:tc>
      </w:tr>
      <w:tr>
        <w:trPr>
          <w:cantSplit w:val="true"/>
        </w:trPr>
        <w:tc>
          <w:tcPr>
            <w:tcW w:type="dxa" w:w="1500"/>
            <w:vAlign w:val="center"/>
            <w:tcMar>
              <w:top w:w="80" w:type="dxa"/>
              <w:bottom w:w="80" w:type="dxa"/>
              <w:start w:w="120" w:type="dxa"/>
              <w:end w:w="120" w:type="dxa"/>
            </w:tcMar>
          </w:tcPr>
          <w:p>
            <w:pPr>
              <w:spacing w:after="0"/>
            </w:pPr>
            <w:r>
              <w:rPr>
                <w:rFonts w:ascii="Calibri" w:hAnsi="Calibri"/>
                <w:b w:val="0"/>
                <w:i w:val="0"/>
                <w:color w:val="20252B"/>
                <w:sz w:val="14"/>
              </w:rPr>
              <w:t>Disposition / effect</w:t>
            </w:r>
          </w:p>
        </w:tc>
        <w:tc>
          <w:tcPr>
            <w:tcW w:type="dxa" w:w="4480"/>
            <w:vAlign w:val="center"/>
            <w:tcMar>
              <w:top w:w="80" w:type="dxa"/>
              <w:bottom w:w="80" w:type="dxa"/>
              <w:start w:w="120" w:type="dxa"/>
              <w:end w:w="120" w:type="dxa"/>
            </w:tcMar>
          </w:tcPr>
          <w:p>
            <w:pPr>
              <w:spacing w:after="0"/>
            </w:pPr>
            <w:r>
              <w:rPr>
                <w:rFonts w:ascii="Calibri" w:hAnsi="Calibri"/>
                <w:b w:val="0"/>
                <w:i w:val="0"/>
                <w:color w:val="20252B"/>
                <w:sz w:val="14"/>
              </w:rPr>
              <w:t>Authorization state, enforcement receipt, observations, divergence, closure.</w:t>
            </w:r>
          </w:p>
        </w:tc>
        <w:tc>
          <w:tcPr>
            <w:tcW w:type="dxa" w:w="3380"/>
            <w:vAlign w:val="center"/>
            <w:tcMar>
              <w:top w:w="80" w:type="dxa"/>
              <w:bottom w:w="80" w:type="dxa"/>
              <w:start w:w="120" w:type="dxa"/>
              <w:end w:w="120" w:type="dxa"/>
            </w:tcMar>
          </w:tcPr>
          <w:p>
            <w:pPr>
              <w:spacing w:after="0"/>
            </w:pPr>
            <w:r>
              <w:rPr>
                <w:rFonts w:ascii="Calibri" w:hAnsi="Calibri"/>
                <w:b w:val="0"/>
                <w:i w:val="0"/>
                <w:color w:val="20252B"/>
                <w:sz w:val="14"/>
              </w:rPr>
              <w:t>Separate permission, attempt, achieved state, and recovery.</w:t>
            </w:r>
          </w:p>
        </w:tc>
      </w:tr>
    </w:tbl>
    <w:p>
      <w:pPr>
        <w:widowControl/>
        <w:spacing w:before="80" w:after="80"/>
      </w:pPr>
    </w:p>
    <w:tbl>
      <w:tblPr>
        <w:tblW w:type="dxa" w:w="9360"/>
        <w:jc w:val="left"/>
        <w:tblLayout w:type="fixed"/>
        <w:tblLook w:firstColumn="1" w:firstRow="1" w:lastColumn="0" w:lastRow="0" w:noHBand="0" w:noVBand="1" w:val="04A0"/>
        <w:tblInd w:w="120" w:type="dxa"/>
      </w:tblPr>
      <w:tblGrid>
        <w:gridCol w:w="9360"/>
      </w:tblGrid>
      <w:tr>
        <w:trPr>
          <w:tblHeader w:val="true"/>
          <w:cantSplit w:val="true"/>
        </w:trPr>
        <w:tc>
          <w:tcPr>
            <w:tcW w:type="dxa" w:w="9360"/>
            <w:tcMar>
              <w:top w:w="80" w:type="dxa"/>
              <w:bottom w:w="80" w:type="dxa"/>
              <w:start w:w="120" w:type="dxa"/>
              <w:end w:w="120" w:type="dxa"/>
            </w:tcMar>
            <w:shd w:fill="E8EEF5" w:val="clear"/>
            <w:vAlign w:val="center"/>
          </w:tcPr>
          <w:p>
            <w:pPr>
              <w:spacing w:after="0"/>
            </w:pPr>
            <w:r>
              <w:rPr>
                <w:rFonts w:ascii="Calibri" w:hAnsi="Calibri"/>
                <w:b/>
                <w:i w:val="0"/>
                <w:color w:val="17324D"/>
                <w:sz w:val="21"/>
              </w:rPr>
              <w:t xml:space="preserve">INTEROPERABILITY RULE: </w:t>
            </w:r>
            <w:r>
              <w:rPr>
                <w:rFonts w:ascii="Calibri" w:hAnsi="Calibri"/>
                <w:b w:val="0"/>
                <w:i w:val="0"/>
                <w:color w:val="20252B"/>
                <w:sz w:val="21"/>
              </w:rPr>
              <w:t>Producers publish required semantics. Consumers record validation, rejection, acceptance, and actual use in the computed decision. Presence alone is not operational use.</w:t>
            </w:r>
          </w:p>
        </w:tc>
      </w:tr>
    </w:tbl>
    <w:p>
      <w:pPr>
        <w:widowControl/>
        <w:spacing w:after="40"/>
      </w:pPr>
    </w:p>
    <w:p>
      <w:pPr>
        <w:pStyle w:val="Heading1"/>
        <w:pageBreakBefore/>
        <w:widowControl/>
      </w:pPr>
      <w:r>
        <w:t>6. Consequence and Human Control</w:t>
      </w:r>
    </w:p>
    <w:p>
      <w:pPr>
        <w:widowControl/>
        <w:spacing w:after="200"/>
      </w:pPr>
      <w:r>
        <w:rPr>
          <w:rFonts w:ascii="Calibri" w:hAnsi="Calibri"/>
          <w:b/>
          <w:i w:val="0"/>
          <w:color w:val="17324D"/>
          <w:sz w:val="23"/>
        </w:rPr>
        <w:t>Scale assurance to the worst credible effect, not to model confidence or vendor claims.</w:t>
      </w:r>
    </w:p>
    <w:tbl>
      <w:tblPr>
        <w:tblStyle w:val="TableGrid"/>
        <w:tblW w:type="dxa" w:w="9360"/>
        <w:jc w:val="left"/>
        <w:tblLayout w:type="fixed"/>
        <w:tblLook w:firstColumn="1" w:firstRow="1" w:lastColumn="0" w:lastRow="0" w:noHBand="0" w:noVBand="1" w:val="04A0"/>
        <w:tblInd w:w="120" w:type="dxa"/>
      </w:tblPr>
      <w:tblGrid>
        <w:gridCol w:w="1700"/>
        <w:gridCol w:w="3870"/>
        <w:gridCol w:w="3790"/>
      </w:tblGrid>
      <w:tr>
        <w:trPr>
          <w:tblHeader w:val="true"/>
          <w:cantSplit w:val="true"/>
        </w:trPr>
        <w:tc>
          <w:tcPr>
            <w:tcW w:type="dxa" w:w="1700"/>
            <w:shd w:fill="F2F4F7" w:val="clear"/>
            <w:vAlign w:val="center"/>
            <w:tcMar>
              <w:top w:w="80" w:type="dxa"/>
              <w:bottom w:w="80" w:type="dxa"/>
              <w:start w:w="120" w:type="dxa"/>
              <w:end w:w="120" w:type="dxa"/>
            </w:tcMar>
          </w:tcPr>
          <w:p>
            <w:pPr>
              <w:spacing w:after="0"/>
              <w:jc w:val="left"/>
            </w:pPr>
            <w:r>
              <w:rPr>
                <w:rFonts w:ascii="Calibri" w:hAnsi="Calibri"/>
                <w:b/>
                <w:i w:val="0"/>
                <w:color w:val="17324D"/>
                <w:sz w:val="15"/>
              </w:rPr>
              <w:t>Class</w:t>
            </w:r>
          </w:p>
        </w:tc>
        <w:tc>
          <w:tcPr>
            <w:tcW w:type="dxa" w:w="3870"/>
            <w:shd w:fill="F2F4F7" w:val="clear"/>
            <w:vAlign w:val="center"/>
            <w:tcMar>
              <w:top w:w="80" w:type="dxa"/>
              <w:bottom w:w="80" w:type="dxa"/>
              <w:start w:w="120" w:type="dxa"/>
              <w:end w:w="120" w:type="dxa"/>
            </w:tcMar>
          </w:tcPr>
          <w:p>
            <w:pPr>
              <w:spacing w:after="0"/>
              <w:jc w:val="left"/>
            </w:pPr>
            <w:r>
              <w:rPr>
                <w:rFonts w:ascii="Calibri" w:hAnsi="Calibri"/>
                <w:b/>
                <w:i w:val="0"/>
                <w:color w:val="17324D"/>
                <w:sz w:val="15"/>
              </w:rPr>
              <w:t>Credible effect</w:t>
            </w:r>
          </w:p>
        </w:tc>
        <w:tc>
          <w:tcPr>
            <w:tcW w:type="dxa" w:w="3790"/>
            <w:shd w:fill="F2F4F7" w:val="clear"/>
            <w:vAlign w:val="center"/>
            <w:tcMar>
              <w:top w:w="80" w:type="dxa"/>
              <w:bottom w:w="80" w:type="dxa"/>
              <w:start w:w="120" w:type="dxa"/>
              <w:end w:w="120" w:type="dxa"/>
            </w:tcMar>
          </w:tcPr>
          <w:p>
            <w:pPr>
              <w:spacing w:after="0"/>
              <w:jc w:val="left"/>
            </w:pPr>
            <w:r>
              <w:rPr>
                <w:rFonts w:ascii="Calibri" w:hAnsi="Calibri"/>
                <w:b/>
                <w:i w:val="0"/>
                <w:color w:val="17324D"/>
                <w:sz w:val="15"/>
              </w:rPr>
              <w:t>Minimum control-floor direction</w:t>
            </w:r>
          </w:p>
        </w:tc>
      </w:tr>
      <w:tr>
        <w:trPr>
          <w:cantSplit w:val="true"/>
        </w:trPr>
        <w:tc>
          <w:tcPr>
            <w:tcW w:type="dxa" w:w="1700"/>
            <w:vAlign w:val="center"/>
            <w:tcMar>
              <w:top w:w="80" w:type="dxa"/>
              <w:bottom w:w="80" w:type="dxa"/>
              <w:start w:w="120" w:type="dxa"/>
              <w:end w:w="120" w:type="dxa"/>
            </w:tcMar>
          </w:tcPr>
          <w:p>
            <w:pPr>
              <w:spacing w:after="0"/>
            </w:pPr>
            <w:r>
              <w:rPr>
                <w:rFonts w:ascii="Calibri" w:hAnsi="Calibri"/>
                <w:b w:val="0"/>
                <w:i w:val="0"/>
                <w:color w:val="20252B"/>
                <w:sz w:val="15"/>
              </w:rPr>
              <w:t>CC-0 Non-effecting</w:t>
            </w:r>
          </w:p>
        </w:tc>
        <w:tc>
          <w:tcPr>
            <w:tcW w:type="dxa" w:w="3870"/>
            <w:vAlign w:val="center"/>
            <w:tcMar>
              <w:top w:w="80" w:type="dxa"/>
              <w:bottom w:w="80" w:type="dxa"/>
              <w:start w:w="120" w:type="dxa"/>
              <w:end w:w="120" w:type="dxa"/>
            </w:tcMar>
          </w:tcPr>
          <w:p>
            <w:pPr>
              <w:spacing w:after="0"/>
            </w:pPr>
            <w:r>
              <w:rPr>
                <w:rFonts w:ascii="Calibri" w:hAnsi="Calibri"/>
                <w:b w:val="0"/>
                <w:i w:val="0"/>
                <w:color w:val="20252B"/>
                <w:sz w:val="15"/>
              </w:rPr>
              <w:t>Analysis, recommendation, shadow mode, or isolated simulation.</w:t>
            </w:r>
          </w:p>
        </w:tc>
        <w:tc>
          <w:tcPr>
            <w:tcW w:type="dxa" w:w="3790"/>
            <w:vAlign w:val="center"/>
            <w:tcMar>
              <w:top w:w="80" w:type="dxa"/>
              <w:bottom w:w="80" w:type="dxa"/>
              <w:start w:w="120" w:type="dxa"/>
              <w:end w:w="120" w:type="dxa"/>
            </w:tcMar>
          </w:tcPr>
          <w:p>
            <w:pPr>
              <w:spacing w:after="0"/>
            </w:pPr>
            <w:r>
              <w:rPr>
                <w:rFonts w:ascii="Calibri" w:hAnsi="Calibri"/>
                <w:b w:val="0"/>
                <w:i w:val="0"/>
                <w:color w:val="20252B"/>
                <w:sz w:val="15"/>
              </w:rPr>
              <w:t>Identity, provenance, production isolation, labeling, proportional retention.</w:t>
            </w:r>
          </w:p>
        </w:tc>
      </w:tr>
      <w:tr>
        <w:trPr>
          <w:cantSplit w:val="true"/>
        </w:trPr>
        <w:tc>
          <w:tcPr>
            <w:tcW w:type="dxa" w:w="1700"/>
            <w:vAlign w:val="center"/>
            <w:tcMar>
              <w:top w:w="80" w:type="dxa"/>
              <w:bottom w:w="80" w:type="dxa"/>
              <w:start w:w="120" w:type="dxa"/>
              <w:end w:w="120" w:type="dxa"/>
            </w:tcMar>
          </w:tcPr>
          <w:p>
            <w:pPr>
              <w:spacing w:after="0"/>
            </w:pPr>
            <w:r>
              <w:rPr>
                <w:rFonts w:ascii="Calibri" w:hAnsi="Calibri"/>
                <w:b w:val="0"/>
                <w:i w:val="0"/>
                <w:color w:val="20252B"/>
                <w:sz w:val="15"/>
              </w:rPr>
              <w:t>CC-1 Bounded</w:t>
            </w:r>
          </w:p>
        </w:tc>
        <w:tc>
          <w:tcPr>
            <w:tcW w:type="dxa" w:w="3870"/>
            <w:vAlign w:val="center"/>
            <w:tcMar>
              <w:top w:w="80" w:type="dxa"/>
              <w:bottom w:w="80" w:type="dxa"/>
              <w:start w:w="120" w:type="dxa"/>
              <w:end w:w="120" w:type="dxa"/>
            </w:tcMar>
          </w:tcPr>
          <w:p>
            <w:pPr>
              <w:spacing w:after="0"/>
            </w:pPr>
            <w:r>
              <w:rPr>
                <w:rFonts w:ascii="Calibri" w:hAnsi="Calibri"/>
                <w:b w:val="0"/>
                <w:i w:val="0"/>
                <w:color w:val="20252B"/>
                <w:sz w:val="15"/>
              </w:rPr>
              <w:t>Localized, detectable, reversible effect with routine recovery.</w:t>
            </w:r>
          </w:p>
        </w:tc>
        <w:tc>
          <w:tcPr>
            <w:tcW w:type="dxa" w:w="3790"/>
            <w:vAlign w:val="center"/>
            <w:tcMar>
              <w:top w:w="80" w:type="dxa"/>
              <w:bottom w:w="80" w:type="dxa"/>
              <w:start w:w="120" w:type="dxa"/>
              <w:end w:w="120" w:type="dxa"/>
            </w:tcMar>
          </w:tcPr>
          <w:p>
            <w:pPr>
              <w:spacing w:after="0"/>
            </w:pPr>
            <w:r>
              <w:rPr>
                <w:rFonts w:ascii="Calibri" w:hAnsi="Calibri"/>
                <w:b w:val="0"/>
                <w:i w:val="0"/>
                <w:color w:val="20252B"/>
                <w:sz w:val="15"/>
              </w:rPr>
              <w:t>Explicit delegation, exact action binding, enforcement, validity, effect receipt.</w:t>
            </w:r>
          </w:p>
        </w:tc>
      </w:tr>
      <w:tr>
        <w:trPr>
          <w:cantSplit w:val="true"/>
        </w:trPr>
        <w:tc>
          <w:tcPr>
            <w:tcW w:type="dxa" w:w="1700"/>
            <w:vAlign w:val="center"/>
            <w:tcMar>
              <w:top w:w="80" w:type="dxa"/>
              <w:bottom w:w="80" w:type="dxa"/>
              <w:start w:w="120" w:type="dxa"/>
              <w:end w:w="120" w:type="dxa"/>
            </w:tcMar>
          </w:tcPr>
          <w:p>
            <w:pPr>
              <w:spacing w:after="0"/>
            </w:pPr>
            <w:r>
              <w:rPr>
                <w:rFonts w:ascii="Calibri" w:hAnsi="Calibri"/>
                <w:b w:val="0"/>
                <w:i w:val="0"/>
                <w:color w:val="20252B"/>
                <w:sz w:val="15"/>
              </w:rPr>
              <w:t>CC-2 Material</w:t>
            </w:r>
          </w:p>
        </w:tc>
        <w:tc>
          <w:tcPr>
            <w:tcW w:type="dxa" w:w="3870"/>
            <w:vAlign w:val="center"/>
            <w:tcMar>
              <w:top w:w="80" w:type="dxa"/>
              <w:bottom w:w="80" w:type="dxa"/>
              <w:start w:w="120" w:type="dxa"/>
              <w:end w:w="120" w:type="dxa"/>
            </w:tcMar>
          </w:tcPr>
          <w:p>
            <w:pPr>
              <w:spacing w:after="0"/>
            </w:pPr>
            <w:r>
              <w:rPr>
                <w:rFonts w:ascii="Calibri" w:hAnsi="Calibri"/>
                <w:b w:val="0"/>
                <w:i w:val="0"/>
                <w:color w:val="20252B"/>
                <w:sz w:val="15"/>
              </w:rPr>
              <w:t>Meaningful but limited operational, financial, security, privacy, or mission effect.</w:t>
            </w:r>
          </w:p>
        </w:tc>
        <w:tc>
          <w:tcPr>
            <w:tcW w:type="dxa" w:w="3790"/>
            <w:vAlign w:val="center"/>
            <w:tcMar>
              <w:top w:w="80" w:type="dxa"/>
              <w:bottom w:w="80" w:type="dxa"/>
              <w:start w:w="120" w:type="dxa"/>
              <w:end w:w="120" w:type="dxa"/>
            </w:tcMar>
          </w:tcPr>
          <w:p>
            <w:pPr>
              <w:spacing w:after="0"/>
            </w:pPr>
            <w:r>
              <w:rPr>
                <w:rFonts w:ascii="Calibri" w:hAnsi="Calibri"/>
                <w:b w:val="0"/>
                <w:i w:val="0"/>
                <w:color w:val="20252B"/>
                <w:sz w:val="15"/>
              </w:rPr>
              <w:t>Independent enforcement, consequence-specific evidence, tested recovery, cumulative limits.</w:t>
            </w:r>
          </w:p>
        </w:tc>
      </w:tr>
      <w:tr>
        <w:trPr>
          <w:cantSplit w:val="true"/>
        </w:trPr>
        <w:tc>
          <w:tcPr>
            <w:tcW w:type="dxa" w:w="1700"/>
            <w:vAlign w:val="center"/>
            <w:tcMar>
              <w:top w:w="80" w:type="dxa"/>
              <w:bottom w:w="80" w:type="dxa"/>
              <w:start w:w="120" w:type="dxa"/>
              <w:end w:w="120" w:type="dxa"/>
            </w:tcMar>
          </w:tcPr>
          <w:p>
            <w:pPr>
              <w:spacing w:after="0"/>
            </w:pPr>
            <w:r>
              <w:rPr>
                <w:rFonts w:ascii="Calibri" w:hAnsi="Calibri"/>
                <w:b w:val="0"/>
                <w:i w:val="0"/>
                <w:color w:val="20252B"/>
                <w:sz w:val="15"/>
              </w:rPr>
              <w:t>CC-3 High</w:t>
            </w:r>
          </w:p>
        </w:tc>
        <w:tc>
          <w:tcPr>
            <w:tcW w:type="dxa" w:w="3870"/>
            <w:vAlign w:val="center"/>
            <w:tcMar>
              <w:top w:w="80" w:type="dxa"/>
              <w:bottom w:w="80" w:type="dxa"/>
              <w:start w:w="120" w:type="dxa"/>
              <w:end w:w="120" w:type="dxa"/>
            </w:tcMar>
          </w:tcPr>
          <w:p>
            <w:pPr>
              <w:spacing w:after="0"/>
            </w:pPr>
            <w:r>
              <w:rPr>
                <w:rFonts w:ascii="Calibri" w:hAnsi="Calibri"/>
                <w:b w:val="0"/>
                <w:i w:val="0"/>
                <w:color w:val="20252B"/>
                <w:sz w:val="15"/>
              </w:rPr>
              <w:t>Severe, safety-significant, fast-propagating, cross-domain, or difficult-to-reverse effect.</w:t>
            </w:r>
          </w:p>
        </w:tc>
        <w:tc>
          <w:tcPr>
            <w:tcW w:type="dxa" w:w="3790"/>
            <w:vAlign w:val="center"/>
            <w:tcMar>
              <w:top w:w="80" w:type="dxa"/>
              <w:bottom w:w="80" w:type="dxa"/>
              <w:start w:w="120" w:type="dxa"/>
              <w:end w:w="120" w:type="dxa"/>
            </w:tcMar>
          </w:tcPr>
          <w:p>
            <w:pPr>
              <w:spacing w:after="0"/>
            </w:pPr>
            <w:r>
              <w:rPr>
                <w:rFonts w:ascii="Calibri" w:hAnsi="Calibri"/>
                <w:b w:val="0"/>
                <w:i w:val="0"/>
                <w:color w:val="20252B"/>
                <w:sz w:val="15"/>
              </w:rPr>
              <w:t>Independent evidence/enforcement, positive oversight or validated preauthorization, exercised takeover.</w:t>
            </w:r>
          </w:p>
        </w:tc>
      </w:tr>
      <w:tr>
        <w:trPr>
          <w:cantSplit w:val="true"/>
        </w:trPr>
        <w:tc>
          <w:tcPr>
            <w:tcW w:type="dxa" w:w="1700"/>
            <w:vAlign w:val="center"/>
            <w:tcMar>
              <w:top w:w="80" w:type="dxa"/>
              <w:bottom w:w="80" w:type="dxa"/>
              <w:start w:w="120" w:type="dxa"/>
              <w:end w:w="120" w:type="dxa"/>
            </w:tcMar>
          </w:tcPr>
          <w:p>
            <w:pPr>
              <w:spacing w:after="0"/>
            </w:pPr>
            <w:r>
              <w:rPr>
                <w:rFonts w:ascii="Calibri" w:hAnsi="Calibri"/>
                <w:b w:val="0"/>
                <w:i w:val="0"/>
                <w:color w:val="20252B"/>
                <w:sz w:val="15"/>
              </w:rPr>
              <w:t>CC-4 Critical</w:t>
            </w:r>
          </w:p>
        </w:tc>
        <w:tc>
          <w:tcPr>
            <w:tcW w:type="dxa" w:w="3870"/>
            <w:vAlign w:val="center"/>
            <w:tcMar>
              <w:top w:w="80" w:type="dxa"/>
              <w:bottom w:w="80" w:type="dxa"/>
              <w:start w:w="120" w:type="dxa"/>
              <w:end w:w="120" w:type="dxa"/>
            </w:tcMar>
          </w:tcPr>
          <w:p>
            <w:pPr>
              <w:spacing w:after="0"/>
            </w:pPr>
            <w:r>
              <w:rPr>
                <w:rFonts w:ascii="Calibri" w:hAnsi="Calibri"/>
                <w:b w:val="0"/>
                <w:i w:val="0"/>
                <w:color w:val="20252B"/>
                <w:sz w:val="15"/>
              </w:rPr>
              <w:t>Catastrophic, potentially fatal at scale, strategically irreversible, or systemic effect.</w:t>
            </w:r>
          </w:p>
        </w:tc>
        <w:tc>
          <w:tcPr>
            <w:tcW w:type="dxa" w:w="3790"/>
            <w:vAlign w:val="center"/>
            <w:tcMar>
              <w:top w:w="80" w:type="dxa"/>
              <w:bottom w:w="80" w:type="dxa"/>
              <w:start w:w="120" w:type="dxa"/>
              <w:end w:w="120" w:type="dxa"/>
            </w:tcMar>
          </w:tcPr>
          <w:p>
            <w:pPr>
              <w:spacing w:after="0"/>
            </w:pPr>
            <w:r>
              <w:rPr>
                <w:rFonts w:ascii="Calibri" w:hAnsi="Calibri"/>
                <w:b w:val="0"/>
                <w:i w:val="0"/>
                <w:color w:val="20252B"/>
                <w:sz w:val="15"/>
              </w:rPr>
              <w:t>Explicit accountable-authority approval, deterministic interlocks, multiple inhibition means, narrow authorization, pre-positioned recovery.</w:t>
            </w:r>
          </w:p>
        </w:tc>
      </w:tr>
    </w:tbl>
    <w:p>
      <w:pPr>
        <w:widowControl/>
        <w:spacing w:before="80" w:after="80"/>
      </w:pPr>
    </w:p>
    <w:p>
      <w:pPr>
        <w:pStyle w:val="Heading2"/>
        <w:widowControl/>
      </w:pPr>
      <w:r>
        <w:t>Human-control modes</w:t>
      </w:r>
    </w:p>
    <w:p>
      <w:pPr>
        <w:pStyle w:val="AERABullet"/>
        <w:widowControl/>
        <w:numPr>
          <w:ilvl w:val="0"/>
          <w:numId w:val="10"/>
        </w:numPr>
      </w:pPr>
      <w:r>
        <w:rPr>
          <w:rFonts w:ascii="Calibri" w:hAnsi="Calibri"/>
          <w:b w:val="0"/>
          <w:i w:val="0"/>
          <w:color w:val="20252B"/>
          <w:sz w:val="22"/>
        </w:rPr>
        <w:t>INFORMED - a human receives decision-relevant status but does not authorize each action.</w:t>
      </w:r>
    </w:p>
    <w:p>
      <w:pPr>
        <w:pStyle w:val="AERABullet"/>
        <w:widowControl/>
        <w:numPr>
          <w:ilvl w:val="0"/>
          <w:numId w:val="10"/>
        </w:numPr>
      </w:pPr>
      <w:r>
        <w:rPr>
          <w:rFonts w:ascii="Calibri" w:hAnsi="Calibri"/>
          <w:b w:val="0"/>
          <w:i w:val="0"/>
          <w:color w:val="20252B"/>
          <w:sz w:val="22"/>
        </w:rPr>
        <w:t>SUPERVISED - a human monitors and can intervene within a validated response window.</w:t>
      </w:r>
    </w:p>
    <w:p>
      <w:pPr>
        <w:pStyle w:val="AERABullet"/>
        <w:widowControl/>
        <w:numPr>
          <w:ilvl w:val="0"/>
          <w:numId w:val="10"/>
        </w:numPr>
      </w:pPr>
      <w:r>
        <w:rPr>
          <w:rFonts w:ascii="Calibri" w:hAnsi="Calibri"/>
          <w:b w:val="0"/>
          <w:i w:val="0"/>
          <w:color w:val="20252B"/>
          <w:sz w:val="22"/>
        </w:rPr>
        <w:t>APPROVED - a human or governance authority approves the bounded action or action class.</w:t>
      </w:r>
    </w:p>
    <w:p>
      <w:pPr>
        <w:pStyle w:val="AERABullet"/>
        <w:widowControl/>
        <w:numPr>
          <w:ilvl w:val="0"/>
          <w:numId w:val="10"/>
        </w:numPr>
      </w:pPr>
      <w:r>
        <w:rPr>
          <w:rFonts w:ascii="Calibri" w:hAnsi="Calibri"/>
          <w:b w:val="0"/>
          <w:i w:val="0"/>
          <w:color w:val="20252B"/>
          <w:sz w:val="22"/>
        </w:rPr>
        <w:t>CONTROLLED - deterministic interlocks, inhibition, and accountable human release remain in the path.</w:t>
      </w:r>
    </w:p>
    <w:tbl>
      <w:tblPr>
        <w:tblW w:type="dxa" w:w="9360"/>
        <w:jc w:val="left"/>
        <w:tblLayout w:type="fixed"/>
        <w:tblLook w:firstColumn="1" w:firstRow="1" w:lastColumn="0" w:lastRow="0" w:noHBand="0" w:noVBand="1" w:val="04A0"/>
        <w:tblInd w:w="120" w:type="dxa"/>
      </w:tblPr>
      <w:tblGrid>
        <w:gridCol w:w="9360"/>
      </w:tblGrid>
      <w:tr>
        <w:trPr>
          <w:tblHeader w:val="true"/>
          <w:cantSplit w:val="true"/>
        </w:trPr>
        <w:tc>
          <w:tcPr>
            <w:tcW w:type="dxa" w:w="9360"/>
            <w:tcMar>
              <w:top w:w="80" w:type="dxa"/>
              <w:bottom w:w="80" w:type="dxa"/>
              <w:start w:w="120" w:type="dxa"/>
              <w:end w:w="120" w:type="dxa"/>
            </w:tcMar>
            <w:shd w:fill="FCEDED" w:val="clear"/>
            <w:vAlign w:val="center"/>
          </w:tcPr>
          <w:p>
            <w:pPr>
              <w:spacing w:after="0"/>
            </w:pPr>
            <w:r>
              <w:rPr>
                <w:rFonts w:ascii="Calibri" w:hAnsi="Calibri"/>
                <w:b/>
                <w:i w:val="0"/>
                <w:color w:val="9B1C1C"/>
                <w:sz w:val="21"/>
              </w:rPr>
              <w:t xml:space="preserve">CONTROL FLOOR: </w:t>
            </w:r>
            <w:r>
              <w:rPr>
                <w:rFonts w:ascii="Calibri" w:hAnsi="Calibri"/>
                <w:b w:val="0"/>
                <w:i w:val="0"/>
                <w:color w:val="20252B"/>
                <w:sz w:val="21"/>
              </w:rPr>
              <w:t>Probability, model sophistication, automation benefit, or high confidence cannot lower the minimum controls required by credible consequence.</w:t>
            </w:r>
          </w:p>
        </w:tc>
      </w:tr>
    </w:tbl>
    <w:p>
      <w:pPr>
        <w:widowControl/>
        <w:spacing w:after="40"/>
      </w:pPr>
    </w:p>
    <w:p>
      <w:pPr>
        <w:pStyle w:val="Heading1"/>
        <w:pageBreakBefore/>
        <w:widowControl/>
      </w:pPr>
      <w:r>
        <w:t>7. Relationship to NIST Work</w:t>
      </w:r>
    </w:p>
    <w:p>
      <w:pPr>
        <w:widowControl/>
        <w:spacing w:after="200"/>
      </w:pPr>
      <w:r>
        <w:rPr>
          <w:rFonts w:ascii="Calibri" w:hAnsi="Calibri"/>
          <w:b/>
          <w:i w:val="0"/>
          <w:color w:val="17324D"/>
          <w:sz w:val="23"/>
        </w:rPr>
        <w:t>AERA is designed to complement NIST risk outcomes with decision-authority architecture and implementation evidence.</w:t>
      </w:r>
    </w:p>
    <w:tbl>
      <w:tblPr>
        <w:tblStyle w:val="TableGrid"/>
        <w:tblW w:type="dxa" w:w="9360"/>
        <w:jc w:val="left"/>
        <w:tblLayout w:type="fixed"/>
        <w:tblLook w:firstColumn="1" w:firstRow="1" w:lastColumn="0" w:lastRow="0" w:noHBand="0" w:noVBand="1" w:val="04A0"/>
        <w:tblInd w:w="120" w:type="dxa"/>
      </w:tblPr>
      <w:tblGrid>
        <w:gridCol w:w="1800"/>
        <w:gridCol w:w="4550"/>
        <w:gridCol w:w="3010"/>
      </w:tblGrid>
      <w:tr>
        <w:trPr>
          <w:tblHeader w:val="true"/>
          <w:cantSplit w:val="true"/>
        </w:trPr>
        <w:tc>
          <w:tcPr>
            <w:tcW w:type="dxa" w:w="1800"/>
            <w:shd w:fill="F2F4F7" w:val="clear"/>
            <w:vAlign w:val="center"/>
            <w:tcMar>
              <w:top w:w="80" w:type="dxa"/>
              <w:bottom w:w="80" w:type="dxa"/>
              <w:start w:w="120" w:type="dxa"/>
              <w:end w:w="120" w:type="dxa"/>
            </w:tcMar>
          </w:tcPr>
          <w:p>
            <w:pPr>
              <w:spacing w:after="0"/>
              <w:jc w:val="left"/>
            </w:pPr>
            <w:r>
              <w:rPr>
                <w:rFonts w:ascii="Calibri" w:hAnsi="Calibri"/>
                <w:b/>
                <w:i w:val="0"/>
                <w:color w:val="17324D"/>
                <w:sz w:val="15"/>
              </w:rPr>
              <w:t>NIST work</w:t>
            </w:r>
          </w:p>
        </w:tc>
        <w:tc>
          <w:tcPr>
            <w:tcW w:type="dxa" w:w="4550"/>
            <w:shd w:fill="F2F4F7" w:val="clear"/>
            <w:vAlign w:val="center"/>
            <w:tcMar>
              <w:top w:w="80" w:type="dxa"/>
              <w:bottom w:w="80" w:type="dxa"/>
              <w:start w:w="120" w:type="dxa"/>
              <w:end w:w="120" w:type="dxa"/>
            </w:tcMar>
          </w:tcPr>
          <w:p>
            <w:pPr>
              <w:spacing w:after="0"/>
              <w:jc w:val="left"/>
            </w:pPr>
            <w:r>
              <w:rPr>
                <w:rFonts w:ascii="Calibri" w:hAnsi="Calibri"/>
                <w:b/>
                <w:i w:val="0"/>
                <w:color w:val="17324D"/>
                <w:sz w:val="15"/>
              </w:rPr>
              <w:t>How AERA uses it</w:t>
            </w:r>
          </w:p>
        </w:tc>
        <w:tc>
          <w:tcPr>
            <w:tcW w:type="dxa" w:w="3010"/>
            <w:shd w:fill="F2F4F7" w:val="clear"/>
            <w:vAlign w:val="center"/>
            <w:tcMar>
              <w:top w:w="80" w:type="dxa"/>
              <w:bottom w:w="80" w:type="dxa"/>
              <w:start w:w="120" w:type="dxa"/>
              <w:end w:w="120" w:type="dxa"/>
            </w:tcMar>
          </w:tcPr>
          <w:p>
            <w:pPr>
              <w:spacing w:after="0"/>
              <w:jc w:val="left"/>
            </w:pPr>
            <w:r>
              <w:rPr>
                <w:rFonts w:ascii="Calibri" w:hAnsi="Calibri"/>
                <w:b/>
                <w:i w:val="0"/>
                <w:color w:val="17324D"/>
                <w:sz w:val="15"/>
              </w:rPr>
              <w:t>Boundary</w:t>
            </w:r>
          </w:p>
        </w:tc>
      </w:tr>
      <w:tr>
        <w:trPr>
          <w:cantSplit w:val="true"/>
        </w:trPr>
        <w:tc>
          <w:tcPr>
            <w:tcW w:type="dxa" w:w="1800"/>
            <w:vAlign w:val="center"/>
            <w:tcMar>
              <w:top w:w="80" w:type="dxa"/>
              <w:bottom w:w="80" w:type="dxa"/>
              <w:start w:w="120" w:type="dxa"/>
              <w:end w:w="120" w:type="dxa"/>
            </w:tcMar>
          </w:tcPr>
          <w:p>
            <w:pPr>
              <w:spacing w:after="0"/>
            </w:pPr>
            <w:r>
              <w:rPr>
                <w:rFonts w:ascii="Calibri" w:hAnsi="Calibri"/>
                <w:b w:val="0"/>
                <w:i w:val="0"/>
                <w:color w:val="20252B"/>
                <w:sz w:val="15"/>
              </w:rPr>
              <w:t>AI RMF 1.0</w:t>
            </w:r>
          </w:p>
        </w:tc>
        <w:tc>
          <w:tcPr>
            <w:tcW w:type="dxa" w:w="4550"/>
            <w:vAlign w:val="center"/>
            <w:tcMar>
              <w:top w:w="80" w:type="dxa"/>
              <w:bottom w:w="80" w:type="dxa"/>
              <w:start w:w="120" w:type="dxa"/>
              <w:end w:w="120" w:type="dxa"/>
            </w:tcMar>
          </w:tcPr>
          <w:p>
            <w:pPr>
              <w:spacing w:after="0"/>
            </w:pPr>
            <w:r>
              <w:rPr>
                <w:rFonts w:ascii="Calibri" w:hAnsi="Calibri"/>
                <w:b w:val="0"/>
                <w:i w:val="0"/>
                <w:color w:val="20252B"/>
                <w:sz w:val="15"/>
              </w:rPr>
              <w:t>Risk outcomes and trustworthiness characteristics inform governance, assurance, metrics, and review questions.</w:t>
            </w:r>
          </w:p>
        </w:tc>
        <w:tc>
          <w:tcPr>
            <w:tcW w:type="dxa" w:w="3010"/>
            <w:vAlign w:val="center"/>
            <w:tcMar>
              <w:top w:w="80" w:type="dxa"/>
              <w:bottom w:w="80" w:type="dxa"/>
              <w:start w:w="120" w:type="dxa"/>
              <w:end w:w="120" w:type="dxa"/>
            </w:tcMar>
          </w:tcPr>
          <w:p>
            <w:pPr>
              <w:spacing w:after="0"/>
            </w:pPr>
            <w:r>
              <w:rPr>
                <w:rFonts w:ascii="Calibri" w:hAnsi="Calibri"/>
                <w:b w:val="0"/>
                <w:i w:val="0"/>
                <w:color w:val="20252B"/>
                <w:sz w:val="15"/>
              </w:rPr>
              <w:t>AERA is not a NIST framework and has not been NIST-validated.</w:t>
            </w:r>
          </w:p>
        </w:tc>
      </w:tr>
      <w:tr>
        <w:trPr>
          <w:cantSplit w:val="true"/>
        </w:trPr>
        <w:tc>
          <w:tcPr>
            <w:tcW w:type="dxa" w:w="1800"/>
            <w:vAlign w:val="center"/>
            <w:tcMar>
              <w:top w:w="80" w:type="dxa"/>
              <w:bottom w:w="80" w:type="dxa"/>
              <w:start w:w="120" w:type="dxa"/>
              <w:end w:w="120" w:type="dxa"/>
            </w:tcMar>
          </w:tcPr>
          <w:p>
            <w:pPr>
              <w:spacing w:after="0"/>
            </w:pPr>
            <w:r>
              <w:rPr>
                <w:rFonts w:ascii="Calibri" w:hAnsi="Calibri"/>
                <w:b w:val="0"/>
                <w:i w:val="0"/>
                <w:color w:val="20252B"/>
                <w:sz w:val="15"/>
              </w:rPr>
              <w:t>CSF 2.0</w:t>
            </w:r>
          </w:p>
        </w:tc>
        <w:tc>
          <w:tcPr>
            <w:tcW w:type="dxa" w:w="4550"/>
            <w:vAlign w:val="center"/>
            <w:tcMar>
              <w:top w:w="80" w:type="dxa"/>
              <w:bottom w:w="80" w:type="dxa"/>
              <w:start w:w="120" w:type="dxa"/>
              <w:end w:w="120" w:type="dxa"/>
            </w:tcMar>
          </w:tcPr>
          <w:p>
            <w:pPr>
              <w:spacing w:after="0"/>
            </w:pPr>
            <w:r>
              <w:rPr>
                <w:rFonts w:ascii="Calibri" w:hAnsi="Calibri"/>
                <w:b w:val="0"/>
                <w:i w:val="0"/>
                <w:color w:val="20252B"/>
                <w:sz w:val="15"/>
              </w:rPr>
              <w:t>Cybersecurity governance, protection, detection, response, and recovery provide risk-management anchors.</w:t>
            </w:r>
          </w:p>
        </w:tc>
        <w:tc>
          <w:tcPr>
            <w:tcW w:type="dxa" w:w="3010"/>
            <w:vAlign w:val="center"/>
            <w:tcMar>
              <w:top w:w="80" w:type="dxa"/>
              <w:bottom w:w="80" w:type="dxa"/>
              <w:start w:w="120" w:type="dxa"/>
              <w:end w:w="120" w:type="dxa"/>
            </w:tcMar>
          </w:tcPr>
          <w:p>
            <w:pPr>
              <w:spacing w:after="0"/>
            </w:pPr>
            <w:r>
              <w:rPr>
                <w:rFonts w:ascii="Calibri" w:hAnsi="Calibri"/>
                <w:b w:val="0"/>
                <w:i w:val="0"/>
                <w:color w:val="20252B"/>
                <w:sz w:val="15"/>
              </w:rPr>
              <w:t>AERA does not establish CSF implementation or outcomes.</w:t>
            </w:r>
          </w:p>
        </w:tc>
      </w:tr>
      <w:tr>
        <w:trPr>
          <w:cantSplit w:val="true"/>
        </w:trPr>
        <w:tc>
          <w:tcPr>
            <w:tcW w:type="dxa" w:w="1800"/>
            <w:vAlign w:val="center"/>
            <w:tcMar>
              <w:top w:w="80" w:type="dxa"/>
              <w:bottom w:w="80" w:type="dxa"/>
              <w:start w:w="120" w:type="dxa"/>
              <w:end w:w="120" w:type="dxa"/>
            </w:tcMar>
          </w:tcPr>
          <w:p>
            <w:pPr>
              <w:spacing w:after="0"/>
            </w:pPr>
            <w:r>
              <w:rPr>
                <w:rFonts w:ascii="Calibri" w:hAnsi="Calibri"/>
                <w:b w:val="0"/>
                <w:i w:val="0"/>
                <w:color w:val="20252B"/>
                <w:sz w:val="15"/>
              </w:rPr>
              <w:t>SP 800-53 / 53A</w:t>
            </w:r>
          </w:p>
        </w:tc>
        <w:tc>
          <w:tcPr>
            <w:tcW w:type="dxa" w:w="4550"/>
            <w:vAlign w:val="center"/>
            <w:tcMar>
              <w:top w:w="80" w:type="dxa"/>
              <w:bottom w:w="80" w:type="dxa"/>
              <w:start w:w="120" w:type="dxa"/>
              <w:end w:w="120" w:type="dxa"/>
            </w:tcMar>
          </w:tcPr>
          <w:p>
            <w:pPr>
              <w:spacing w:after="0"/>
            </w:pPr>
            <w:r>
              <w:rPr>
                <w:rFonts w:ascii="Calibri" w:hAnsi="Calibri"/>
                <w:b w:val="0"/>
                <w:i w:val="0"/>
                <w:color w:val="20252B"/>
                <w:sz w:val="15"/>
              </w:rPr>
              <w:t>Candidate control and assessment evidence may be reused when scope, subject, implementation, context, and evidence period match.</w:t>
            </w:r>
          </w:p>
        </w:tc>
        <w:tc>
          <w:tcPr>
            <w:tcW w:type="dxa" w:w="3010"/>
            <w:vAlign w:val="center"/>
            <w:tcMar>
              <w:top w:w="80" w:type="dxa"/>
              <w:bottom w:w="80" w:type="dxa"/>
              <w:start w:w="120" w:type="dxa"/>
              <w:end w:w="120" w:type="dxa"/>
            </w:tcMar>
          </w:tcPr>
          <w:p>
            <w:pPr>
              <w:spacing w:after="0"/>
            </w:pPr>
            <w:r>
              <w:rPr>
                <w:rFonts w:ascii="Calibri" w:hAnsi="Calibri"/>
                <w:b w:val="0"/>
                <w:i w:val="0"/>
                <w:color w:val="20252B"/>
                <w:sz w:val="15"/>
              </w:rPr>
              <w:t>Mapping does not prove control selection, implementation, or effectiveness.</w:t>
            </w:r>
          </w:p>
        </w:tc>
      </w:tr>
      <w:tr>
        <w:trPr>
          <w:cantSplit w:val="true"/>
        </w:trPr>
        <w:tc>
          <w:tcPr>
            <w:tcW w:type="dxa" w:w="1800"/>
            <w:vAlign w:val="center"/>
            <w:tcMar>
              <w:top w:w="80" w:type="dxa"/>
              <w:bottom w:w="80" w:type="dxa"/>
              <w:start w:w="120" w:type="dxa"/>
              <w:end w:w="120" w:type="dxa"/>
            </w:tcMar>
          </w:tcPr>
          <w:p>
            <w:pPr>
              <w:spacing w:after="0"/>
            </w:pPr>
            <w:r>
              <w:rPr>
                <w:rFonts w:ascii="Calibri" w:hAnsi="Calibri"/>
                <w:b w:val="0"/>
                <w:i w:val="0"/>
                <w:color w:val="20252B"/>
                <w:sz w:val="15"/>
              </w:rPr>
              <w:t>SP 800-207</w:t>
            </w:r>
          </w:p>
        </w:tc>
        <w:tc>
          <w:tcPr>
            <w:tcW w:type="dxa" w:w="4550"/>
            <w:vAlign w:val="center"/>
            <w:tcMar>
              <w:top w:w="80" w:type="dxa"/>
              <w:bottom w:w="80" w:type="dxa"/>
              <w:start w:w="120" w:type="dxa"/>
              <w:end w:w="120" w:type="dxa"/>
            </w:tcMar>
          </w:tcPr>
          <w:p>
            <w:pPr>
              <w:spacing w:after="0"/>
            </w:pPr>
            <w:r>
              <w:rPr>
                <w:rFonts w:ascii="Calibri" w:hAnsi="Calibri"/>
                <w:b w:val="0"/>
                <w:i w:val="0"/>
                <w:color w:val="20252B"/>
                <w:sz w:val="15"/>
              </w:rPr>
              <w:t>Zero Trust access decisions are necessary inputs; AERA adds delegated authority, consequence, effect, and recovery semantics.</w:t>
            </w:r>
          </w:p>
        </w:tc>
        <w:tc>
          <w:tcPr>
            <w:tcW w:type="dxa" w:w="3010"/>
            <w:vAlign w:val="center"/>
            <w:tcMar>
              <w:top w:w="80" w:type="dxa"/>
              <w:bottom w:w="80" w:type="dxa"/>
              <w:start w:w="120" w:type="dxa"/>
              <w:end w:w="120" w:type="dxa"/>
            </w:tcMar>
          </w:tcPr>
          <w:p>
            <w:pPr>
              <w:spacing w:after="0"/>
            </w:pPr>
            <w:r>
              <w:rPr>
                <w:rFonts w:ascii="Calibri" w:hAnsi="Calibri"/>
                <w:b w:val="0"/>
                <w:i w:val="0"/>
                <w:color w:val="20252B"/>
                <w:sz w:val="15"/>
              </w:rPr>
              <w:t>Complementary relationship, not equivalence.</w:t>
            </w:r>
          </w:p>
        </w:tc>
      </w:tr>
      <w:tr>
        <w:trPr>
          <w:cantSplit w:val="true"/>
        </w:trPr>
        <w:tc>
          <w:tcPr>
            <w:tcW w:type="dxa" w:w="1800"/>
            <w:vAlign w:val="center"/>
            <w:tcMar>
              <w:top w:w="80" w:type="dxa"/>
              <w:bottom w:w="80" w:type="dxa"/>
              <w:start w:w="120" w:type="dxa"/>
              <w:end w:w="120" w:type="dxa"/>
            </w:tcMar>
          </w:tcPr>
          <w:p>
            <w:pPr>
              <w:spacing w:after="0"/>
            </w:pPr>
            <w:r>
              <w:rPr>
                <w:rFonts w:ascii="Calibri" w:hAnsi="Calibri"/>
                <w:b w:val="0"/>
                <w:i w:val="0"/>
                <w:color w:val="20252B"/>
                <w:sz w:val="15"/>
              </w:rPr>
              <w:t>IR 8477 / OLIR</w:t>
            </w:r>
          </w:p>
        </w:tc>
        <w:tc>
          <w:tcPr>
            <w:tcW w:type="dxa" w:w="4550"/>
            <w:vAlign w:val="center"/>
            <w:tcMar>
              <w:top w:w="80" w:type="dxa"/>
              <w:bottom w:w="80" w:type="dxa"/>
              <w:start w:w="120" w:type="dxa"/>
              <w:end w:w="120" w:type="dxa"/>
            </w:tcMar>
          </w:tcPr>
          <w:p>
            <w:pPr>
              <w:spacing w:after="0"/>
            </w:pPr>
            <w:r>
              <w:rPr>
                <w:rFonts w:ascii="Calibri" w:hAnsi="Calibri"/>
                <w:b w:val="0"/>
                <w:i w:val="0"/>
                <w:color w:val="20252B"/>
                <w:sz w:val="15"/>
              </w:rPr>
              <w:t>Provides the method and publication pathway for future atomic mappings.</w:t>
            </w:r>
          </w:p>
        </w:tc>
        <w:tc>
          <w:tcPr>
            <w:tcW w:type="dxa" w:w="3010"/>
            <w:vAlign w:val="center"/>
            <w:tcMar>
              <w:top w:w="80" w:type="dxa"/>
              <w:bottom w:w="80" w:type="dxa"/>
              <w:start w:w="120" w:type="dxa"/>
              <w:end w:w="120" w:type="dxa"/>
            </w:tcMar>
          </w:tcPr>
          <w:p>
            <w:pPr>
              <w:spacing w:after="0"/>
            </w:pPr>
            <w:r>
              <w:rPr>
                <w:rFonts w:ascii="Calibri" w:hAnsi="Calibri"/>
                <w:b w:val="0"/>
                <w:i w:val="0"/>
                <w:color w:val="20252B"/>
                <w:sz w:val="15"/>
              </w:rPr>
              <w:t>The 1.2 mapping ledger is developmental, not submitted or NIST-reviewed.</w:t>
            </w:r>
          </w:p>
        </w:tc>
      </w:tr>
      <w:tr>
        <w:trPr>
          <w:cantSplit w:val="true"/>
        </w:trPr>
        <w:tc>
          <w:tcPr>
            <w:tcW w:type="dxa" w:w="1800"/>
            <w:vAlign w:val="center"/>
            <w:tcMar>
              <w:top w:w="80" w:type="dxa"/>
              <w:bottom w:w="80" w:type="dxa"/>
              <w:start w:w="120" w:type="dxa"/>
              <w:end w:w="120" w:type="dxa"/>
            </w:tcMar>
          </w:tcPr>
          <w:p>
            <w:pPr>
              <w:spacing w:after="0"/>
            </w:pPr>
            <w:r>
              <w:rPr>
                <w:rFonts w:ascii="Calibri" w:hAnsi="Calibri"/>
                <w:b w:val="0"/>
                <w:i w:val="0"/>
                <w:color w:val="20252B"/>
                <w:sz w:val="15"/>
              </w:rPr>
              <w:t>Critical Infrastructure Profile COI</w:t>
            </w:r>
          </w:p>
        </w:tc>
        <w:tc>
          <w:tcPr>
            <w:tcW w:type="dxa" w:w="4550"/>
            <w:vAlign w:val="center"/>
            <w:tcMar>
              <w:top w:w="80" w:type="dxa"/>
              <w:bottom w:w="80" w:type="dxa"/>
              <w:start w:w="120" w:type="dxa"/>
              <w:end w:w="120" w:type="dxa"/>
            </w:tcMar>
          </w:tcPr>
          <w:p>
            <w:pPr>
              <w:spacing w:after="0"/>
            </w:pPr>
            <w:r>
              <w:rPr>
                <w:rFonts w:ascii="Calibri" w:hAnsi="Calibri"/>
                <w:b w:val="0"/>
                <w:i w:val="0"/>
                <w:color w:val="20252B"/>
                <w:sz w:val="15"/>
              </w:rPr>
              <w:t>A possible forum for guardrailed autonomous response, IT/OT mission threads, TEVV, recovery, supply chain, and fail-safe design input.</w:t>
            </w:r>
          </w:p>
        </w:tc>
        <w:tc>
          <w:tcPr>
            <w:tcW w:type="dxa" w:w="3010"/>
            <w:vAlign w:val="center"/>
            <w:tcMar>
              <w:top w:w="80" w:type="dxa"/>
              <w:bottom w:w="80" w:type="dxa"/>
              <w:start w:w="120" w:type="dxa"/>
              <w:end w:w="120" w:type="dxa"/>
            </w:tcMar>
          </w:tcPr>
          <w:p>
            <w:pPr>
              <w:spacing w:after="0"/>
            </w:pPr>
            <w:r>
              <w:rPr>
                <w:rFonts w:ascii="Calibri" w:hAnsi="Calibri"/>
                <w:b w:val="0"/>
                <w:i w:val="0"/>
                <w:color w:val="20252B"/>
                <w:sz w:val="15"/>
              </w:rPr>
              <w:t>Participation would not imply adoption or endorsement.</w:t>
            </w:r>
          </w:p>
        </w:tc>
      </w:tr>
    </w:tbl>
    <w:p>
      <w:pPr>
        <w:widowControl/>
        <w:spacing w:before="80" w:after="80"/>
      </w:pPr>
    </w:p>
    <w:tbl>
      <w:tblPr>
        <w:tblW w:type="dxa" w:w="9360"/>
        <w:jc w:val="left"/>
        <w:tblLayout w:type="fixed"/>
        <w:tblLook w:firstColumn="1" w:firstRow="1" w:lastColumn="0" w:lastRow="0" w:noHBand="0" w:noVBand="1" w:val="04A0"/>
        <w:tblInd w:w="120" w:type="dxa"/>
      </w:tblPr>
      <w:tblGrid>
        <w:gridCol w:w="9360"/>
      </w:tblGrid>
      <w:tr>
        <w:trPr>
          <w:tblHeader w:val="true"/>
          <w:cantSplit w:val="true"/>
        </w:trPr>
        <w:tc>
          <w:tcPr>
            <w:tcW w:type="dxa" w:w="9360"/>
            <w:tcMar>
              <w:top w:w="80" w:type="dxa"/>
              <w:bottom w:w="80" w:type="dxa"/>
              <w:start w:w="120" w:type="dxa"/>
              <w:end w:w="120" w:type="dxa"/>
            </w:tcMar>
            <w:shd w:fill="FFF5D6" w:val="clear"/>
            <w:vAlign w:val="center"/>
          </w:tcPr>
          <w:p>
            <w:pPr>
              <w:spacing w:after="0"/>
            </w:pPr>
            <w:r>
              <w:rPr>
                <w:rFonts w:ascii="Calibri" w:hAnsi="Calibri"/>
                <w:b/>
                <w:i w:val="0"/>
                <w:color w:val="A46F00"/>
                <w:sz w:val="21"/>
              </w:rPr>
              <w:t xml:space="preserve">PUBLIC CLAIM: </w:t>
            </w:r>
            <w:r>
              <w:rPr>
                <w:rFonts w:ascii="Calibri" w:hAnsi="Calibri"/>
                <w:b w:val="0"/>
                <w:i w:val="0"/>
                <w:color w:val="20252B"/>
                <w:sz w:val="21"/>
              </w:rPr>
              <w:t>Use: 'designed for compatibility with selected NIST outcomes, with mappings under development.' Do not use: 'NIST-supported,' 'NIST-approved,' 'NIST-aligned,' or 'NIST-endorsed.'</w:t>
            </w:r>
          </w:p>
        </w:tc>
      </w:tr>
    </w:tbl>
    <w:p>
      <w:pPr>
        <w:widowControl/>
        <w:spacing w:after="40"/>
      </w:pPr>
    </w:p>
    <w:p>
      <w:pPr>
        <w:pStyle w:val="Heading1"/>
        <w:pageBreakBefore/>
        <w:widowControl/>
      </w:pPr>
      <w:r>
        <w:t>8. What Changed in 1.2 WD</w:t>
      </w:r>
    </w:p>
    <w:tbl>
      <w:tblPr>
        <w:tblStyle w:val="TableGrid"/>
        <w:tblW w:type="dxa" w:w="9360"/>
        <w:jc w:val="left"/>
        <w:tblLayout w:type="fixed"/>
        <w:tblLook w:firstColumn="1" w:firstRow="1" w:lastColumn="0" w:lastRow="0" w:noHBand="0" w:noVBand="1" w:val="04A0"/>
        <w:tblInd w:w="120" w:type="dxa"/>
      </w:tblPr>
      <w:tblGrid>
        <w:gridCol w:w="1900"/>
        <w:gridCol w:w="4380"/>
        <w:gridCol w:w="3080"/>
      </w:tblGrid>
      <w:tr>
        <w:trPr>
          <w:tblHeader w:val="true"/>
          <w:cantSplit w:val="true"/>
        </w:trPr>
        <w:tc>
          <w:tcPr>
            <w:tcW w:type="dxa" w:w="1900"/>
            <w:shd w:fill="F2F4F7" w:val="clear"/>
            <w:vAlign w:val="center"/>
            <w:tcMar>
              <w:top w:w="80" w:type="dxa"/>
              <w:bottom w:w="80" w:type="dxa"/>
              <w:start w:w="120" w:type="dxa"/>
              <w:end w:w="120" w:type="dxa"/>
            </w:tcMar>
          </w:tcPr>
          <w:p>
            <w:pPr>
              <w:spacing w:after="0"/>
              <w:jc w:val="left"/>
            </w:pPr>
            <w:r>
              <w:rPr>
                <w:rFonts w:ascii="Calibri" w:hAnsi="Calibri"/>
                <w:b/>
                <w:i w:val="0"/>
                <w:color w:val="17324D"/>
                <w:sz w:val="15"/>
              </w:rPr>
              <w:t>Change area</w:t>
            </w:r>
          </w:p>
        </w:tc>
        <w:tc>
          <w:tcPr>
            <w:tcW w:type="dxa" w:w="4380"/>
            <w:shd w:fill="F2F4F7" w:val="clear"/>
            <w:vAlign w:val="center"/>
            <w:tcMar>
              <w:top w:w="80" w:type="dxa"/>
              <w:bottom w:w="80" w:type="dxa"/>
              <w:start w:w="120" w:type="dxa"/>
              <w:end w:w="120" w:type="dxa"/>
            </w:tcMar>
          </w:tcPr>
          <w:p>
            <w:pPr>
              <w:spacing w:after="0"/>
              <w:jc w:val="left"/>
            </w:pPr>
            <w:r>
              <w:rPr>
                <w:rFonts w:ascii="Calibri" w:hAnsi="Calibri"/>
                <w:b/>
                <w:i w:val="0"/>
                <w:color w:val="17324D"/>
                <w:sz w:val="15"/>
              </w:rPr>
              <w:t>1.2 WD improvement</w:t>
            </w:r>
          </w:p>
        </w:tc>
        <w:tc>
          <w:tcPr>
            <w:tcW w:type="dxa" w:w="3080"/>
            <w:shd w:fill="F2F4F7" w:val="clear"/>
            <w:vAlign w:val="center"/>
            <w:tcMar>
              <w:top w:w="80" w:type="dxa"/>
              <w:bottom w:w="80" w:type="dxa"/>
              <w:start w:w="120" w:type="dxa"/>
              <w:end w:w="120" w:type="dxa"/>
            </w:tcMar>
          </w:tcPr>
          <w:p>
            <w:pPr>
              <w:spacing w:after="0"/>
              <w:jc w:val="left"/>
            </w:pPr>
            <w:r>
              <w:rPr>
                <w:rFonts w:ascii="Calibri" w:hAnsi="Calibri"/>
                <w:b/>
                <w:i w:val="0"/>
                <w:color w:val="17324D"/>
                <w:sz w:val="15"/>
              </w:rPr>
              <w:t>Reviewer focus</w:t>
            </w:r>
          </w:p>
        </w:tc>
      </w:tr>
      <w:tr>
        <w:trPr>
          <w:cantSplit w:val="true"/>
        </w:trPr>
        <w:tc>
          <w:tcPr>
            <w:tcW w:type="dxa" w:w="1900"/>
            <w:vAlign w:val="center"/>
            <w:tcMar>
              <w:top w:w="80" w:type="dxa"/>
              <w:bottom w:w="80" w:type="dxa"/>
              <w:start w:w="120" w:type="dxa"/>
              <w:end w:w="120" w:type="dxa"/>
            </w:tcMar>
          </w:tcPr>
          <w:p>
            <w:pPr>
              <w:spacing w:after="0"/>
            </w:pPr>
            <w:r>
              <w:rPr>
                <w:rFonts w:ascii="Calibri" w:hAnsi="Calibri"/>
                <w:b w:val="0"/>
                <w:i w:val="0"/>
                <w:color w:val="20252B"/>
                <w:sz w:val="15"/>
              </w:rPr>
              <w:t>Normative control</w:t>
            </w:r>
          </w:p>
        </w:tc>
        <w:tc>
          <w:tcPr>
            <w:tcW w:type="dxa" w:w="4380"/>
            <w:vAlign w:val="center"/>
            <w:tcMar>
              <w:top w:w="80" w:type="dxa"/>
              <w:bottom w:w="80" w:type="dxa"/>
              <w:start w:w="120" w:type="dxa"/>
              <w:end w:w="120" w:type="dxa"/>
            </w:tcMar>
          </w:tcPr>
          <w:p>
            <w:pPr>
              <w:spacing w:after="0"/>
            </w:pPr>
            <w:r>
              <w:rPr>
                <w:rFonts w:ascii="Calibri" w:hAnsi="Calibri"/>
                <w:b w:val="0"/>
                <w:i w:val="0"/>
                <w:color w:val="20252B"/>
                <w:sz w:val="15"/>
              </w:rPr>
              <w:t>Clarified normative perimeter, canonical requirement source, and release-blocking divergence rule.</w:t>
            </w:r>
          </w:p>
        </w:tc>
        <w:tc>
          <w:tcPr>
            <w:tcW w:type="dxa" w:w="3080"/>
            <w:vAlign w:val="center"/>
            <w:tcMar>
              <w:top w:w="80" w:type="dxa"/>
              <w:bottom w:w="80" w:type="dxa"/>
              <w:start w:w="120" w:type="dxa"/>
              <w:end w:w="120" w:type="dxa"/>
            </w:tcMar>
          </w:tcPr>
          <w:p>
            <w:pPr>
              <w:spacing w:after="0"/>
            </w:pPr>
            <w:r>
              <w:rPr>
                <w:rFonts w:ascii="Calibri" w:hAnsi="Calibri"/>
                <w:b w:val="0"/>
                <w:i w:val="0"/>
                <w:color w:val="20252B"/>
                <w:sz w:val="15"/>
              </w:rPr>
              <w:t>Can an implementer determine exactly what is mandatory?</w:t>
            </w:r>
          </w:p>
        </w:tc>
      </w:tr>
      <w:tr>
        <w:trPr>
          <w:cantSplit w:val="true"/>
        </w:trPr>
        <w:tc>
          <w:tcPr>
            <w:tcW w:type="dxa" w:w="1900"/>
            <w:vAlign w:val="center"/>
            <w:tcMar>
              <w:top w:w="80" w:type="dxa"/>
              <w:bottom w:w="80" w:type="dxa"/>
              <w:start w:w="120" w:type="dxa"/>
              <w:end w:w="120" w:type="dxa"/>
            </w:tcMar>
          </w:tcPr>
          <w:p>
            <w:pPr>
              <w:spacing w:after="0"/>
            </w:pPr>
            <w:r>
              <w:rPr>
                <w:rFonts w:ascii="Calibri" w:hAnsi="Calibri"/>
                <w:b w:val="0"/>
                <w:i w:val="0"/>
                <w:color w:val="20252B"/>
                <w:sz w:val="15"/>
              </w:rPr>
              <w:t>Conformance</w:t>
            </w:r>
          </w:p>
        </w:tc>
        <w:tc>
          <w:tcPr>
            <w:tcW w:type="dxa" w:w="4380"/>
            <w:vAlign w:val="center"/>
            <w:tcMar>
              <w:top w:w="80" w:type="dxa"/>
              <w:bottom w:w="80" w:type="dxa"/>
              <w:start w:w="120" w:type="dxa"/>
              <w:end w:w="120" w:type="dxa"/>
            </w:tcMar>
          </w:tcPr>
          <w:p>
            <w:pPr>
              <w:spacing w:after="0"/>
            </w:pPr>
            <w:r>
              <w:rPr>
                <w:rFonts w:ascii="Calibri" w:hAnsi="Calibri"/>
                <w:b w:val="0"/>
                <w:i w:val="0"/>
                <w:color w:val="20252B"/>
                <w:sz w:val="15"/>
              </w:rPr>
              <w:t>Separated applicability from result; defined four conformance outcomes and operational-use evidence states.</w:t>
            </w:r>
          </w:p>
        </w:tc>
        <w:tc>
          <w:tcPr>
            <w:tcW w:type="dxa" w:w="3080"/>
            <w:vAlign w:val="center"/>
            <w:tcMar>
              <w:top w:w="80" w:type="dxa"/>
              <w:bottom w:w="80" w:type="dxa"/>
              <w:start w:w="120" w:type="dxa"/>
              <w:end w:w="120" w:type="dxa"/>
            </w:tcMar>
          </w:tcPr>
          <w:p>
            <w:pPr>
              <w:spacing w:after="0"/>
            </w:pPr>
            <w:r>
              <w:rPr>
                <w:rFonts w:ascii="Calibri" w:hAnsi="Calibri"/>
                <w:b w:val="0"/>
                <w:i w:val="0"/>
                <w:color w:val="20252B"/>
                <w:sz w:val="15"/>
              </w:rPr>
              <w:t>Are claims reproducible and deviations bounded?</w:t>
            </w:r>
          </w:p>
        </w:tc>
      </w:tr>
      <w:tr>
        <w:trPr>
          <w:cantSplit w:val="true"/>
        </w:trPr>
        <w:tc>
          <w:tcPr>
            <w:tcW w:type="dxa" w:w="1900"/>
            <w:vAlign w:val="center"/>
            <w:tcMar>
              <w:top w:w="80" w:type="dxa"/>
              <w:bottom w:w="80" w:type="dxa"/>
              <w:start w:w="120" w:type="dxa"/>
              <w:end w:w="120" w:type="dxa"/>
            </w:tcMar>
          </w:tcPr>
          <w:p>
            <w:pPr>
              <w:spacing w:after="0"/>
            </w:pPr>
            <w:r>
              <w:rPr>
                <w:rFonts w:ascii="Calibri" w:hAnsi="Calibri"/>
                <w:b w:val="0"/>
                <w:i w:val="0"/>
                <w:color w:val="20252B"/>
                <w:sz w:val="15"/>
              </w:rPr>
              <w:t>Governance</w:t>
            </w:r>
          </w:p>
        </w:tc>
        <w:tc>
          <w:tcPr>
            <w:tcW w:type="dxa" w:w="4380"/>
            <w:vAlign w:val="center"/>
            <w:tcMar>
              <w:top w:w="80" w:type="dxa"/>
              <w:bottom w:w="80" w:type="dxa"/>
              <w:start w:w="120" w:type="dxa"/>
              <w:end w:w="120" w:type="dxa"/>
            </w:tcMar>
          </w:tcPr>
          <w:p>
            <w:pPr>
              <w:spacing w:after="0"/>
            </w:pPr>
            <w:r>
              <w:rPr>
                <w:rFonts w:ascii="Calibri" w:hAnsi="Calibri"/>
                <w:b w:val="0"/>
                <w:i w:val="0"/>
                <w:color w:val="20252B"/>
                <w:sz w:val="15"/>
              </w:rPr>
              <w:t>Added roles, balanced review, dissent/disposition, release control, evidence-bound claims, and publication-family separation.</w:t>
            </w:r>
          </w:p>
        </w:tc>
        <w:tc>
          <w:tcPr>
            <w:tcW w:type="dxa" w:w="3080"/>
            <w:vAlign w:val="center"/>
            <w:tcMar>
              <w:top w:w="80" w:type="dxa"/>
              <w:bottom w:w="80" w:type="dxa"/>
              <w:start w:w="120" w:type="dxa"/>
              <w:end w:w="120" w:type="dxa"/>
            </w:tcMar>
          </w:tcPr>
          <w:p>
            <w:pPr>
              <w:spacing w:after="0"/>
            </w:pPr>
            <w:r>
              <w:rPr>
                <w:rFonts w:ascii="Calibri" w:hAnsi="Calibri"/>
                <w:b w:val="0"/>
                <w:i w:val="0"/>
                <w:color w:val="20252B"/>
                <w:sz w:val="15"/>
              </w:rPr>
              <w:t>What would a credible consensus process require?</w:t>
            </w:r>
          </w:p>
        </w:tc>
      </w:tr>
      <w:tr>
        <w:trPr>
          <w:cantSplit w:val="true"/>
        </w:trPr>
        <w:tc>
          <w:tcPr>
            <w:tcW w:type="dxa" w:w="1900"/>
            <w:vAlign w:val="center"/>
            <w:tcMar>
              <w:top w:w="80" w:type="dxa"/>
              <w:bottom w:w="80" w:type="dxa"/>
              <w:start w:w="120" w:type="dxa"/>
              <w:end w:w="120" w:type="dxa"/>
            </w:tcMar>
          </w:tcPr>
          <w:p>
            <w:pPr>
              <w:spacing w:after="0"/>
            </w:pPr>
            <w:r>
              <w:rPr>
                <w:rFonts w:ascii="Calibri" w:hAnsi="Calibri"/>
                <w:b w:val="0"/>
                <w:i w:val="0"/>
                <w:color w:val="20252B"/>
                <w:sz w:val="15"/>
              </w:rPr>
              <w:t>NIST mappings</w:t>
            </w:r>
          </w:p>
        </w:tc>
        <w:tc>
          <w:tcPr>
            <w:tcW w:type="dxa" w:w="4380"/>
            <w:vAlign w:val="center"/>
            <w:tcMar>
              <w:top w:w="80" w:type="dxa"/>
              <w:bottom w:w="80" w:type="dxa"/>
              <w:start w:w="120" w:type="dxa"/>
              <w:end w:w="120" w:type="dxa"/>
            </w:tcMar>
          </w:tcPr>
          <w:p>
            <w:pPr>
              <w:spacing w:after="0"/>
            </w:pPr>
            <w:r>
              <w:rPr>
                <w:rFonts w:ascii="Calibri" w:hAnsi="Calibri"/>
                <w:b w:val="0"/>
                <w:i w:val="0"/>
                <w:color w:val="20252B"/>
                <w:sz w:val="15"/>
              </w:rPr>
              <w:t>Adopted IR 8477 / OLIR mapping semantics and isolated legacy codes as non-translatable working data.</w:t>
            </w:r>
          </w:p>
        </w:tc>
        <w:tc>
          <w:tcPr>
            <w:tcW w:type="dxa" w:w="3080"/>
            <w:vAlign w:val="center"/>
            <w:tcMar>
              <w:top w:w="80" w:type="dxa"/>
              <w:bottom w:w="80" w:type="dxa"/>
              <w:start w:w="120" w:type="dxa"/>
              <w:end w:w="120" w:type="dxa"/>
            </w:tcMar>
          </w:tcPr>
          <w:p>
            <w:pPr>
              <w:spacing w:after="0"/>
            </w:pPr>
            <w:r>
              <w:rPr>
                <w:rFonts w:ascii="Calibri" w:hAnsi="Calibri"/>
                <w:b w:val="0"/>
                <w:i w:val="0"/>
                <w:color w:val="20252B"/>
                <w:sz w:val="15"/>
              </w:rPr>
              <w:t>Are candidate relationships atomic, directional, and correctly scoped?</w:t>
            </w:r>
          </w:p>
        </w:tc>
      </w:tr>
      <w:tr>
        <w:trPr>
          <w:cantSplit w:val="true"/>
        </w:trPr>
        <w:tc>
          <w:tcPr>
            <w:tcW w:type="dxa" w:w="1900"/>
            <w:vAlign w:val="center"/>
            <w:tcMar>
              <w:top w:w="80" w:type="dxa"/>
              <w:bottom w:w="80" w:type="dxa"/>
              <w:start w:w="120" w:type="dxa"/>
              <w:end w:w="120" w:type="dxa"/>
            </w:tcMar>
          </w:tcPr>
          <w:p>
            <w:pPr>
              <w:spacing w:after="0"/>
            </w:pPr>
            <w:r>
              <w:rPr>
                <w:rFonts w:ascii="Calibri" w:hAnsi="Calibri"/>
                <w:b w:val="0"/>
                <w:i w:val="0"/>
                <w:color w:val="20252B"/>
                <w:sz w:val="15"/>
              </w:rPr>
              <w:t>NIST status</w:t>
            </w:r>
          </w:p>
        </w:tc>
        <w:tc>
          <w:tcPr>
            <w:tcW w:type="dxa" w:w="4380"/>
            <w:vAlign w:val="center"/>
            <w:tcMar>
              <w:top w:w="80" w:type="dxa"/>
              <w:bottom w:w="80" w:type="dxa"/>
              <w:start w:w="120" w:type="dxa"/>
              <w:end w:w="120" w:type="dxa"/>
            </w:tcMar>
          </w:tcPr>
          <w:p>
            <w:pPr>
              <w:spacing w:after="0"/>
            </w:pPr>
            <w:r>
              <w:rPr>
                <w:rFonts w:ascii="Calibri" w:hAnsi="Calibri"/>
                <w:b w:val="0"/>
                <w:i w:val="0"/>
                <w:color w:val="20252B"/>
                <w:sz w:val="15"/>
              </w:rPr>
              <w:t>Added current lifecycle, incident, identity, measurement, ERM, OSCAL, AI evaluation, and engagement sources.</w:t>
            </w:r>
          </w:p>
        </w:tc>
        <w:tc>
          <w:tcPr>
            <w:tcW w:type="dxa" w:w="3080"/>
            <w:vAlign w:val="center"/>
            <w:tcMar>
              <w:top w:w="80" w:type="dxa"/>
              <w:bottom w:w="80" w:type="dxa"/>
              <w:start w:w="120" w:type="dxa"/>
              <w:end w:w="120" w:type="dxa"/>
            </w:tcMar>
          </w:tcPr>
          <w:p>
            <w:pPr>
              <w:spacing w:after="0"/>
            </w:pPr>
            <w:r>
              <w:rPr>
                <w:rFonts w:ascii="Calibri" w:hAnsi="Calibri"/>
                <w:b w:val="0"/>
                <w:i w:val="0"/>
                <w:color w:val="20252B"/>
                <w:sz w:val="15"/>
              </w:rPr>
              <w:t>Are source statuses and implications accurate?</w:t>
            </w:r>
          </w:p>
        </w:tc>
      </w:tr>
      <w:tr>
        <w:trPr>
          <w:cantSplit w:val="true"/>
        </w:trPr>
        <w:tc>
          <w:tcPr>
            <w:tcW w:type="dxa" w:w="1900"/>
            <w:vAlign w:val="center"/>
            <w:tcMar>
              <w:top w:w="80" w:type="dxa"/>
              <w:bottom w:w="80" w:type="dxa"/>
              <w:start w:w="120" w:type="dxa"/>
              <w:end w:w="120" w:type="dxa"/>
            </w:tcMar>
          </w:tcPr>
          <w:p>
            <w:pPr>
              <w:spacing w:after="0"/>
            </w:pPr>
            <w:r>
              <w:rPr>
                <w:rFonts w:ascii="Calibri" w:hAnsi="Calibri"/>
                <w:b w:val="0"/>
                <w:i w:val="0"/>
                <w:color w:val="20252B"/>
                <w:sz w:val="15"/>
              </w:rPr>
              <w:t>Release integrity</w:t>
            </w:r>
          </w:p>
        </w:tc>
        <w:tc>
          <w:tcPr>
            <w:tcW w:type="dxa" w:w="4380"/>
            <w:vAlign w:val="center"/>
            <w:tcMar>
              <w:top w:w="80" w:type="dxa"/>
              <w:bottom w:w="80" w:type="dxa"/>
              <w:start w:w="120" w:type="dxa"/>
              <w:end w:w="120" w:type="dxa"/>
            </w:tcMar>
          </w:tcPr>
          <w:p>
            <w:pPr>
              <w:spacing w:after="0"/>
            </w:pPr>
            <w:r>
              <w:rPr>
                <w:rFonts w:ascii="Calibri" w:hAnsi="Calibri"/>
                <w:b w:val="0"/>
                <w:i w:val="0"/>
                <w:color w:val="20252B"/>
                <w:sz w:val="15"/>
              </w:rPr>
              <w:t>Removed stale filenames and recharacterized same-author review as I1 self-assessment.</w:t>
            </w:r>
          </w:p>
        </w:tc>
        <w:tc>
          <w:tcPr>
            <w:tcW w:type="dxa" w:w="3080"/>
            <w:vAlign w:val="center"/>
            <w:tcMar>
              <w:top w:w="80" w:type="dxa"/>
              <w:bottom w:w="80" w:type="dxa"/>
              <w:start w:w="120" w:type="dxa"/>
              <w:end w:w="120" w:type="dxa"/>
            </w:tcMar>
          </w:tcPr>
          <w:p>
            <w:pPr>
              <w:spacing w:after="0"/>
            </w:pPr>
            <w:r>
              <w:rPr>
                <w:rFonts w:ascii="Calibri" w:hAnsi="Calibri"/>
                <w:b w:val="0"/>
                <w:i w:val="0"/>
                <w:color w:val="20252B"/>
                <w:sz w:val="15"/>
              </w:rPr>
              <w:t>Do all human- and machine-readable artifacts reconcile?</w:t>
            </w:r>
          </w:p>
        </w:tc>
      </w:tr>
    </w:tbl>
    <w:p>
      <w:pPr>
        <w:widowControl/>
        <w:spacing w:before="80" w:after="80"/>
      </w:pPr>
    </w:p>
    <w:p>
      <w:pPr>
        <w:pStyle w:val="Heading2"/>
        <w:widowControl/>
      </w:pPr>
      <w:r>
        <w:t>Controlled package counts</w:t>
      </w:r>
    </w:p>
    <w:tbl>
      <w:tblPr>
        <w:tblStyle w:val="TableGrid"/>
        <w:tblW w:type="dxa" w:w="9360"/>
        <w:jc w:val="left"/>
        <w:tblLayout w:type="fixed"/>
        <w:tblLook w:firstColumn="1" w:firstRow="1" w:lastColumn="0" w:lastRow="0" w:noHBand="0" w:noVBand="1" w:val="04A0"/>
        <w:tblInd w:w="120" w:type="dxa"/>
      </w:tblPr>
      <w:tblGrid>
        <w:gridCol w:w="2900"/>
        <w:gridCol w:w="1600"/>
        <w:gridCol w:w="4860"/>
      </w:tblGrid>
      <w:tr>
        <w:trPr>
          <w:tblHeader w:val="true"/>
          <w:cantSplit w:val="true"/>
        </w:trPr>
        <w:tc>
          <w:tcPr>
            <w:tcW w:type="dxa" w:w="2900"/>
            <w:shd w:fill="F2F4F7" w:val="clear"/>
            <w:vAlign w:val="center"/>
            <w:tcMar>
              <w:top w:w="80" w:type="dxa"/>
              <w:bottom w:w="80" w:type="dxa"/>
              <w:start w:w="120" w:type="dxa"/>
              <w:end w:w="120" w:type="dxa"/>
            </w:tcMar>
          </w:tcPr>
          <w:p>
            <w:pPr>
              <w:spacing w:after="0"/>
              <w:jc w:val="left"/>
            </w:pPr>
            <w:r>
              <w:rPr>
                <w:rFonts w:ascii="Calibri" w:hAnsi="Calibri"/>
                <w:b/>
                <w:i w:val="0"/>
                <w:color w:val="17324D"/>
                <w:sz w:val="17"/>
              </w:rPr>
              <w:t>Registry</w:t>
            </w:r>
          </w:p>
        </w:tc>
        <w:tc>
          <w:tcPr>
            <w:tcW w:type="dxa" w:w="1600"/>
            <w:shd w:fill="F2F4F7" w:val="clear"/>
            <w:vAlign w:val="center"/>
            <w:tcMar>
              <w:top w:w="80" w:type="dxa"/>
              <w:bottom w:w="80" w:type="dxa"/>
              <w:start w:w="120" w:type="dxa"/>
              <w:end w:w="120" w:type="dxa"/>
            </w:tcMar>
          </w:tcPr>
          <w:p>
            <w:pPr>
              <w:spacing w:after="0"/>
              <w:jc w:val="left"/>
            </w:pPr>
            <w:r>
              <w:rPr>
                <w:rFonts w:ascii="Calibri" w:hAnsi="Calibri"/>
                <w:b/>
                <w:i w:val="0"/>
                <w:color w:val="17324D"/>
                <w:sz w:val="17"/>
              </w:rPr>
              <w:t>1.2 WD count</w:t>
            </w:r>
          </w:p>
        </w:tc>
        <w:tc>
          <w:tcPr>
            <w:tcW w:type="dxa" w:w="4860"/>
            <w:shd w:fill="F2F4F7" w:val="clear"/>
            <w:vAlign w:val="center"/>
            <w:tcMar>
              <w:top w:w="80" w:type="dxa"/>
              <w:bottom w:w="80" w:type="dxa"/>
              <w:start w:w="120" w:type="dxa"/>
              <w:end w:w="120" w:type="dxa"/>
            </w:tcMar>
          </w:tcPr>
          <w:p>
            <w:pPr>
              <w:spacing w:after="0"/>
              <w:jc w:val="left"/>
            </w:pPr>
            <w:r>
              <w:rPr>
                <w:rFonts w:ascii="Calibri" w:hAnsi="Calibri"/>
                <w:b/>
                <w:i w:val="0"/>
                <w:color w:val="17324D"/>
                <w:sz w:val="17"/>
              </w:rPr>
              <w:t>Interpretation</w:t>
            </w:r>
          </w:p>
        </w:tc>
      </w:tr>
      <w:tr>
        <w:trPr>
          <w:cantSplit w:val="true"/>
        </w:trPr>
        <w:tc>
          <w:tcPr>
            <w:tcW w:type="dxa" w:w="2900"/>
            <w:vAlign w:val="center"/>
            <w:tcMar>
              <w:top w:w="80" w:type="dxa"/>
              <w:bottom w:w="80" w:type="dxa"/>
              <w:start w:w="120" w:type="dxa"/>
              <w:end w:w="120" w:type="dxa"/>
            </w:tcMar>
          </w:tcPr>
          <w:p>
            <w:pPr>
              <w:spacing w:after="0"/>
            </w:pPr>
            <w:r>
              <w:rPr>
                <w:rFonts w:ascii="Calibri" w:hAnsi="Calibri"/>
                <w:b w:val="0"/>
                <w:i w:val="0"/>
                <w:color w:val="20252B"/>
                <w:sz w:val="17"/>
              </w:rPr>
              <w:t>Normative requirements</w:t>
            </w:r>
          </w:p>
        </w:tc>
        <w:tc>
          <w:tcPr>
            <w:tcW w:type="dxa" w:w="1600"/>
            <w:vAlign w:val="center"/>
            <w:tcMar>
              <w:top w:w="80" w:type="dxa"/>
              <w:bottom w:w="80" w:type="dxa"/>
              <w:start w:w="120" w:type="dxa"/>
              <w:end w:w="120" w:type="dxa"/>
            </w:tcMar>
          </w:tcPr>
          <w:p>
            <w:pPr>
              <w:spacing w:after="0"/>
            </w:pPr>
            <w:r>
              <w:rPr>
                <w:rFonts w:ascii="Calibri" w:hAnsi="Calibri"/>
                <w:b w:val="0"/>
                <w:i w:val="0"/>
                <w:color w:val="20252B"/>
                <w:sz w:val="17"/>
              </w:rPr>
              <w:t>199</w:t>
            </w:r>
          </w:p>
        </w:tc>
        <w:tc>
          <w:tcPr>
            <w:tcW w:type="dxa" w:w="4860"/>
            <w:vAlign w:val="center"/>
            <w:tcMar>
              <w:top w:w="80" w:type="dxa"/>
              <w:bottom w:w="80" w:type="dxa"/>
              <w:start w:w="120" w:type="dxa"/>
              <w:end w:w="120" w:type="dxa"/>
            </w:tcMar>
          </w:tcPr>
          <w:p>
            <w:pPr>
              <w:spacing w:after="0"/>
            </w:pPr>
            <w:r>
              <w:rPr>
                <w:rFonts w:ascii="Calibri" w:hAnsi="Calibri"/>
                <w:b w:val="0"/>
                <w:i w:val="0"/>
                <w:color w:val="20252B"/>
                <w:sz w:val="17"/>
              </w:rPr>
              <w:t>Active canonical rows; applicability is claim-specific.</w:t>
            </w:r>
          </w:p>
        </w:tc>
      </w:tr>
      <w:tr>
        <w:trPr>
          <w:cantSplit w:val="true"/>
        </w:trPr>
        <w:tc>
          <w:tcPr>
            <w:tcW w:type="dxa" w:w="2900"/>
            <w:vAlign w:val="center"/>
            <w:tcMar>
              <w:top w:w="80" w:type="dxa"/>
              <w:bottom w:w="80" w:type="dxa"/>
              <w:start w:w="120" w:type="dxa"/>
              <w:end w:w="120" w:type="dxa"/>
            </w:tcMar>
          </w:tcPr>
          <w:p>
            <w:pPr>
              <w:spacing w:after="0"/>
            </w:pPr>
            <w:r>
              <w:rPr>
                <w:rFonts w:ascii="Calibri" w:hAnsi="Calibri"/>
                <w:b w:val="0"/>
                <w:i w:val="0"/>
                <w:color w:val="20252B"/>
                <w:sz w:val="17"/>
              </w:rPr>
              <w:t>Decision-authority threats</w:t>
            </w:r>
          </w:p>
        </w:tc>
        <w:tc>
          <w:tcPr>
            <w:tcW w:type="dxa" w:w="1600"/>
            <w:vAlign w:val="center"/>
            <w:tcMar>
              <w:top w:w="80" w:type="dxa"/>
              <w:bottom w:w="80" w:type="dxa"/>
              <w:start w:w="120" w:type="dxa"/>
              <w:end w:w="120" w:type="dxa"/>
            </w:tcMar>
          </w:tcPr>
          <w:p>
            <w:pPr>
              <w:spacing w:after="0"/>
            </w:pPr>
            <w:r>
              <w:rPr>
                <w:rFonts w:ascii="Calibri" w:hAnsi="Calibri"/>
                <w:b w:val="0"/>
                <w:i w:val="0"/>
                <w:color w:val="20252B"/>
                <w:sz w:val="17"/>
              </w:rPr>
              <w:t>25</w:t>
            </w:r>
          </w:p>
        </w:tc>
        <w:tc>
          <w:tcPr>
            <w:tcW w:type="dxa" w:w="4860"/>
            <w:vAlign w:val="center"/>
            <w:tcMar>
              <w:top w:w="80" w:type="dxa"/>
              <w:bottom w:w="80" w:type="dxa"/>
              <w:start w:w="120" w:type="dxa"/>
              <w:end w:w="120" w:type="dxa"/>
            </w:tcMar>
          </w:tcPr>
          <w:p>
            <w:pPr>
              <w:spacing w:after="0"/>
            </w:pPr>
            <w:r>
              <w:rPr>
                <w:rFonts w:ascii="Calibri" w:hAnsi="Calibri"/>
                <w:b w:val="0"/>
                <w:i w:val="0"/>
                <w:color w:val="20252B"/>
                <w:sz w:val="17"/>
              </w:rPr>
              <w:t>Each applicable threat requires control, negative test, and evidence.</w:t>
            </w:r>
          </w:p>
        </w:tc>
      </w:tr>
      <w:tr>
        <w:trPr>
          <w:cantSplit w:val="true"/>
        </w:trPr>
        <w:tc>
          <w:tcPr>
            <w:tcW w:type="dxa" w:w="2900"/>
            <w:vAlign w:val="center"/>
            <w:tcMar>
              <w:top w:w="80" w:type="dxa"/>
              <w:bottom w:w="80" w:type="dxa"/>
              <w:start w:w="120" w:type="dxa"/>
              <w:end w:w="120" w:type="dxa"/>
            </w:tcMar>
          </w:tcPr>
          <w:p>
            <w:pPr>
              <w:spacing w:after="0"/>
            </w:pPr>
            <w:r>
              <w:rPr>
                <w:rFonts w:ascii="Calibri" w:hAnsi="Calibri"/>
                <w:b w:val="0"/>
                <w:i w:val="0"/>
                <w:color w:val="20252B"/>
                <w:sz w:val="17"/>
              </w:rPr>
              <w:t>Controlled sources</w:t>
            </w:r>
          </w:p>
        </w:tc>
        <w:tc>
          <w:tcPr>
            <w:tcW w:type="dxa" w:w="1600"/>
            <w:vAlign w:val="center"/>
            <w:tcMar>
              <w:top w:w="80" w:type="dxa"/>
              <w:bottom w:w="80" w:type="dxa"/>
              <w:start w:w="120" w:type="dxa"/>
              <w:end w:w="120" w:type="dxa"/>
            </w:tcMar>
          </w:tcPr>
          <w:p>
            <w:pPr>
              <w:spacing w:after="0"/>
            </w:pPr>
            <w:r>
              <w:rPr>
                <w:rFonts w:ascii="Calibri" w:hAnsi="Calibri"/>
                <w:b w:val="0"/>
                <w:i w:val="0"/>
                <w:color w:val="20252B"/>
                <w:sz w:val="17"/>
              </w:rPr>
              <w:t>69</w:t>
            </w:r>
          </w:p>
        </w:tc>
        <w:tc>
          <w:tcPr>
            <w:tcW w:type="dxa" w:w="4860"/>
            <w:vAlign w:val="center"/>
            <w:tcMar>
              <w:top w:w="80" w:type="dxa"/>
              <w:bottom w:w="80" w:type="dxa"/>
              <w:start w:w="120" w:type="dxa"/>
              <w:end w:w="120" w:type="dxa"/>
            </w:tcMar>
          </w:tcPr>
          <w:p>
            <w:pPr>
              <w:spacing w:after="0"/>
            </w:pPr>
            <w:r>
              <w:rPr>
                <w:rFonts w:ascii="Calibri" w:hAnsi="Calibri"/>
                <w:b w:val="0"/>
                <w:i w:val="0"/>
                <w:color w:val="20252B"/>
                <w:sz w:val="17"/>
              </w:rPr>
              <w:t>Final, draft, living, and proprietary sources remain status-bounded.</w:t>
            </w:r>
          </w:p>
        </w:tc>
      </w:tr>
    </w:tbl>
    <w:p>
      <w:pPr>
        <w:widowControl/>
        <w:spacing w:before="80" w:after="80"/>
      </w:pPr>
    </w:p>
    <w:tbl>
      <w:tblPr>
        <w:tblW w:type="dxa" w:w="9360"/>
        <w:jc w:val="left"/>
        <w:tblLayout w:type="fixed"/>
        <w:tblLook w:firstColumn="1" w:firstRow="1" w:lastColumn="0" w:lastRow="0" w:noHBand="0" w:noVBand="1" w:val="04A0"/>
        <w:tblInd w:w="120" w:type="dxa"/>
      </w:tblPr>
      <w:tblGrid>
        <w:gridCol w:w="9360"/>
      </w:tblGrid>
      <w:tr>
        <w:trPr>
          <w:tblHeader w:val="true"/>
          <w:cantSplit w:val="true"/>
        </w:trPr>
        <w:tc>
          <w:tcPr>
            <w:tcW w:type="dxa" w:w="9360"/>
            <w:tcMar>
              <w:top w:w="80" w:type="dxa"/>
              <w:bottom w:w="80" w:type="dxa"/>
              <w:start w:w="120" w:type="dxa"/>
              <w:end w:w="120" w:type="dxa"/>
            </w:tcMar>
            <w:shd w:fill="E8EEF5" w:val="clear"/>
            <w:vAlign w:val="center"/>
          </w:tcPr>
          <w:p>
            <w:pPr>
              <w:spacing w:after="0"/>
            </w:pPr>
            <w:r>
              <w:rPr>
                <w:rFonts w:ascii="Calibri" w:hAnsi="Calibri"/>
                <w:b/>
                <w:i w:val="0"/>
                <w:color w:val="17324D"/>
                <w:sz w:val="21"/>
              </w:rPr>
              <w:t xml:space="preserve">WORKING-DRAFT LIMIT: </w:t>
            </w:r>
            <w:r>
              <w:rPr>
                <w:rFonts w:ascii="Calibri" w:hAnsi="Calibri"/>
                <w:b w:val="0"/>
                <w:i w:val="0"/>
                <w:color w:val="20252B"/>
                <w:sz w:val="21"/>
              </w:rPr>
              <w:t>The requirement count and supporting registers may change through controlled review. Review comments must cite the exact edition and artifact reviewed.</w:t>
            </w:r>
          </w:p>
        </w:tc>
      </w:tr>
    </w:tbl>
    <w:p>
      <w:pPr>
        <w:widowControl/>
        <w:spacing w:after="40"/>
      </w:pPr>
    </w:p>
    <w:p>
      <w:pPr>
        <w:pStyle w:val="Heading1"/>
        <w:pageBreakBefore/>
        <w:widowControl/>
      </w:pPr>
      <w:r>
        <w:t>9. Review Questions and Participation</w:t>
      </w:r>
    </w:p>
    <w:p>
      <w:pPr>
        <w:pStyle w:val="Heading2"/>
        <w:widowControl/>
      </w:pPr>
      <w:r>
        <w:t>Questions that matter</w:t>
      </w:r>
    </w:p>
    <w:p>
      <w:pPr>
        <w:pStyle w:val="AERABullet"/>
        <w:widowControl/>
        <w:numPr>
          <w:ilvl w:val="0"/>
          <w:numId w:val="10"/>
        </w:numPr>
      </w:pPr>
      <w:r>
        <w:rPr>
          <w:rFonts w:ascii="Calibri" w:hAnsi="Calibri"/>
          <w:b w:val="0"/>
          <w:i w:val="0"/>
          <w:color w:val="20252B"/>
          <w:sz w:val="22"/>
        </w:rPr>
        <w:t>Is the decision-authority transaction complete and implementable from accountable delegation through observed effect and closure?</w:t>
      </w:r>
    </w:p>
    <w:p>
      <w:pPr>
        <w:pStyle w:val="AERABullet"/>
        <w:widowControl/>
        <w:numPr>
          <w:ilvl w:val="0"/>
          <w:numId w:val="10"/>
        </w:numPr>
      </w:pPr>
      <w:r>
        <w:rPr>
          <w:rFonts w:ascii="Calibri" w:hAnsi="Calibri"/>
          <w:b w:val="0"/>
          <w:i w:val="0"/>
          <w:color w:val="20252B"/>
          <w:sz w:val="22"/>
        </w:rPr>
        <w:t>Are any normative requirements ambiguous, duplicative, infeasible, non-testable, or assigned to the wrong profile or consequence class?</w:t>
      </w:r>
    </w:p>
    <w:p>
      <w:pPr>
        <w:pStyle w:val="AERABullet"/>
        <w:widowControl/>
        <w:numPr>
          <w:ilvl w:val="0"/>
          <w:numId w:val="10"/>
        </w:numPr>
      </w:pPr>
      <w:r>
        <w:rPr>
          <w:rFonts w:ascii="Calibri" w:hAnsi="Calibri"/>
          <w:b w:val="0"/>
          <w:i w:val="0"/>
          <w:color w:val="20252B"/>
          <w:sz w:val="22"/>
        </w:rPr>
        <w:t>Does the threat model cover credible failures of authority, evidence, identity, policy, enforcement, time/PNT, recovery, learning, and human oversight?</w:t>
      </w:r>
    </w:p>
    <w:p>
      <w:pPr>
        <w:pStyle w:val="AERABullet"/>
        <w:widowControl/>
        <w:numPr>
          <w:ilvl w:val="0"/>
          <w:numId w:val="10"/>
        </w:numPr>
      </w:pPr>
      <w:r>
        <w:rPr>
          <w:rFonts w:ascii="Calibri" w:hAnsi="Calibri"/>
          <w:b w:val="0"/>
          <w:i w:val="0"/>
          <w:color w:val="20252B"/>
          <w:sz w:val="22"/>
        </w:rPr>
        <w:t>Can independent assessors reproduce applicability, conformance, deviation, maturity, and evidence-state judgments?</w:t>
      </w:r>
    </w:p>
    <w:p>
      <w:pPr>
        <w:pStyle w:val="AERABullet"/>
        <w:widowControl/>
        <w:numPr>
          <w:ilvl w:val="0"/>
          <w:numId w:val="10"/>
        </w:numPr>
      </w:pPr>
      <w:r>
        <w:rPr>
          <w:rFonts w:ascii="Calibri" w:hAnsi="Calibri"/>
          <w:b w:val="0"/>
          <w:i w:val="0"/>
          <w:color w:val="20252B"/>
          <w:sz w:val="22"/>
        </w:rPr>
        <w:t>Are candidate NIST mappings directionally accurate without implying reciprocal compliance, adoption, or endorsement?</w:t>
      </w:r>
    </w:p>
    <w:p>
      <w:pPr>
        <w:pStyle w:val="AERABullet"/>
        <w:widowControl/>
        <w:numPr>
          <w:ilvl w:val="0"/>
          <w:numId w:val="10"/>
        </w:numPr>
      </w:pPr>
      <w:r>
        <w:rPr>
          <w:rFonts w:ascii="Calibri" w:hAnsi="Calibri"/>
          <w:b w:val="0"/>
          <w:i w:val="0"/>
          <w:color w:val="20252B"/>
          <w:sz w:val="22"/>
        </w:rPr>
        <w:t>What implementation, inter-rater, mission-effect, usability, and adverse-case evidence is required before stronger claims?</w:t>
      </w:r>
    </w:p>
    <w:p>
      <w:pPr>
        <w:pStyle w:val="Heading2"/>
        <w:widowControl/>
      </w:pPr>
      <w:r>
        <w:t>How to comment</w:t>
      </w:r>
    </w:p>
    <w:p>
      <w:pPr>
        <w:pStyle w:val="AERANumber"/>
        <w:widowControl/>
        <w:numPr>
          <w:ilvl w:val="0"/>
          <w:numId w:val="11"/>
        </w:numPr>
      </w:pPr>
      <w:r>
        <w:rPr>
          <w:rFonts w:ascii="Calibri" w:hAnsi="Calibri"/>
          <w:b w:val="0"/>
          <w:i w:val="0"/>
          <w:color w:val="20252B"/>
          <w:sz w:val="22"/>
        </w:rPr>
        <w:t>Use the AERA_1.2_WD_Review_Comment_Matrix.xlsx for substantive comments.</w:t>
      </w:r>
    </w:p>
    <w:p>
      <w:pPr>
        <w:pStyle w:val="AERANumber"/>
        <w:widowControl/>
        <w:numPr>
          <w:ilvl w:val="0"/>
          <w:numId w:val="11"/>
        </w:numPr>
      </w:pPr>
      <w:r>
        <w:rPr>
          <w:rFonts w:ascii="Calibri" w:hAnsi="Calibri"/>
          <w:b w:val="0"/>
          <w:i w:val="0"/>
          <w:color w:val="20252B"/>
          <w:sz w:val="22"/>
        </w:rPr>
        <w:t>Identify the exact section, page, requirement, threat, interface, table, figure, source, or mapping row.</w:t>
      </w:r>
    </w:p>
    <w:p>
      <w:pPr>
        <w:pStyle w:val="AERANumber"/>
        <w:widowControl/>
        <w:numPr>
          <w:ilvl w:val="0"/>
          <w:numId w:val="11"/>
        </w:numPr>
      </w:pPr>
      <w:r>
        <w:rPr>
          <w:rFonts w:ascii="Calibri" w:hAnsi="Calibri"/>
          <w:b w:val="0"/>
          <w:i w:val="0"/>
          <w:color w:val="20252B"/>
          <w:sz w:val="22"/>
        </w:rPr>
        <w:t>Classify the issue and explain its technical rationale, mission consequence, and evidence basis.</w:t>
      </w:r>
    </w:p>
    <w:p>
      <w:pPr>
        <w:pStyle w:val="AERANumber"/>
        <w:widowControl/>
        <w:numPr>
          <w:ilvl w:val="0"/>
          <w:numId w:val="11"/>
        </w:numPr>
      </w:pPr>
      <w:r>
        <w:rPr>
          <w:rFonts w:ascii="Calibri" w:hAnsi="Calibri"/>
          <w:b w:val="0"/>
          <w:i w:val="0"/>
          <w:color w:val="20252B"/>
          <w:sz w:val="22"/>
        </w:rPr>
        <w:t>Propose replacement language, test criteria, mapping rationale, or a concrete corrective action where practical.</w:t>
      </w:r>
    </w:p>
    <w:p>
      <w:pPr>
        <w:pStyle w:val="AERANumber"/>
        <w:widowControl/>
        <w:numPr>
          <w:ilvl w:val="0"/>
          <w:numId w:val="11"/>
        </w:numPr>
      </w:pPr>
      <w:r>
        <w:rPr>
          <w:rFonts w:ascii="Calibri" w:hAnsi="Calibri"/>
          <w:b w:val="0"/>
          <w:i w:val="0"/>
          <w:color w:val="20252B"/>
          <w:sz w:val="22"/>
        </w:rPr>
        <w:t>Disclose reviewer role, relevant competence, affiliation, sponsorship, and conflicts when the review is not anonymous.</w:t>
      </w:r>
    </w:p>
    <w:tbl>
      <w:tblPr>
        <w:tblW w:type="dxa" w:w="9360"/>
        <w:jc w:val="left"/>
        <w:tblLayout w:type="fixed"/>
        <w:tblLook w:firstColumn="1" w:firstRow="1" w:lastColumn="0" w:lastRow="0" w:noHBand="0" w:noVBand="1" w:val="04A0"/>
        <w:tblInd w:w="120" w:type="dxa"/>
      </w:tblPr>
      <w:tblGrid>
        <w:gridCol w:w="9360"/>
      </w:tblGrid>
      <w:tr>
        <w:trPr>
          <w:tblHeader w:val="true"/>
          <w:cantSplit w:val="true"/>
        </w:trPr>
        <w:tc>
          <w:tcPr>
            <w:tcW w:type="dxa" w:w="9360"/>
            <w:tcMar>
              <w:top w:w="80" w:type="dxa"/>
              <w:bottom w:w="80" w:type="dxa"/>
              <w:start w:w="120" w:type="dxa"/>
              <w:end w:w="120" w:type="dxa"/>
            </w:tcMar>
            <w:shd w:fill="FFF5D6" w:val="clear"/>
            <w:vAlign w:val="center"/>
          </w:tcPr>
          <w:p>
            <w:pPr>
              <w:spacing w:after="0"/>
            </w:pPr>
            <w:r>
              <w:rPr>
                <w:rFonts w:ascii="Calibri" w:hAnsi="Calibri"/>
                <w:b/>
                <w:i w:val="0"/>
                <w:color w:val="A46F00"/>
                <w:sz w:val="21"/>
              </w:rPr>
              <w:t xml:space="preserve">REVIEW BOUNDARY: </w:t>
            </w:r>
            <w:r>
              <w:rPr>
                <w:rFonts w:ascii="Calibri" w:hAnsi="Calibri"/>
                <w:b w:val="0"/>
                <w:i w:val="0"/>
                <w:color w:val="20252B"/>
                <w:sz w:val="21"/>
              </w:rPr>
              <w:t>Acknowledgment of a comment is not acceptance. Participation, citation, correspondence, or pilot involvement is not endorsement. Every disposition remains part of the controlled AERA change record.</w:t>
            </w:r>
          </w:p>
        </w:tc>
      </w:tr>
    </w:tbl>
    <w:p>
      <w:pPr>
        <w:widowControl/>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2616B"/>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spacing w:after="40"/>
      <w:jc w:val="left"/>
      <w:pBdr>
        <w:bottom w:val="single" w:sz="6" w:space="3" w:color="D7DBE2"/>
      </w:pBdr>
    </w:pPr>
    <w:r>
      <w:rPr>
        <w:rFonts w:ascii="Calibri" w:hAnsi="Calibri"/>
        <w:b/>
        <w:i w:val="0"/>
        <w:color w:val="52616B"/>
        <w:sz w:val="16"/>
      </w:rPr>
      <w:t>AERA 1.2 WD  |  PUBLIC REVIEW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1"/>
        <w:spacing w:after="80" w:line="280" w:lineRule="auto"/>
      </w:pPr>
      <w:rPr>
        <w:rFonts w:ascii="Symbol" w:hAnsi="Symbol"/>
      </w:rPr>
    </w:lvl>
  </w:abstractNum>
  <w:num w:numId="10">
    <w:abstractNumId w:val="9"/>
  </w:num>
  <w:abstractNum w:abstractNumId="10">
    <w:multiLevelType w:val="singleLevel"/>
    <w:lvl w:ilvl="0">
      <w:start w:val="1"/>
      <w:numFmt w:val="decimal"/>
      <w:lvlText w:val="%1."/>
      <w:suff w:val="tab"/>
      <w:pPr>
        <w:tabs>
          <w:tab w:val="num" w:pos="540"/>
        </w:tabs>
        <w:ind w:left="540" w:hanging="271"/>
        <w:spacing w:after="80" w:line="28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5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360"/>
    </w:pPr>
    <w:rPr>
      <w:rFonts w:asciiTheme="majorHAnsi" w:eastAsiaTheme="majorEastAsia" w:hAnsiTheme="majorHAnsi" w:cstheme="majorBidi" w:ascii="Calibri" w:hAnsi="Calibri"/>
      <w:b w:val="0"/>
      <w:i/>
      <w:iCs/>
      <w:color w:val="52616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ERABullet">
    <w:name w:val="AERA Bullet"/>
    <w:basedOn w:val="Normal"/>
    <w:pPr>
      <w:spacing w:after="80" w:line="300" w:lineRule="auto"/>
    </w:pPr>
    <w:rPr>
      <w:rFonts w:ascii="Calibri" w:hAnsi="Calibri"/>
      <w:sz w:val="22"/>
    </w:rPr>
  </w:style>
  <w:style w:type="paragraph" w:customStyle="1" w:styleId="AERANumber">
    <w:name w:val="AERA Number"/>
    <w:basedOn w:val="Normal"/>
    <w:pPr>
      <w:spacing w:after="80" w:line="300" w:lineRule="auto"/>
    </w:pPr>
    <w:rPr>
      <w:rFonts w:ascii="Calibri" w:hAnsi="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AERA 1.2 WD - Public Review Brief</dc:title>
  <dc:subject>AERA 1.2 Working Draft external technical review support</dc:subject>
  <dc:creator>Angelis Pseftis</dc:creator>
  <cp:keywords>AERA; autonomous systems; decision authority; NIST AI RMF; cybersecurity; conformance; public review</cp:keywords>
  <dc:description>Independently authored working draft. No government endorsement or NIST support claim.</dc:description>
  <cp:lastModifiedBy>Angelis Pseftis</cp:lastModifiedBy>
  <cp:revision>1</cp:revision>
  <dcterms:created xsi:type="dcterms:W3CDTF">2026-08-07T13:00:00Z</dcterms:created>
  <dcterms:modified xsi:type="dcterms:W3CDTF">2026-08-07T13:00:00Z</dcterms:modified>
  <cp:category>External Technical Working Draft</cp:category>
  <cp:contentStatus>Working Draft</cp:contentStatus>
</cp:coreProperties>
</file>