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000" w:after="320"/>
      </w:pPr>
    </w:p>
    <w:p>
      <w:pPr>
        <w:widowControl/>
        <w:spacing w:after="240"/>
        <w:jc w:val="center"/>
      </w:pPr>
      <w:r>
        <w:rPr>
          <w:rFonts w:ascii="Calibri" w:hAnsi="Calibri"/>
          <w:b/>
          <w:i w:val="0"/>
          <w:color w:val="A46F00"/>
          <w:sz w:val="20"/>
        </w:rPr>
        <w:t>READ-ME-FIRST PUBLICATION GUIDE</w:t>
      </w:r>
    </w:p>
    <w:p>
      <w:pPr>
        <w:pStyle w:val="Title"/>
        <w:widowControl/>
        <w:jc w:val="center"/>
      </w:pPr>
      <w:r>
        <w:t>Public Review Release Notes</w:t>
      </w:r>
    </w:p>
    <w:p>
      <w:pPr>
        <w:pStyle w:val="Subtitle"/>
        <w:widowControl/>
        <w:jc w:val="center"/>
      </w:pPr>
      <w:r>
        <w:t>Publication inventory, review boundary, comment procedure, claim language, version control, and release gates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val="true"/>
        </w:trPr>
        <w:tc>
          <w:tcPr>
            <w:tcW w:type="dxa" w:w="2300"/>
            <w:shd w:fill="F2F4F7" w:val="clear"/>
            <w:vAlign w:val="center"/>
            <w:tcMar>
              <w:top w:w="80" w:type="dxa"/>
              <w:bottom w:w="80" w:type="dxa"/>
              <w:start w:w="120" w:type="dxa"/>
              <w:end w:w="120" w:type="dxa"/>
            </w:tcMar>
          </w:tcPr>
          <w:p>
            <w:pPr>
              <w:spacing w:after="0"/>
              <w:jc w:val="left"/>
            </w:pPr>
            <w:r>
              <w:rPr>
                <w:rFonts w:ascii="Calibri" w:hAnsi="Calibri"/>
                <w:b/>
                <w:i w:val="0"/>
                <w:color w:val="17324D"/>
                <w:sz w:val="18"/>
              </w:rPr>
              <w:t>Field</w:t>
            </w:r>
          </w:p>
        </w:tc>
        <w:tc>
          <w:tcPr>
            <w:tcW w:type="dxa" w:w="7060"/>
            <w:shd w:fill="F2F4F7" w:val="clear"/>
            <w:vAlign w:val="center"/>
            <w:tcMar>
              <w:top w:w="80" w:type="dxa"/>
              <w:bottom w:w="80" w:type="dxa"/>
              <w:start w:w="120" w:type="dxa"/>
              <w:end w:w="120" w:type="dxa"/>
            </w:tcMar>
          </w:tcPr>
          <w:p>
            <w:pPr>
              <w:spacing w:after="0"/>
              <w:jc w:val="left"/>
            </w:pPr>
            <w:r>
              <w:rPr>
                <w:rFonts w:ascii="Calibri" w:hAnsi="Calibri"/>
                <w:b/>
                <w:i w:val="0"/>
                <w:color w:val="17324D"/>
                <w:sz w:val="18"/>
              </w:rPr>
              <w:t>Controlled value</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Specification</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AERA-001</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Edition</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1.2 Working Draft</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Package build</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AERA-001-1.2WD-20260807.1</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Author</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Angelis Pseftis</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Affiliation</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Independent author</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Document date</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7 August 2026</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Review status</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Developmental-review candidate; public review not open</w:t>
            </w:r>
          </w:p>
        </w:tc>
      </w:tr>
    </w:tbl>
    <w:p>
      <w:pPr>
        <w:widowControl/>
        <w:spacing w:before="80" w:after="80"/>
      </w:pP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FF5D6" w:val="clear"/>
            <w:vAlign w:val="center"/>
          </w:tcPr>
          <w:p>
            <w:pPr>
              <w:spacing w:after="0"/>
            </w:pPr>
            <w:r>
              <w:rPr>
                <w:rFonts w:ascii="Calibri" w:hAnsi="Calibri"/>
                <w:b/>
                <w:i w:val="0"/>
                <w:color w:val="A46F00"/>
                <w:sz w:val="21"/>
              </w:rPr>
              <w:t xml:space="preserve">STATUS: </w:t>
            </w:r>
            <w:r>
              <w:rPr>
                <w:rFonts w:ascii="Calibri" w:hAnsi="Calibri"/>
                <w:b w:val="0"/>
                <w:i w:val="0"/>
                <w:color w:val="20252B"/>
                <w:sz w:val="21"/>
              </w:rPr>
              <w:t>AERA 1.2 WD is an independently authored discussion draft. It is not an adopted standard, certification scheme, government publication, NIST submission, or evidence of external support or endorsement.</w:t>
            </w:r>
          </w:p>
        </w:tc>
      </w:tr>
    </w:tbl>
    <w:p>
      <w:pPr>
        <w:widowControl/>
        <w:spacing w:after="40"/>
      </w:pPr>
    </w:p>
    <w:p>
      <w:pPr>
        <w:widowControl/>
        <w:spacing w:before="240"/>
        <w:jc w:val="center"/>
      </w:pPr>
      <w:r>
        <w:rPr>
          <w:rFonts w:ascii="Calibri" w:hAnsi="Calibri"/>
          <w:b/>
          <w:i w:val="0"/>
          <w:color w:val="52616B"/>
          <w:sz w:val="18"/>
        </w:rPr>
        <w:t>AERA-001  |  Version 1.2 WD  |  Working Draft</w:t>
      </w:r>
    </w:p>
    <w:p>
      <w:pPr>
        <w:pStyle w:val="Heading1"/>
        <w:pageBreakBefore/>
        <w:widowControl/>
      </w:pPr>
      <w:r>
        <w:t>1. Purpose, Release Boundary, and Changes</w:t>
      </w:r>
    </w:p>
    <w:p>
      <w:pPr>
        <w:widowControl/>
      </w:pPr>
      <w:r>
        <w:rPr>
          <w:rFonts w:ascii="Calibri" w:hAnsi="Calibri"/>
          <w:b w:val="0"/>
          <w:i w:val="0"/>
          <w:color w:val="20252B"/>
          <w:sz w:val="22"/>
        </w:rPr>
        <w:t>This package is a candidate for structured developmental review; it does not open public review. Once the release gates are cleared and review is formally opened, reviewers will be asked to evaluate implementability, testability, threat completeness, consequence classification, human-control requirements, external mappings, governance, and the evidence needed for pilot validation.</w:t>
      </w: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CEDED" w:val="clear"/>
            <w:vAlign w:val="center"/>
          </w:tcPr>
          <w:p>
            <w:pPr>
              <w:spacing w:after="0"/>
            </w:pPr>
            <w:r>
              <w:rPr>
                <w:rFonts w:ascii="Calibri" w:hAnsi="Calibri"/>
                <w:b/>
                <w:i w:val="0"/>
                <w:color w:val="9B1C1C"/>
                <w:sz w:val="21"/>
              </w:rPr>
              <w:t xml:space="preserve">RELEASE BOUNDARY: </w:t>
            </w:r>
            <w:r>
              <w:rPr>
                <w:rFonts w:ascii="Calibri" w:hAnsi="Calibri"/>
                <w:b w:val="0"/>
                <w:i w:val="0"/>
                <w:color w:val="20252B"/>
                <w:sz w:val="21"/>
              </w:rPr>
              <w:t>Publication does not establish operational validity, legal sufficiency, regulatory compliance, external-framework equivalence, certification eligibility, consensus, or endorsement by NIST, ISO, IEEE, CISA, DoD, DOE, or any other organization.</w:t>
            </w:r>
          </w:p>
        </w:tc>
      </w:tr>
    </w:tbl>
    <w:p>
      <w:pPr>
        <w:widowControl/>
        <w:spacing w:after="40"/>
      </w:pPr>
    </w:p>
    <w:p>
      <w:pPr>
        <w:pStyle w:val="Heading2"/>
        <w:widowControl/>
      </w:pPr>
      <w:r>
        <w:t>1.1 Material changes from 1.1 RC1</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val="true"/>
        </w:trPr>
        <w:tc>
          <w:tcPr>
            <w:tcW w:type="dxa" w:w="230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Area</w:t>
            </w:r>
          </w:p>
        </w:tc>
        <w:tc>
          <w:tcPr>
            <w:tcW w:type="dxa" w:w="706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1.2 WD change</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6"/>
              </w:rPr>
              <w:t>Status and ownership</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6"/>
              </w:rPr>
              <w:t>Reissued as an independently authored working draft; same-author integrity review is labeled I1 self-assessment.</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6"/>
              </w:rPr>
              <w:t>Normative perimeter</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6"/>
              </w:rPr>
              <w:t>Clarified controlling sections, canonical register, explicitly normative tables/clauses, and release-blocking divergence.</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6"/>
              </w:rPr>
              <w:t>Conformance</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6"/>
              </w:rPr>
              <w:t>Defined CONFORMING, CONDITIONALLY CONFORMING, NONCONFORMING, and INDETERMINATE; separated applicability and result.</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6"/>
              </w:rPr>
              <w:t>Evidence state</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6"/>
              </w:rPr>
              <w:t>Requires capability claims to distinguish PRESENT, MONITORED, ACTIVE IN PATH, USED IN COMPUTATION, and VALIDATED EFFECTIVE.</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6"/>
              </w:rPr>
              <w:t>Governance</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6"/>
              </w:rPr>
              <w:t>Added role, consensus, dissent, mapping, evidence-bound claim, release, and publication-family controls.</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6"/>
              </w:rPr>
              <w:t>NIST readiness</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6"/>
              </w:rPr>
              <w:t>Added AI RMF attribute assessment, IR 8477/OLIR mapping method, lifecycle/measurement/ERM sources, and bounded engagement routes.</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6"/>
              </w:rPr>
              <w:t>Registers</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6"/>
              </w:rPr>
              <w:t>Reconciled 199 requirements, 25 threats, and 69 controlled sources; added separate mapping-development ledger.</w:t>
            </w:r>
          </w:p>
        </w:tc>
      </w:tr>
    </w:tbl>
    <w:p>
      <w:pPr>
        <w:widowControl/>
        <w:spacing w:before="80" w:after="80"/>
      </w:pP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FF5D6" w:val="clear"/>
            <w:vAlign w:val="center"/>
          </w:tcPr>
          <w:p>
            <w:pPr>
              <w:spacing w:after="0"/>
            </w:pPr>
            <w:r>
              <w:rPr>
                <w:rFonts w:ascii="Calibri" w:hAnsi="Calibri"/>
                <w:b/>
                <w:i w:val="0"/>
                <w:color w:val="A46F00"/>
                <w:sz w:val="21"/>
              </w:rPr>
              <w:t xml:space="preserve">NORMATIVE CHANGE: </w:t>
            </w:r>
            <w:r>
              <w:rPr>
                <w:rFonts w:ascii="Calibri" w:hAnsi="Calibri"/>
                <w:b w:val="0"/>
                <w:i w:val="0"/>
                <w:color w:val="20252B"/>
                <w:sz w:val="21"/>
              </w:rPr>
              <w:t>AERA 1.2 WD is a new controlled edition. Review records against 1.1 RC1 remain historical and do not silently migrate to 1.2 WD.</w:t>
            </w:r>
          </w:p>
        </w:tc>
      </w:tr>
    </w:tbl>
    <w:p>
      <w:pPr>
        <w:widowControl/>
        <w:spacing w:after="40"/>
      </w:pPr>
    </w:p>
    <w:p>
      <w:pPr>
        <w:pStyle w:val="Heading1"/>
        <w:pageBreakBefore/>
        <w:widowControl/>
      </w:pPr>
      <w:r>
        <w:t>2. Controlled Publication Set</w:t>
      </w:r>
    </w:p>
    <w:p>
      <w:pPr>
        <w:widowControl/>
      </w:pPr>
      <w:r>
        <w:rPr>
          <w:rFonts w:ascii="Calibri" w:hAnsi="Calibri"/>
          <w:b w:val="0"/>
          <w:i w:val="0"/>
          <w:color w:val="20252B"/>
          <w:sz w:val="22"/>
        </w:rPr>
        <w:t>The fixed-layout and editable artifacts below form one controlled review package. A release is complete only when every published filename exists, metadata and visible edition labels agree, and the checksum manifest matches the distributed byte streams.</w:t>
      </w:r>
    </w:p>
    <w:tbl>
      <w:tblPr>
        <w:tblStyle w:val="TableGrid"/>
        <w:tblW w:type="dxa" w:w="9360"/>
        <w:jc w:val="left"/>
        <w:tblLayout w:type="fixed"/>
        <w:tblLook w:firstColumn="1" w:firstRow="1" w:lastColumn="0" w:lastRow="0" w:noHBand="0" w:noVBand="1" w:val="04A0"/>
        <w:tblInd w:w="120" w:type="dxa"/>
      </w:tblPr>
      <w:tblGrid>
        <w:gridCol w:w="3550"/>
        <w:gridCol w:w="2200"/>
        <w:gridCol w:w="3610"/>
      </w:tblGrid>
      <w:tr>
        <w:trPr>
          <w:tblHeader w:val="true"/>
          <w:cantSplit w:val="true"/>
        </w:trPr>
        <w:tc>
          <w:tcPr>
            <w:tcW w:type="dxa" w:w="3550"/>
            <w:shd w:fill="F2F4F7" w:val="clear"/>
            <w:vAlign w:val="center"/>
            <w:tcMar>
              <w:top w:w="80" w:type="dxa"/>
              <w:bottom w:w="80" w:type="dxa"/>
              <w:start w:w="120" w:type="dxa"/>
              <w:end w:w="120" w:type="dxa"/>
            </w:tcMar>
          </w:tcPr>
          <w:p>
            <w:pPr>
              <w:spacing w:after="0"/>
              <w:jc w:val="left"/>
            </w:pPr>
            <w:r>
              <w:rPr>
                <w:rFonts w:ascii="Calibri" w:hAnsi="Calibri"/>
                <w:b/>
                <w:i w:val="0"/>
                <w:color w:val="17324D"/>
                <w:sz w:val="14"/>
              </w:rPr>
              <w:t>Artifact</w:t>
            </w:r>
          </w:p>
        </w:tc>
        <w:tc>
          <w:tcPr>
            <w:tcW w:type="dxa" w:w="2200"/>
            <w:shd w:fill="F2F4F7" w:val="clear"/>
            <w:vAlign w:val="center"/>
            <w:tcMar>
              <w:top w:w="80" w:type="dxa"/>
              <w:bottom w:w="80" w:type="dxa"/>
              <w:start w:w="120" w:type="dxa"/>
              <w:end w:w="120" w:type="dxa"/>
            </w:tcMar>
          </w:tcPr>
          <w:p>
            <w:pPr>
              <w:spacing w:after="0"/>
              <w:jc w:val="left"/>
            </w:pPr>
            <w:r>
              <w:rPr>
                <w:rFonts w:ascii="Calibri" w:hAnsi="Calibri"/>
                <w:b/>
                <w:i w:val="0"/>
                <w:color w:val="17324D"/>
                <w:sz w:val="14"/>
              </w:rPr>
              <w:t>Role</w:t>
            </w:r>
          </w:p>
        </w:tc>
        <w:tc>
          <w:tcPr>
            <w:tcW w:type="dxa" w:w="3610"/>
            <w:shd w:fill="F2F4F7" w:val="clear"/>
            <w:vAlign w:val="center"/>
            <w:tcMar>
              <w:top w:w="80" w:type="dxa"/>
              <w:bottom w:w="80" w:type="dxa"/>
              <w:start w:w="120" w:type="dxa"/>
              <w:end w:w="120" w:type="dxa"/>
            </w:tcMar>
          </w:tcPr>
          <w:p>
            <w:pPr>
              <w:spacing w:after="0"/>
              <w:jc w:val="left"/>
            </w:pPr>
            <w:r>
              <w:rPr>
                <w:rFonts w:ascii="Calibri" w:hAnsi="Calibri"/>
                <w:b/>
                <w:i w:val="0"/>
                <w:color w:val="17324D"/>
                <w:sz w:val="14"/>
              </w:rPr>
              <w:t>Use</w:t>
            </w:r>
          </w:p>
        </w:tc>
      </w:tr>
      <w:tr>
        <w:trPr>
          <w:cantSplit w:val="true"/>
        </w:trPr>
        <w:tc>
          <w:tcPr>
            <w:tcW w:type="dxa" w:w="3550"/>
            <w:vAlign w:val="center"/>
            <w:tcMar>
              <w:top w:w="80" w:type="dxa"/>
              <w:bottom w:w="80" w:type="dxa"/>
              <w:start w:w="120" w:type="dxa"/>
              <w:end w:w="120" w:type="dxa"/>
            </w:tcMar>
          </w:tcPr>
          <w:p>
            <w:pPr>
              <w:spacing w:after="0"/>
            </w:pPr>
            <w:r>
              <w:rPr>
                <w:rFonts w:ascii="Calibri" w:hAnsi="Calibri"/>
                <w:b w:val="0"/>
                <w:i w:val="0"/>
                <w:color w:val="20252B"/>
                <w:sz w:val="14"/>
              </w:rPr>
              <w:t>AERA_1.2_WD_Autonomous_Enterprise_Reference_Architecture.docx / .pdf</w:t>
            </w:r>
          </w:p>
        </w:tc>
        <w:tc>
          <w:tcPr>
            <w:tcW w:type="dxa" w:w="2200"/>
            <w:vAlign w:val="center"/>
            <w:tcMar>
              <w:top w:w="80" w:type="dxa"/>
              <w:bottom w:w="80" w:type="dxa"/>
              <w:start w:w="120" w:type="dxa"/>
              <w:end w:w="120" w:type="dxa"/>
            </w:tcMar>
          </w:tcPr>
          <w:p>
            <w:pPr>
              <w:spacing w:after="0"/>
            </w:pPr>
            <w:r>
              <w:rPr>
                <w:rFonts w:ascii="Calibri" w:hAnsi="Calibri"/>
                <w:b w:val="0"/>
                <w:i w:val="0"/>
                <w:color w:val="20252B"/>
                <w:sz w:val="14"/>
              </w:rPr>
              <w:t>Authoritative specification and fixed-layout edition</w:t>
            </w:r>
          </w:p>
        </w:tc>
        <w:tc>
          <w:tcPr>
            <w:tcW w:type="dxa" w:w="3610"/>
            <w:vAlign w:val="center"/>
            <w:tcMar>
              <w:top w:w="80" w:type="dxa"/>
              <w:bottom w:w="80" w:type="dxa"/>
              <w:start w:w="120" w:type="dxa"/>
              <w:end w:w="120" w:type="dxa"/>
            </w:tcMar>
          </w:tcPr>
          <w:p>
            <w:pPr>
              <w:spacing w:after="0"/>
            </w:pPr>
            <w:r>
              <w:rPr>
                <w:rFonts w:ascii="Calibri" w:hAnsi="Calibri"/>
                <w:b w:val="0"/>
                <w:i w:val="0"/>
                <w:color w:val="20252B"/>
                <w:sz w:val="14"/>
              </w:rPr>
              <w:t>Full architecture, normative requirements, threat model, conformance, maturity, governance, and references.</w:t>
            </w:r>
          </w:p>
        </w:tc>
      </w:tr>
      <w:tr>
        <w:trPr>
          <w:cantSplit w:val="true"/>
        </w:trPr>
        <w:tc>
          <w:tcPr>
            <w:tcW w:type="dxa" w:w="3550"/>
            <w:vAlign w:val="center"/>
            <w:tcMar>
              <w:top w:w="80" w:type="dxa"/>
              <w:bottom w:w="80" w:type="dxa"/>
              <w:start w:w="120" w:type="dxa"/>
              <w:end w:w="120" w:type="dxa"/>
            </w:tcMar>
          </w:tcPr>
          <w:p>
            <w:pPr>
              <w:spacing w:after="0"/>
            </w:pPr>
            <w:r>
              <w:rPr>
                <w:rFonts w:ascii="Calibri" w:hAnsi="Calibri"/>
                <w:b w:val="0"/>
                <w:i w:val="0"/>
                <w:color w:val="20252B"/>
                <w:sz w:val="14"/>
              </w:rPr>
              <w:t>AERA_1.2_WD_Architecture_Integrity_and_NIST_Readiness_Review.docx / .pdf</w:t>
            </w:r>
          </w:p>
        </w:tc>
        <w:tc>
          <w:tcPr>
            <w:tcW w:type="dxa" w:w="2200"/>
            <w:vAlign w:val="center"/>
            <w:tcMar>
              <w:top w:w="80" w:type="dxa"/>
              <w:bottom w:w="80" w:type="dxa"/>
              <w:start w:w="120" w:type="dxa"/>
              <w:end w:w="120" w:type="dxa"/>
            </w:tcMar>
          </w:tcPr>
          <w:p>
            <w:pPr>
              <w:spacing w:after="0"/>
            </w:pPr>
            <w:r>
              <w:rPr>
                <w:rFonts w:ascii="Calibri" w:hAnsi="Calibri"/>
                <w:b w:val="0"/>
                <w:i w:val="0"/>
                <w:color w:val="20252B"/>
                <w:sz w:val="14"/>
              </w:rPr>
              <w:t>I1 support assessment</w:t>
            </w:r>
          </w:p>
        </w:tc>
        <w:tc>
          <w:tcPr>
            <w:tcW w:type="dxa" w:w="3610"/>
            <w:vAlign w:val="center"/>
            <w:tcMar>
              <w:top w:w="80" w:type="dxa"/>
              <w:bottom w:w="80" w:type="dxa"/>
              <w:start w:w="120" w:type="dxa"/>
              <w:end w:w="120" w:type="dxa"/>
            </w:tcMar>
          </w:tcPr>
          <w:p>
            <w:pPr>
              <w:spacing w:after="0"/>
            </w:pPr>
            <w:r>
              <w:rPr>
                <w:rFonts w:ascii="Calibri" w:hAnsi="Calibri"/>
                <w:b w:val="0"/>
                <w:i w:val="0"/>
                <w:color w:val="20252B"/>
                <w:sz w:val="14"/>
              </w:rPr>
              <w:t>Author self-assessment of package integrity, NIST readiness, open findings, and release gates.</w:t>
            </w:r>
          </w:p>
        </w:tc>
      </w:tr>
      <w:tr>
        <w:trPr>
          <w:cantSplit w:val="true"/>
        </w:trPr>
        <w:tc>
          <w:tcPr>
            <w:tcW w:type="dxa" w:w="3550"/>
            <w:vAlign w:val="center"/>
            <w:tcMar>
              <w:top w:w="80" w:type="dxa"/>
              <w:bottom w:w="80" w:type="dxa"/>
              <w:start w:w="120" w:type="dxa"/>
              <w:end w:w="120" w:type="dxa"/>
            </w:tcMar>
          </w:tcPr>
          <w:p>
            <w:pPr>
              <w:spacing w:after="0"/>
            </w:pPr>
            <w:r>
              <w:rPr>
                <w:rFonts w:ascii="Calibri" w:hAnsi="Calibri"/>
                <w:b w:val="0"/>
                <w:i w:val="0"/>
                <w:color w:val="20252B"/>
                <w:sz w:val="14"/>
              </w:rPr>
              <w:t>AERA_1.2_WD_Public_Review_Brief.docx / .pdf</w:t>
            </w:r>
          </w:p>
        </w:tc>
        <w:tc>
          <w:tcPr>
            <w:tcW w:type="dxa" w:w="2200"/>
            <w:vAlign w:val="center"/>
            <w:tcMar>
              <w:top w:w="80" w:type="dxa"/>
              <w:bottom w:w="80" w:type="dxa"/>
              <w:start w:w="120" w:type="dxa"/>
              <w:end w:w="120" w:type="dxa"/>
            </w:tcMar>
          </w:tcPr>
          <w:p>
            <w:pPr>
              <w:spacing w:after="0"/>
            </w:pPr>
            <w:r>
              <w:rPr>
                <w:rFonts w:ascii="Calibri" w:hAnsi="Calibri"/>
                <w:b w:val="0"/>
                <w:i w:val="0"/>
                <w:color w:val="20252B"/>
                <w:sz w:val="14"/>
              </w:rPr>
              <w:t>Reviewer orientation</w:t>
            </w:r>
          </w:p>
        </w:tc>
        <w:tc>
          <w:tcPr>
            <w:tcW w:type="dxa" w:w="3610"/>
            <w:vAlign w:val="center"/>
            <w:tcMar>
              <w:top w:w="80" w:type="dxa"/>
              <w:bottom w:w="80" w:type="dxa"/>
              <w:start w:w="120" w:type="dxa"/>
              <w:end w:w="120" w:type="dxa"/>
            </w:tcMar>
          </w:tcPr>
          <w:p>
            <w:pPr>
              <w:spacing w:after="0"/>
            </w:pPr>
            <w:r>
              <w:rPr>
                <w:rFonts w:ascii="Calibri" w:hAnsi="Calibri"/>
                <w:b w:val="0"/>
                <w:i w:val="0"/>
                <w:color w:val="20252B"/>
                <w:sz w:val="14"/>
              </w:rPr>
              <w:t>Concise architecture thesis, transaction, control model, NIST boundary, changes, and questions.</w:t>
            </w:r>
          </w:p>
        </w:tc>
      </w:tr>
      <w:tr>
        <w:trPr>
          <w:cantSplit w:val="true"/>
        </w:trPr>
        <w:tc>
          <w:tcPr>
            <w:tcW w:type="dxa" w:w="3550"/>
            <w:vAlign w:val="center"/>
            <w:tcMar>
              <w:top w:w="80" w:type="dxa"/>
              <w:bottom w:w="80" w:type="dxa"/>
              <w:start w:w="120" w:type="dxa"/>
              <w:end w:w="120" w:type="dxa"/>
            </w:tcMar>
          </w:tcPr>
          <w:p>
            <w:pPr>
              <w:spacing w:after="0"/>
            </w:pPr>
            <w:r>
              <w:rPr>
                <w:rFonts w:ascii="Calibri" w:hAnsi="Calibri"/>
                <w:b w:val="0"/>
                <w:i w:val="0"/>
                <w:color w:val="20252B"/>
                <w:sz w:val="14"/>
              </w:rPr>
              <w:t>AERA_1.2_WD_Public_Review_Release_Notes.docx / .pdf</w:t>
            </w:r>
          </w:p>
        </w:tc>
        <w:tc>
          <w:tcPr>
            <w:tcW w:type="dxa" w:w="2200"/>
            <w:vAlign w:val="center"/>
            <w:tcMar>
              <w:top w:w="80" w:type="dxa"/>
              <w:bottom w:w="80" w:type="dxa"/>
              <w:start w:w="120" w:type="dxa"/>
              <w:end w:w="120" w:type="dxa"/>
            </w:tcMar>
          </w:tcPr>
          <w:p>
            <w:pPr>
              <w:spacing w:after="0"/>
            </w:pPr>
            <w:r>
              <w:rPr>
                <w:rFonts w:ascii="Calibri" w:hAnsi="Calibri"/>
                <w:b w:val="0"/>
                <w:i w:val="0"/>
                <w:color w:val="20252B"/>
                <w:sz w:val="14"/>
              </w:rPr>
              <w:t>Read-me-first guide</w:t>
            </w:r>
          </w:p>
        </w:tc>
        <w:tc>
          <w:tcPr>
            <w:tcW w:type="dxa" w:w="3610"/>
            <w:vAlign w:val="center"/>
            <w:tcMar>
              <w:top w:w="80" w:type="dxa"/>
              <w:bottom w:w="80" w:type="dxa"/>
              <w:start w:w="120" w:type="dxa"/>
              <w:end w:w="120" w:type="dxa"/>
            </w:tcMar>
          </w:tcPr>
          <w:p>
            <w:pPr>
              <w:spacing w:after="0"/>
            </w:pPr>
            <w:r>
              <w:rPr>
                <w:rFonts w:ascii="Calibri" w:hAnsi="Calibri"/>
                <w:b w:val="0"/>
                <w:i w:val="0"/>
                <w:color w:val="20252B"/>
                <w:sz w:val="14"/>
              </w:rPr>
              <w:t>Package inventory, change summary, comment procedure, claims, and version controls.</w:t>
            </w:r>
          </w:p>
        </w:tc>
      </w:tr>
      <w:tr>
        <w:trPr>
          <w:cantSplit w:val="true"/>
        </w:trPr>
        <w:tc>
          <w:tcPr>
            <w:tcW w:type="dxa" w:w="3550"/>
            <w:vAlign w:val="center"/>
            <w:tcMar>
              <w:top w:w="80" w:type="dxa"/>
              <w:bottom w:w="80" w:type="dxa"/>
              <w:start w:w="120" w:type="dxa"/>
              <w:end w:w="120" w:type="dxa"/>
            </w:tcMar>
          </w:tcPr>
          <w:p>
            <w:pPr>
              <w:spacing w:after="0"/>
            </w:pPr>
            <w:r>
              <w:rPr>
                <w:rFonts w:ascii="Calibri" w:hAnsi="Calibri"/>
                <w:b w:val="0"/>
                <w:i w:val="0"/>
                <w:color w:val="20252B"/>
                <w:sz w:val="14"/>
              </w:rPr>
              <w:t>AERA_1.2_WD_Requirement_Register.xlsx / .csv</w:t>
            </w:r>
          </w:p>
        </w:tc>
        <w:tc>
          <w:tcPr>
            <w:tcW w:type="dxa" w:w="2200"/>
            <w:vAlign w:val="center"/>
            <w:tcMar>
              <w:top w:w="80" w:type="dxa"/>
              <w:bottom w:w="80" w:type="dxa"/>
              <w:start w:w="120" w:type="dxa"/>
              <w:end w:w="120" w:type="dxa"/>
            </w:tcMar>
          </w:tcPr>
          <w:p>
            <w:pPr>
              <w:spacing w:after="0"/>
            </w:pPr>
            <w:r>
              <w:rPr>
                <w:rFonts w:ascii="Calibri" w:hAnsi="Calibri"/>
                <w:b w:val="0"/>
                <w:i w:val="0"/>
                <w:color w:val="20252B"/>
                <w:sz w:val="14"/>
              </w:rPr>
              <w:t>Canonical machine-readable derivative</w:t>
            </w:r>
          </w:p>
        </w:tc>
        <w:tc>
          <w:tcPr>
            <w:tcW w:type="dxa" w:w="3610"/>
            <w:vAlign w:val="center"/>
            <w:tcMar>
              <w:top w:w="80" w:type="dxa"/>
              <w:bottom w:w="80" w:type="dxa"/>
              <w:start w:w="120" w:type="dxa"/>
              <w:end w:w="120" w:type="dxa"/>
            </w:tcMar>
          </w:tcPr>
          <w:p>
            <w:pPr>
              <w:spacing w:after="0"/>
            </w:pPr>
            <w:r>
              <w:rPr>
                <w:rFonts w:ascii="Calibri" w:hAnsi="Calibri"/>
                <w:b w:val="0"/>
                <w:i w:val="0"/>
                <w:color w:val="20252B"/>
                <w:sz w:val="14"/>
              </w:rPr>
              <w:t>Filterable register for 199 active normative requirements.</w:t>
            </w:r>
          </w:p>
        </w:tc>
      </w:tr>
      <w:tr>
        <w:trPr>
          <w:cantSplit w:val="true"/>
        </w:trPr>
        <w:tc>
          <w:tcPr>
            <w:tcW w:type="dxa" w:w="3550"/>
            <w:vAlign w:val="center"/>
            <w:tcMar>
              <w:top w:w="80" w:type="dxa"/>
              <w:bottom w:w="80" w:type="dxa"/>
              <w:start w:w="120" w:type="dxa"/>
              <w:end w:w="120" w:type="dxa"/>
            </w:tcMar>
          </w:tcPr>
          <w:p>
            <w:pPr>
              <w:spacing w:after="0"/>
            </w:pPr>
            <w:r>
              <w:rPr>
                <w:rFonts w:ascii="Calibri" w:hAnsi="Calibri"/>
                <w:b w:val="0"/>
                <w:i w:val="0"/>
                <w:color w:val="20252B"/>
                <w:sz w:val="14"/>
              </w:rPr>
              <w:t>AERA_1.2_WD_Threat_Control_Test_Matrix.xlsx / .csv</w:t>
            </w:r>
          </w:p>
        </w:tc>
        <w:tc>
          <w:tcPr>
            <w:tcW w:type="dxa" w:w="2200"/>
            <w:vAlign w:val="center"/>
            <w:tcMar>
              <w:top w:w="80" w:type="dxa"/>
              <w:bottom w:w="80" w:type="dxa"/>
              <w:start w:w="120" w:type="dxa"/>
              <w:end w:w="120" w:type="dxa"/>
            </w:tcMar>
          </w:tcPr>
          <w:p>
            <w:pPr>
              <w:spacing w:after="0"/>
            </w:pPr>
            <w:r>
              <w:rPr>
                <w:rFonts w:ascii="Calibri" w:hAnsi="Calibri"/>
                <w:b w:val="0"/>
                <w:i w:val="0"/>
                <w:color w:val="20252B"/>
                <w:sz w:val="14"/>
              </w:rPr>
              <w:t>Threat traceability</w:t>
            </w:r>
          </w:p>
        </w:tc>
        <w:tc>
          <w:tcPr>
            <w:tcW w:type="dxa" w:w="3610"/>
            <w:vAlign w:val="center"/>
            <w:tcMar>
              <w:top w:w="80" w:type="dxa"/>
              <w:bottom w:w="80" w:type="dxa"/>
              <w:start w:w="120" w:type="dxa"/>
              <w:end w:w="120" w:type="dxa"/>
            </w:tcMar>
          </w:tcPr>
          <w:p>
            <w:pPr>
              <w:spacing w:after="0"/>
            </w:pPr>
            <w:r>
              <w:rPr>
                <w:rFonts w:ascii="Calibri" w:hAnsi="Calibri"/>
                <w:b w:val="0"/>
                <w:i w:val="0"/>
                <w:color w:val="20252B"/>
                <w:sz w:val="14"/>
              </w:rPr>
              <w:t>Controls, negative tests, and evidence for 25 decision-authority threats.</w:t>
            </w:r>
          </w:p>
        </w:tc>
      </w:tr>
      <w:tr>
        <w:trPr>
          <w:cantSplit w:val="true"/>
        </w:trPr>
        <w:tc>
          <w:tcPr>
            <w:tcW w:type="dxa" w:w="3550"/>
            <w:vAlign w:val="center"/>
            <w:tcMar>
              <w:top w:w="80" w:type="dxa"/>
              <w:bottom w:w="80" w:type="dxa"/>
              <w:start w:w="120" w:type="dxa"/>
              <w:end w:w="120" w:type="dxa"/>
            </w:tcMar>
          </w:tcPr>
          <w:p>
            <w:pPr>
              <w:spacing w:after="0"/>
            </w:pPr>
            <w:r>
              <w:rPr>
                <w:rFonts w:ascii="Calibri" w:hAnsi="Calibri"/>
                <w:b w:val="0"/>
                <w:i w:val="0"/>
                <w:color w:val="20252B"/>
                <w:sz w:val="14"/>
              </w:rPr>
              <w:t>AERA_1.2_WD_Source_Register.xlsx / .csv</w:t>
            </w:r>
          </w:p>
        </w:tc>
        <w:tc>
          <w:tcPr>
            <w:tcW w:type="dxa" w:w="2200"/>
            <w:vAlign w:val="center"/>
            <w:tcMar>
              <w:top w:w="80" w:type="dxa"/>
              <w:bottom w:w="80" w:type="dxa"/>
              <w:start w:w="120" w:type="dxa"/>
              <w:end w:w="120" w:type="dxa"/>
            </w:tcMar>
          </w:tcPr>
          <w:p>
            <w:pPr>
              <w:spacing w:after="0"/>
            </w:pPr>
            <w:r>
              <w:rPr>
                <w:rFonts w:ascii="Calibri" w:hAnsi="Calibri"/>
                <w:b w:val="0"/>
                <w:i w:val="0"/>
                <w:color w:val="20252B"/>
                <w:sz w:val="14"/>
              </w:rPr>
              <w:t>Source control</w:t>
            </w:r>
          </w:p>
        </w:tc>
        <w:tc>
          <w:tcPr>
            <w:tcW w:type="dxa" w:w="3610"/>
            <w:vAlign w:val="center"/>
            <w:tcMar>
              <w:top w:w="80" w:type="dxa"/>
              <w:bottom w:w="80" w:type="dxa"/>
              <w:start w:w="120" w:type="dxa"/>
              <w:end w:w="120" w:type="dxa"/>
            </w:tcMar>
          </w:tcPr>
          <w:p>
            <w:pPr>
              <w:spacing w:after="0"/>
            </w:pPr>
            <w:r>
              <w:rPr>
                <w:rFonts w:ascii="Calibri" w:hAnsi="Calibri"/>
                <w:b w:val="0"/>
                <w:i w:val="0"/>
                <w:color w:val="20252B"/>
                <w:sz w:val="14"/>
              </w:rPr>
              <w:t>Edition, status, access date, direction, and caveat for 69 sources.</w:t>
            </w:r>
          </w:p>
        </w:tc>
      </w:tr>
      <w:tr>
        <w:trPr>
          <w:cantSplit w:val="true"/>
        </w:trPr>
        <w:tc>
          <w:tcPr>
            <w:tcW w:type="dxa" w:w="3550"/>
            <w:vAlign w:val="center"/>
            <w:tcMar>
              <w:top w:w="80" w:type="dxa"/>
              <w:bottom w:w="80" w:type="dxa"/>
              <w:start w:w="120" w:type="dxa"/>
              <w:end w:w="120" w:type="dxa"/>
            </w:tcMar>
          </w:tcPr>
          <w:p>
            <w:pPr>
              <w:spacing w:after="0"/>
            </w:pPr>
            <w:r>
              <w:rPr>
                <w:rFonts w:ascii="Calibri" w:hAnsi="Calibri"/>
                <w:b w:val="0"/>
                <w:i w:val="0"/>
                <w:color w:val="20252B"/>
                <w:sz w:val="14"/>
              </w:rPr>
              <w:t>AERA_1.2_WD_Review_Comment_Matrix.xlsx</w:t>
            </w:r>
          </w:p>
        </w:tc>
        <w:tc>
          <w:tcPr>
            <w:tcW w:type="dxa" w:w="2200"/>
            <w:vAlign w:val="center"/>
            <w:tcMar>
              <w:top w:w="80" w:type="dxa"/>
              <w:bottom w:w="80" w:type="dxa"/>
              <w:start w:w="120" w:type="dxa"/>
              <w:end w:w="120" w:type="dxa"/>
            </w:tcMar>
          </w:tcPr>
          <w:p>
            <w:pPr>
              <w:spacing w:after="0"/>
            </w:pPr>
            <w:r>
              <w:rPr>
                <w:rFonts w:ascii="Calibri" w:hAnsi="Calibri"/>
                <w:b w:val="0"/>
                <w:i w:val="0"/>
                <w:color w:val="20252B"/>
                <w:sz w:val="14"/>
              </w:rPr>
              <w:t>Controlled review record</w:t>
            </w:r>
          </w:p>
        </w:tc>
        <w:tc>
          <w:tcPr>
            <w:tcW w:type="dxa" w:w="3610"/>
            <w:vAlign w:val="center"/>
            <w:tcMar>
              <w:top w:w="80" w:type="dxa"/>
              <w:bottom w:w="80" w:type="dxa"/>
              <w:start w:w="120" w:type="dxa"/>
              <w:end w:w="120" w:type="dxa"/>
            </w:tcMar>
          </w:tcPr>
          <w:p>
            <w:pPr>
              <w:spacing w:after="0"/>
            </w:pPr>
            <w:r>
              <w:rPr>
                <w:rFonts w:ascii="Calibri" w:hAnsi="Calibri"/>
                <w:b w:val="0"/>
                <w:i w:val="0"/>
                <w:color w:val="20252B"/>
                <w:sz w:val="14"/>
              </w:rPr>
              <w:t>Reviewer-entered identifiers, comments, dispositions, and embedded same-source snapshots.</w:t>
            </w:r>
          </w:p>
        </w:tc>
      </w:tr>
      <w:tr>
        <w:trPr>
          <w:cantSplit w:val="true"/>
        </w:trPr>
        <w:tc>
          <w:tcPr>
            <w:tcW w:type="dxa" w:w="3550"/>
            <w:vAlign w:val="center"/>
            <w:tcMar>
              <w:top w:w="80" w:type="dxa"/>
              <w:bottom w:w="80" w:type="dxa"/>
              <w:start w:w="120" w:type="dxa"/>
              <w:end w:w="120" w:type="dxa"/>
            </w:tcMar>
          </w:tcPr>
          <w:p>
            <w:pPr>
              <w:spacing w:after="0"/>
            </w:pPr>
            <w:r>
              <w:rPr>
                <w:rFonts w:ascii="Calibri" w:hAnsi="Calibri"/>
                <w:b w:val="0"/>
                <w:i w:val="0"/>
                <w:color w:val="20252B"/>
                <w:sz w:val="14"/>
              </w:rPr>
              <w:t>AERA_1.2_WD_NIST_Mapping_Development_Ledger.xlsx</w:t>
            </w:r>
          </w:p>
        </w:tc>
        <w:tc>
          <w:tcPr>
            <w:tcW w:type="dxa" w:w="2200"/>
            <w:vAlign w:val="center"/>
            <w:tcMar>
              <w:top w:w="80" w:type="dxa"/>
              <w:bottom w:w="80" w:type="dxa"/>
              <w:start w:w="120" w:type="dxa"/>
              <w:end w:w="120" w:type="dxa"/>
            </w:tcMar>
          </w:tcPr>
          <w:p>
            <w:pPr>
              <w:spacing w:after="0"/>
            </w:pPr>
            <w:r>
              <w:rPr>
                <w:rFonts w:ascii="Calibri" w:hAnsi="Calibri"/>
                <w:b w:val="0"/>
                <w:i w:val="0"/>
                <w:color w:val="20252B"/>
                <w:sz w:val="14"/>
              </w:rPr>
              <w:t>Mapping workspace</w:t>
            </w:r>
          </w:p>
        </w:tc>
        <w:tc>
          <w:tcPr>
            <w:tcW w:type="dxa" w:w="3610"/>
            <w:vAlign w:val="center"/>
            <w:tcMar>
              <w:top w:w="80" w:type="dxa"/>
              <w:bottom w:w="80" w:type="dxa"/>
              <w:start w:w="120" w:type="dxa"/>
              <w:end w:w="120" w:type="dxa"/>
            </w:tcMar>
          </w:tcPr>
          <w:p>
            <w:pPr>
              <w:spacing w:after="0"/>
            </w:pPr>
            <w:r>
              <w:rPr>
                <w:rFonts w:ascii="Calibri" w:hAnsi="Calibri"/>
                <w:b w:val="0"/>
                <w:i w:val="0"/>
                <w:color w:val="20252B"/>
                <w:sz w:val="14"/>
              </w:rPr>
              <w:t>Separate candidate lanes for AI RMF, CSF 2.0, and SP 800-53; not OLIR submission-ready.</w:t>
            </w:r>
          </w:p>
        </w:tc>
      </w:tr>
    </w:tbl>
    <w:p>
      <w:pPr>
        <w:widowControl/>
        <w:spacing w:before="80" w:after="80"/>
      </w:pP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FF5D6" w:val="clear"/>
            <w:vAlign w:val="center"/>
          </w:tcPr>
          <w:p>
            <w:pPr>
              <w:spacing w:after="0"/>
            </w:pPr>
            <w:r>
              <w:rPr>
                <w:rFonts w:ascii="Calibri" w:hAnsi="Calibri"/>
                <w:b/>
                <w:i w:val="0"/>
                <w:color w:val="A46F00"/>
                <w:sz w:val="21"/>
              </w:rPr>
              <w:t xml:space="preserve">MANIFEST CONTROL: </w:t>
            </w:r>
            <w:r>
              <w:rPr>
                <w:rFonts w:ascii="Calibri" w:hAnsi="Calibri"/>
                <w:b w:val="0"/>
                <w:i w:val="0"/>
                <w:color w:val="20252B"/>
                <w:sz w:val="21"/>
              </w:rPr>
              <w:t>Do not rename files, add a '_Validated_' marker, or distribute a partial set while retaining a checksum manifest created for a different inventory. Any byte change requires new hashes and a new manifest date.</w:t>
            </w:r>
          </w:p>
        </w:tc>
      </w:tr>
    </w:tbl>
    <w:p>
      <w:pPr>
        <w:widowControl/>
        <w:spacing w:after="40"/>
      </w:pPr>
    </w:p>
    <w:p>
      <w:pPr>
        <w:pStyle w:val="Heading1"/>
        <w:pageBreakBefore/>
        <w:widowControl/>
      </w:pPr>
      <w:r>
        <w:t>3. Review and Comment Procedure</w:t>
      </w:r>
    </w:p>
    <w:p>
      <w:pPr>
        <w:pStyle w:val="Heading2"/>
        <w:widowControl/>
      </w:pPr>
      <w:r>
        <w:t>3.1 Review scope</w:t>
      </w:r>
    </w:p>
    <w:p>
      <w:pPr>
        <w:pStyle w:val="AERABullet"/>
        <w:widowControl/>
        <w:numPr>
          <w:ilvl w:val="0"/>
          <w:numId w:val="10"/>
        </w:numPr>
      </w:pPr>
      <w:r>
        <w:rPr>
          <w:rFonts w:ascii="Calibri" w:hAnsi="Calibri"/>
          <w:b w:val="0"/>
          <w:i w:val="0"/>
          <w:color w:val="20252B"/>
          <w:sz w:val="22"/>
        </w:rPr>
        <w:t>Decision-authority transaction completeness and implementability.</w:t>
      </w:r>
    </w:p>
    <w:p>
      <w:pPr>
        <w:pStyle w:val="AERABullet"/>
        <w:widowControl/>
        <w:numPr>
          <w:ilvl w:val="0"/>
          <w:numId w:val="10"/>
        </w:numPr>
      </w:pPr>
      <w:r>
        <w:rPr>
          <w:rFonts w:ascii="Calibri" w:hAnsi="Calibri"/>
          <w:b w:val="0"/>
          <w:i w:val="0"/>
          <w:color w:val="20252B"/>
          <w:sz w:val="22"/>
        </w:rPr>
        <w:t>Requirement clarity, testability, feasibility, duplication, applicability, and profile assignment.</w:t>
      </w:r>
    </w:p>
    <w:p>
      <w:pPr>
        <w:pStyle w:val="AERABullet"/>
        <w:widowControl/>
        <w:numPr>
          <w:ilvl w:val="0"/>
          <w:numId w:val="10"/>
        </w:numPr>
      </w:pPr>
      <w:r>
        <w:rPr>
          <w:rFonts w:ascii="Calibri" w:hAnsi="Calibri"/>
          <w:b w:val="0"/>
          <w:i w:val="0"/>
          <w:color w:val="20252B"/>
          <w:sz w:val="22"/>
        </w:rPr>
        <w:t>Threat coverage across authority, identity, evidence, policy, enforcement, timing/PNT, effect, recovery, learning, supply chain, and human oversight.</w:t>
      </w:r>
    </w:p>
    <w:p>
      <w:pPr>
        <w:pStyle w:val="AERABullet"/>
        <w:widowControl/>
        <w:numPr>
          <w:ilvl w:val="0"/>
          <w:numId w:val="10"/>
        </w:numPr>
      </w:pPr>
      <w:r>
        <w:rPr>
          <w:rFonts w:ascii="Calibri" w:hAnsi="Calibri"/>
          <w:b w:val="0"/>
          <w:i w:val="0"/>
          <w:color w:val="20252B"/>
          <w:sz w:val="22"/>
        </w:rPr>
        <w:t>Consequence classes, cumulative risk, human-control floors, degraded operation, and recovery semantics.</w:t>
      </w:r>
    </w:p>
    <w:p>
      <w:pPr>
        <w:pStyle w:val="AERABullet"/>
        <w:widowControl/>
        <w:numPr>
          <w:ilvl w:val="0"/>
          <w:numId w:val="10"/>
        </w:numPr>
      </w:pPr>
      <w:r>
        <w:rPr>
          <w:rFonts w:ascii="Calibri" w:hAnsi="Calibri"/>
          <w:b w:val="0"/>
          <w:i w:val="0"/>
          <w:color w:val="20252B"/>
          <w:sz w:val="22"/>
        </w:rPr>
        <w:t>External mappings, source status, semantic direction, caveats, and evidence-reuse limits.</w:t>
      </w:r>
    </w:p>
    <w:p>
      <w:pPr>
        <w:pStyle w:val="AERABullet"/>
        <w:widowControl/>
        <w:numPr>
          <w:ilvl w:val="0"/>
          <w:numId w:val="10"/>
        </w:numPr>
      </w:pPr>
      <w:r>
        <w:rPr>
          <w:rFonts w:ascii="Calibri" w:hAnsi="Calibri"/>
          <w:b w:val="0"/>
          <w:i w:val="0"/>
          <w:color w:val="20252B"/>
          <w:sz w:val="22"/>
        </w:rPr>
        <w:t>Conformance, maturity, assessment independence, inter-rater reliability, metrics, usability, and pilot evidence.</w:t>
      </w:r>
    </w:p>
    <w:p>
      <w:pPr>
        <w:pStyle w:val="Heading2"/>
        <w:widowControl/>
      </w:pPr>
      <w:r>
        <w:t>3.2 Submission procedure</w:t>
      </w:r>
    </w:p>
    <w:p>
      <w:pPr>
        <w:pStyle w:val="AERANumber"/>
        <w:widowControl/>
        <w:numPr>
          <w:ilvl w:val="0"/>
          <w:numId w:val="11"/>
        </w:numPr>
      </w:pPr>
      <w:r>
        <w:rPr>
          <w:rFonts w:ascii="Calibri" w:hAnsi="Calibri"/>
          <w:b w:val="0"/>
          <w:i w:val="0"/>
          <w:color w:val="20252B"/>
          <w:sz w:val="22"/>
        </w:rPr>
        <w:t>Enter substantive comments in AERA_1.2_WD_Review_Comment_Matrix.xlsx; do not change a previously assigned Comment ID.</w:t>
      </w:r>
    </w:p>
    <w:p>
      <w:pPr>
        <w:pStyle w:val="AERANumber"/>
        <w:widowControl/>
        <w:numPr>
          <w:ilvl w:val="0"/>
          <w:numId w:val="11"/>
        </w:numPr>
      </w:pPr>
      <w:r>
        <w:rPr>
          <w:rFonts w:ascii="Calibri" w:hAnsi="Calibri"/>
          <w:b w:val="0"/>
          <w:i w:val="0"/>
          <w:color w:val="20252B"/>
          <w:sz w:val="22"/>
        </w:rPr>
        <w:t>Cite AERA-001, Version 1.2 WD, the artifact filename, section/page, and any requirement, threat, table, figure, source, or mapping row.</w:t>
      </w:r>
    </w:p>
    <w:p>
      <w:pPr>
        <w:pStyle w:val="AERANumber"/>
        <w:widowControl/>
        <w:numPr>
          <w:ilvl w:val="0"/>
          <w:numId w:val="11"/>
        </w:numPr>
      </w:pPr>
      <w:r>
        <w:rPr>
          <w:rFonts w:ascii="Calibri" w:hAnsi="Calibri"/>
          <w:b w:val="0"/>
          <w:i w:val="0"/>
          <w:color w:val="20252B"/>
          <w:sz w:val="22"/>
        </w:rPr>
        <w:t>Classify the concern as technical, conformance, evidence, mapping, source status, editorial, accessibility, security, privacy, safety, or implementation guidance.</w:t>
      </w:r>
    </w:p>
    <w:p>
      <w:pPr>
        <w:pStyle w:val="AERANumber"/>
        <w:widowControl/>
        <w:numPr>
          <w:ilvl w:val="0"/>
          <w:numId w:val="11"/>
        </w:numPr>
      </w:pPr>
      <w:r>
        <w:rPr>
          <w:rFonts w:ascii="Calibri" w:hAnsi="Calibri"/>
          <w:b w:val="0"/>
          <w:i w:val="0"/>
          <w:color w:val="20252B"/>
          <w:sz w:val="22"/>
        </w:rPr>
        <w:t>State the issue precisely, explain the technical rationale and mission consequence, and provide supporting evidence.</w:t>
      </w:r>
    </w:p>
    <w:p>
      <w:pPr>
        <w:pStyle w:val="AERANumber"/>
        <w:widowControl/>
        <w:numPr>
          <w:ilvl w:val="0"/>
          <w:numId w:val="11"/>
        </w:numPr>
      </w:pPr>
      <w:r>
        <w:rPr>
          <w:rFonts w:ascii="Calibri" w:hAnsi="Calibri"/>
          <w:b w:val="0"/>
          <w:i w:val="0"/>
          <w:color w:val="20252B"/>
          <w:sz w:val="22"/>
        </w:rPr>
        <w:t>Propose replacement language, an acceptance criterion, mapping rationale, test, or corrective action where practical.</w:t>
      </w:r>
    </w:p>
    <w:p>
      <w:pPr>
        <w:pStyle w:val="AERANumber"/>
        <w:widowControl/>
        <w:numPr>
          <w:ilvl w:val="0"/>
          <w:numId w:val="11"/>
        </w:numPr>
      </w:pPr>
      <w:r>
        <w:rPr>
          <w:rFonts w:ascii="Calibri" w:hAnsi="Calibri"/>
          <w:b w:val="0"/>
          <w:i w:val="0"/>
          <w:color w:val="20252B"/>
          <w:sz w:val="22"/>
        </w:rPr>
        <w:t>Identify reviewer role, relevant competence, affiliation, sponsorship, and conflicts when review is not anonymous.</w:t>
      </w:r>
    </w:p>
    <w:p>
      <w:pPr>
        <w:pStyle w:val="Heading2"/>
        <w:widowControl/>
      </w:pPr>
      <w:r>
        <w:t>3.3 Disposition values</w:t>
      </w:r>
    </w:p>
    <w:p>
      <w:pPr>
        <w:widowControl/>
      </w:pPr>
      <w:r>
        <w:rPr>
          <w:rFonts w:ascii="Calibri" w:hAnsi="Calibri"/>
          <w:b w:val="0"/>
          <w:i w:val="0"/>
          <w:color w:val="20252B"/>
          <w:sz w:val="22"/>
        </w:rPr>
        <w:t>Acknowledgment records receipt only; disposition remains controlled by the AERA change process. Use stable review outcomes such as ACCEPTED, ACCEPTED WITH MODIFICATION, DEFERRED, REJECTED, DUPLICATE, WITHDRAWN, or NEEDS EVIDENCE. Each disposition must include rationale, owner, affected artifacts, target edition, and verification status.</w:t>
      </w:r>
    </w:p>
    <w:p>
      <w:pPr>
        <w:pStyle w:val="Heading1"/>
        <w:pageBreakBefore/>
        <w:widowControl/>
      </w:pPr>
      <w:r>
        <w:t>4. Claim Language, Version Control, and Release Gates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val="true"/>
        </w:trPr>
        <w:tc>
          <w:tcPr>
            <w:tcW w:type="dxa" w:w="468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Use</w:t>
            </w:r>
          </w:p>
        </w:tc>
        <w:tc>
          <w:tcPr>
            <w:tcW w:type="dxa" w:w="468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Do not use</w:t>
            </w:r>
          </w:p>
        </w:tc>
      </w:tr>
      <w:tr>
        <w:trPr>
          <w:cantSplit w:val="true"/>
        </w:trPr>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AERA 1.2 Working Draft</w:t>
            </w:r>
          </w:p>
        </w:tc>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final standard or approved standard</w:t>
            </w:r>
          </w:p>
        </w:tc>
      </w:tr>
      <w:tr>
        <w:trPr>
          <w:cantSplit w:val="true"/>
        </w:trPr>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independently authored external technical discussion draft</w:t>
            </w:r>
          </w:p>
        </w:tc>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NIST, government, industry, or consensus publication</w:t>
            </w:r>
          </w:p>
        </w:tc>
      </w:tr>
      <w:tr>
        <w:trPr>
          <w:cantSplit w:val="true"/>
        </w:trPr>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designed for compatibility with selected NIST outcomes</w:t>
            </w:r>
          </w:p>
        </w:tc>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NIST-supported, NIST-approved, NIST-aligned, or NIST-endorsed</w:t>
            </w:r>
          </w:p>
        </w:tc>
      </w:tr>
      <w:tr>
        <w:trPr>
          <w:cantSplit w:val="true"/>
        </w:trPr>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candidate mapping under IR 8477 methodology</w:t>
            </w:r>
          </w:p>
        </w:tc>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NIST mapping or OLIR-ready without completed evidence</w:t>
            </w:r>
          </w:p>
        </w:tc>
      </w:tr>
      <w:tr>
        <w:trPr>
          <w:cantSplit w:val="true"/>
        </w:trPr>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mapped to / informed by, with version, direction, and caveat</w:t>
            </w:r>
          </w:p>
        </w:tc>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reciprocal compliance or certification established by AERA</w:t>
            </w:r>
          </w:p>
        </w:tc>
      </w:tr>
      <w:tr>
        <w:trPr>
          <w:cantSplit w:val="true"/>
        </w:trPr>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bounded pilot evidence</w:t>
            </w:r>
          </w:p>
        </w:tc>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validated framework or proven maturity model</w:t>
            </w:r>
          </w:p>
        </w:tc>
      </w:tr>
      <w:tr>
        <w:trPr>
          <w:cantSplit w:val="true"/>
        </w:trPr>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I1 author self-assessment</w:t>
            </w:r>
          </w:p>
        </w:tc>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independent review</w:t>
            </w:r>
          </w:p>
        </w:tc>
      </w:tr>
    </w:tbl>
    <w:p>
      <w:pPr>
        <w:widowControl/>
        <w:spacing w:before="80" w:after="80"/>
      </w:pPr>
    </w:p>
    <w:p>
      <w:pPr>
        <w:pStyle w:val="Heading2"/>
        <w:widowControl/>
      </w:pPr>
      <w:r>
        <w:t>4.1 Required release gates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val="true"/>
        </w:trPr>
        <w:tc>
          <w:tcPr>
            <w:tcW w:type="dxa" w:w="260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Gate</w:t>
            </w:r>
          </w:p>
        </w:tc>
        <w:tc>
          <w:tcPr>
            <w:tcW w:type="dxa" w:w="676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Acceptance evidence</w:t>
            </w:r>
          </w:p>
        </w:tc>
      </w:tr>
      <w:tr>
        <w:trPr>
          <w:cantSplit w:val="true"/>
        </w:trPr>
        <w:tc>
          <w:tcPr>
            <w:tcW w:type="dxa" w:w="2600"/>
            <w:vAlign w:val="center"/>
            <w:tcMar>
              <w:top w:w="80" w:type="dxa"/>
              <w:bottom w:w="80" w:type="dxa"/>
              <w:start w:w="120" w:type="dxa"/>
              <w:end w:w="120" w:type="dxa"/>
            </w:tcMar>
          </w:tcPr>
          <w:p>
            <w:pPr>
              <w:spacing w:after="0"/>
            </w:pPr>
            <w:r>
              <w:rPr>
                <w:rFonts w:ascii="Calibri" w:hAnsi="Calibri"/>
                <w:b w:val="0"/>
                <w:i w:val="0"/>
                <w:color w:val="20252B"/>
                <w:sz w:val="16"/>
              </w:rPr>
              <w:t>G1 Source reconciliation</w:t>
            </w:r>
          </w:p>
        </w:tc>
        <w:tc>
          <w:tcPr>
            <w:tcW w:type="dxa" w:w="6760"/>
            <w:vAlign w:val="center"/>
            <w:tcMar>
              <w:top w:w="80" w:type="dxa"/>
              <w:bottom w:w="80" w:type="dxa"/>
              <w:start w:w="120" w:type="dxa"/>
              <w:end w:w="120" w:type="dxa"/>
            </w:tcMar>
          </w:tcPr>
          <w:p>
            <w:pPr>
              <w:spacing w:after="0"/>
            </w:pPr>
            <w:r>
              <w:rPr>
                <w:rFonts w:ascii="Calibri" w:hAnsi="Calibri"/>
                <w:b w:val="0"/>
                <w:i w:val="0"/>
                <w:color w:val="20252B"/>
                <w:sz w:val="16"/>
              </w:rPr>
              <w:t>Requirement, threat, source, mapping, and comment snapshots match the controlled source.</w:t>
            </w:r>
          </w:p>
        </w:tc>
      </w:tr>
      <w:tr>
        <w:trPr>
          <w:cantSplit w:val="true"/>
        </w:trPr>
        <w:tc>
          <w:tcPr>
            <w:tcW w:type="dxa" w:w="2600"/>
            <w:vAlign w:val="center"/>
            <w:tcMar>
              <w:top w:w="80" w:type="dxa"/>
              <w:bottom w:w="80" w:type="dxa"/>
              <w:start w:w="120" w:type="dxa"/>
              <w:end w:w="120" w:type="dxa"/>
            </w:tcMar>
          </w:tcPr>
          <w:p>
            <w:pPr>
              <w:spacing w:after="0"/>
            </w:pPr>
            <w:r>
              <w:rPr>
                <w:rFonts w:ascii="Calibri" w:hAnsi="Calibri"/>
                <w:b w:val="0"/>
                <w:i w:val="0"/>
                <w:color w:val="20252B"/>
                <w:sz w:val="16"/>
              </w:rPr>
              <w:t>G2 Fixed-layout QA</w:t>
            </w:r>
          </w:p>
        </w:tc>
        <w:tc>
          <w:tcPr>
            <w:tcW w:type="dxa" w:w="6760"/>
            <w:vAlign w:val="center"/>
            <w:tcMar>
              <w:top w:w="80" w:type="dxa"/>
              <w:bottom w:w="80" w:type="dxa"/>
              <w:start w:w="120" w:type="dxa"/>
              <w:end w:w="120" w:type="dxa"/>
            </w:tcMar>
          </w:tcPr>
          <w:p>
            <w:pPr>
              <w:spacing w:after="0"/>
            </w:pPr>
            <w:r>
              <w:rPr>
                <w:rFonts w:ascii="Calibri" w:hAnsi="Calibri"/>
                <w:b w:val="0"/>
                <w:i w:val="0"/>
                <w:color w:val="20252B"/>
                <w:sz w:val="16"/>
              </w:rPr>
              <w:t>Every DOCX/PDF page is rendered and visually inspected; no clipping, overlap, missing glyphs, stale navigation, or broken tables.</w:t>
            </w:r>
          </w:p>
        </w:tc>
      </w:tr>
      <w:tr>
        <w:trPr>
          <w:cantSplit w:val="true"/>
        </w:trPr>
        <w:tc>
          <w:tcPr>
            <w:tcW w:type="dxa" w:w="2600"/>
            <w:vAlign w:val="center"/>
            <w:tcMar>
              <w:top w:w="80" w:type="dxa"/>
              <w:bottom w:w="80" w:type="dxa"/>
              <w:start w:w="120" w:type="dxa"/>
              <w:end w:w="120" w:type="dxa"/>
            </w:tcMar>
          </w:tcPr>
          <w:p>
            <w:pPr>
              <w:spacing w:after="0"/>
            </w:pPr>
            <w:r>
              <w:rPr>
                <w:rFonts w:ascii="Calibri" w:hAnsi="Calibri"/>
                <w:b w:val="0"/>
                <w:i w:val="0"/>
                <w:color w:val="20252B"/>
                <w:sz w:val="16"/>
              </w:rPr>
              <w:t>G3 Workbook QA</w:t>
            </w:r>
          </w:p>
        </w:tc>
        <w:tc>
          <w:tcPr>
            <w:tcW w:type="dxa" w:w="6760"/>
            <w:vAlign w:val="center"/>
            <w:tcMar>
              <w:top w:w="80" w:type="dxa"/>
              <w:bottom w:w="80" w:type="dxa"/>
              <w:start w:w="120" w:type="dxa"/>
              <w:end w:w="120" w:type="dxa"/>
            </w:tcMar>
          </w:tcPr>
          <w:p>
            <w:pPr>
              <w:spacing w:after="0"/>
            </w:pPr>
            <w:r>
              <w:rPr>
                <w:rFonts w:ascii="Calibri" w:hAnsi="Calibri"/>
                <w:b w:val="0"/>
                <w:i w:val="0"/>
                <w:color w:val="20252B"/>
                <w:sz w:val="16"/>
              </w:rPr>
              <w:t>Every sheet renders; formulas, validations, filters, frozen panes, counts, and error scans pass.</w:t>
            </w:r>
          </w:p>
        </w:tc>
      </w:tr>
      <w:tr>
        <w:trPr>
          <w:cantSplit w:val="true"/>
        </w:trPr>
        <w:tc>
          <w:tcPr>
            <w:tcW w:type="dxa" w:w="2600"/>
            <w:vAlign w:val="center"/>
            <w:tcMar>
              <w:top w:w="80" w:type="dxa"/>
              <w:bottom w:w="80" w:type="dxa"/>
              <w:start w:w="120" w:type="dxa"/>
              <w:end w:w="120" w:type="dxa"/>
            </w:tcMar>
          </w:tcPr>
          <w:p>
            <w:pPr>
              <w:spacing w:after="0"/>
            </w:pPr>
            <w:r>
              <w:rPr>
                <w:rFonts w:ascii="Calibri" w:hAnsi="Calibri"/>
                <w:b w:val="0"/>
                <w:i w:val="0"/>
                <w:color w:val="20252B"/>
                <w:sz w:val="16"/>
              </w:rPr>
              <w:t>G4 Metadata</w:t>
            </w:r>
          </w:p>
        </w:tc>
        <w:tc>
          <w:tcPr>
            <w:tcW w:type="dxa" w:w="6760"/>
            <w:vAlign w:val="center"/>
            <w:tcMar>
              <w:top w:w="80" w:type="dxa"/>
              <w:bottom w:w="80" w:type="dxa"/>
              <w:start w:w="120" w:type="dxa"/>
              <w:end w:w="120" w:type="dxa"/>
            </w:tcMar>
          </w:tcPr>
          <w:p>
            <w:pPr>
              <w:spacing w:after="0"/>
            </w:pPr>
            <w:r>
              <w:rPr>
                <w:rFonts w:ascii="Calibri" w:hAnsi="Calibri"/>
                <w:b w:val="0"/>
                <w:i w:val="0"/>
                <w:color w:val="20252B"/>
                <w:sz w:val="16"/>
              </w:rPr>
              <w:t>Author, affiliation, edition, status, dates, titles, and non-endorsement boundary agree across artifacts.</w:t>
            </w:r>
          </w:p>
        </w:tc>
      </w:tr>
      <w:tr>
        <w:trPr>
          <w:cantSplit w:val="true"/>
        </w:trPr>
        <w:tc>
          <w:tcPr>
            <w:tcW w:type="dxa" w:w="2600"/>
            <w:vAlign w:val="center"/>
            <w:tcMar>
              <w:top w:w="80" w:type="dxa"/>
              <w:bottom w:w="80" w:type="dxa"/>
              <w:start w:w="120" w:type="dxa"/>
              <w:end w:w="120" w:type="dxa"/>
            </w:tcMar>
          </w:tcPr>
          <w:p>
            <w:pPr>
              <w:spacing w:after="0"/>
            </w:pPr>
            <w:r>
              <w:rPr>
                <w:rFonts w:ascii="Calibri" w:hAnsi="Calibri"/>
                <w:b w:val="0"/>
                <w:i w:val="0"/>
                <w:color w:val="20252B"/>
                <w:sz w:val="16"/>
              </w:rPr>
              <w:t>G5 Rights</w:t>
            </w:r>
          </w:p>
        </w:tc>
        <w:tc>
          <w:tcPr>
            <w:tcW w:type="dxa" w:w="6760"/>
            <w:vAlign w:val="center"/>
            <w:tcMar>
              <w:top w:w="80" w:type="dxa"/>
              <w:bottom w:w="80" w:type="dxa"/>
              <w:start w:w="120" w:type="dxa"/>
              <w:end w:w="120" w:type="dxa"/>
            </w:tcMar>
          </w:tcPr>
          <w:p>
            <w:pPr>
              <w:spacing w:after="0"/>
            </w:pPr>
            <w:r>
              <w:rPr>
                <w:rFonts w:ascii="Calibri" w:hAnsi="Calibri"/>
                <w:b w:val="0"/>
                <w:i w:val="0"/>
                <w:color w:val="20252B"/>
                <w:sz w:val="16"/>
              </w:rPr>
              <w:t>License, redistribution, contribution, derivative-work, and submission terms are approved.</w:t>
            </w:r>
          </w:p>
        </w:tc>
      </w:tr>
      <w:tr>
        <w:trPr>
          <w:cantSplit w:val="true"/>
        </w:trPr>
        <w:tc>
          <w:tcPr>
            <w:tcW w:type="dxa" w:w="2600"/>
            <w:vAlign w:val="center"/>
            <w:tcMar>
              <w:top w:w="80" w:type="dxa"/>
              <w:bottom w:w="80" w:type="dxa"/>
              <w:start w:w="120" w:type="dxa"/>
              <w:end w:w="120" w:type="dxa"/>
            </w:tcMar>
          </w:tcPr>
          <w:p>
            <w:pPr>
              <w:spacing w:after="0"/>
            </w:pPr>
            <w:r>
              <w:rPr>
                <w:rFonts w:ascii="Calibri" w:hAnsi="Calibri"/>
                <w:b w:val="0"/>
                <w:i w:val="0"/>
                <w:color w:val="20252B"/>
                <w:sz w:val="16"/>
              </w:rPr>
              <w:t>G6 Integrity</w:t>
            </w:r>
          </w:p>
        </w:tc>
        <w:tc>
          <w:tcPr>
            <w:tcW w:type="dxa" w:w="6760"/>
            <w:vAlign w:val="center"/>
            <w:tcMar>
              <w:top w:w="80" w:type="dxa"/>
              <w:bottom w:w="80" w:type="dxa"/>
              <w:start w:w="120" w:type="dxa"/>
              <w:end w:w="120" w:type="dxa"/>
            </w:tcMar>
          </w:tcPr>
          <w:p>
            <w:pPr>
              <w:spacing w:after="0"/>
            </w:pPr>
            <w:r>
              <w:rPr>
                <w:rFonts w:ascii="Calibri" w:hAnsi="Calibri"/>
                <w:b w:val="0"/>
                <w:i w:val="0"/>
                <w:color w:val="20252B"/>
                <w:sz w:val="16"/>
              </w:rPr>
              <w:t>A complete SHA-256 manifest is generated after final bytes are frozen and validated against the distributed set.</w:t>
            </w:r>
          </w:p>
        </w:tc>
      </w:tr>
      <w:tr>
        <w:trPr>
          <w:cantSplit w:val="true"/>
        </w:trPr>
        <w:tc>
          <w:tcPr>
            <w:tcW w:type="dxa" w:w="2600"/>
            <w:vAlign w:val="center"/>
            <w:tcMar>
              <w:top w:w="80" w:type="dxa"/>
              <w:bottom w:w="80" w:type="dxa"/>
              <w:start w:w="120" w:type="dxa"/>
              <w:end w:w="120" w:type="dxa"/>
            </w:tcMar>
          </w:tcPr>
          <w:p>
            <w:pPr>
              <w:spacing w:after="0"/>
            </w:pPr>
            <w:r>
              <w:rPr>
                <w:rFonts w:ascii="Calibri" w:hAnsi="Calibri"/>
                <w:b w:val="0"/>
                <w:i w:val="0"/>
                <w:color w:val="20252B"/>
                <w:sz w:val="16"/>
              </w:rPr>
              <w:t>G7 Critical defects</w:t>
            </w:r>
          </w:p>
        </w:tc>
        <w:tc>
          <w:tcPr>
            <w:tcW w:type="dxa" w:w="6760"/>
            <w:vAlign w:val="center"/>
            <w:tcMar>
              <w:top w:w="80" w:type="dxa"/>
              <w:bottom w:w="80" w:type="dxa"/>
              <w:start w:w="120" w:type="dxa"/>
              <w:end w:w="120" w:type="dxa"/>
            </w:tcMar>
          </w:tcPr>
          <w:p>
            <w:pPr>
              <w:spacing w:after="0"/>
            </w:pPr>
            <w:r>
              <w:rPr>
                <w:rFonts w:ascii="Calibri" w:hAnsi="Calibri"/>
                <w:b w:val="0"/>
                <w:i w:val="0"/>
                <w:color w:val="20252B"/>
                <w:sz w:val="16"/>
              </w:rPr>
              <w:t>No unresolved P0 publication or safety/security defect remains; open P1/P2 issues are visible and owned.</w:t>
            </w:r>
          </w:p>
        </w:tc>
      </w:tr>
    </w:tbl>
    <w:p>
      <w:pPr>
        <w:widowControl/>
        <w:spacing w:before="80" w:after="80"/>
      </w:pPr>
    </w:p>
    <w:p>
      <w:pPr>
        <w:pStyle w:val="Heading2"/>
        <w:widowControl/>
      </w:pPr>
      <w:r>
        <w:t>4.2 Version and integrity rules</w:t>
      </w:r>
    </w:p>
    <w:p>
      <w:pPr>
        <w:widowControl/>
      </w:pPr>
      <w:r>
        <w:rPr>
          <w:rFonts w:ascii="Calibri" w:hAnsi="Calibri"/>
          <w:b w:val="0"/>
          <w:i w:val="0"/>
          <w:color w:val="20252B"/>
          <w:sz w:val="22"/>
        </w:rPr>
        <w:t>A later edition does not silently replace an earlier review record. Comments, citations, mappings, pilot results, and conformance claims remain bound to the exact edition, subject, boundary, evidence package, date, and expiration conditions assessed.</w:t>
      </w: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FF5D6" w:val="clear"/>
            <w:vAlign w:val="center"/>
          </w:tcPr>
          <w:p>
            <w:pPr>
              <w:spacing w:after="0"/>
            </w:pPr>
            <w:r>
              <w:rPr>
                <w:rFonts w:ascii="Calibri" w:hAnsi="Calibri"/>
                <w:b/>
                <w:i w:val="0"/>
                <w:color w:val="A46F00"/>
                <w:sz w:val="21"/>
              </w:rPr>
              <w:t xml:space="preserve">PUBLISH ONLY AFTER GATES: </w:t>
            </w:r>
            <w:r>
              <w:rPr>
                <w:rFonts w:ascii="Calibri" w:hAnsi="Calibri"/>
                <w:b w:val="0"/>
                <w:i w:val="0"/>
                <w:color w:val="20252B"/>
                <w:sz w:val="21"/>
              </w:rPr>
              <w:t>The working draft may be posted for developmental review only after the fixed artifact inventory, rights decision, visual QA, metadata, and checksum gates are complete. Public availability still does not create consensus or endorsement.</w:t>
            </w:r>
          </w:p>
        </w:tc>
      </w:tr>
    </w:tbl>
    <w:p>
      <w:pPr>
        <w:widowControl/>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2616B"/>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spacing w:after="40"/>
      <w:jc w:val="left"/>
      <w:pBdr>
        <w:bottom w:val="single" w:sz="6" w:space="3" w:color="D7DBE2"/>
      </w:pBdr>
    </w:pPr>
    <w:r>
      <w:rPr>
        <w:rFonts w:ascii="Calibri" w:hAnsi="Calibri"/>
        <w:b/>
        <w:i w:val="0"/>
        <w:color w:val="52616B"/>
        <w:sz w:val="16"/>
      </w:rPr>
      <w:t>AERA 1.2 WD  |  PUBLIC REVIEW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80" w:line="28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8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pPr>
    <w:rPr>
      <w:rFonts w:asciiTheme="majorHAnsi" w:eastAsiaTheme="majorEastAsia" w:hAnsiTheme="majorHAnsi" w:cstheme="majorBidi" w:ascii="Calibri" w:hAnsi="Calibri"/>
      <w:b w:val="0"/>
      <w:i/>
      <w:iCs/>
      <w:color w:val="5261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ERABullet">
    <w:name w:val="AERA Bullet"/>
    <w:basedOn w:val="Normal"/>
    <w:pPr>
      <w:spacing w:after="160" w:line="280" w:lineRule="auto"/>
    </w:pPr>
    <w:rPr>
      <w:rFonts w:ascii="Calibri" w:hAnsi="Calibri"/>
      <w:sz w:val="22"/>
    </w:rPr>
  </w:style>
  <w:style w:type="paragraph" w:customStyle="1" w:styleId="AERANumber">
    <w:name w:val="AERA Number"/>
    <w:basedOn w:val="Normal"/>
    <w:pPr>
      <w:spacing w:after="160" w:line="280" w:lineRule="auto"/>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AERA 1.2 WD - Public Review Release Notes</dc:title>
  <dc:subject>AERA 1.2 Working Draft external technical review support</dc:subject>
  <dc:creator>Angelis Pseftis</dc:creator>
  <cp:keywords>AERA; autonomous systems; decision authority; NIST AI RMF; cybersecurity; conformance; public review</cp:keywords>
  <dc:description>Independently authored working draft. No government endorsement or NIST support claim.</dc:description>
  <cp:lastModifiedBy>Angelis Pseftis</cp:lastModifiedBy>
  <cp:revision>1</cp:revision>
  <dcterms:created xsi:type="dcterms:W3CDTF">2026-08-07T13:00:00Z</dcterms:created>
  <dcterms:modified xsi:type="dcterms:W3CDTF">2026-08-07T13:00:00Z</dcterms:modified>
  <cp:category>External Technical Working Draft</cp:category>
  <cp:contentStatus>Working Draft</cp:contentStatus>
</cp:coreProperties>
</file>