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0.5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0.5</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2"/>
        <w:keepNext/>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888"/>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728"/>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Established the reconstructed protocol, evidence limits, architecture, threat model, method, and completion gates.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Reproduction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Hardened input validation; added generated schema, rejection tests, and coverage gate.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0.3</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2026-08-24T15:26:42Z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Checked the expanded authorization model and weakened cases; mapped runtime conformance.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Formal M1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0.4</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2026-08-24T15:47:25Z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an independent reference model, sampled scenario envelopes, eight baselines, and uncertainty estimates.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M2 independent-oracle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0.5</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2026-08-24T18:47:57Z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the bounded M3 steady-state plant and Modbus process-boundary implementation, controlled evidence, offline verification, and local outcome reproduction under matching recorded conditions.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M3 physical Modbus manifest</w:t>
            </w:r>
          </w:p>
        </w:tc>
      </w:tr>
    </w:tbl>
    <w:p>
      <w:pPr>
        <w:spacing w:after="40"/>
      </w:pPr>
    </w:p>
    <w:p>
      <w:r>
        <w:br w:type="page"/>
      </w:r>
    </w:p>
    <w:p>
      <w:pPr>
        <w:pStyle w:val="Heading1"/>
        <w:keepNext/>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M2 Controlled Results</w:t>
      </w:r>
    </w:p>
    <w:p>
      <w:pPr>
        <w:pStyle w:val="ListBullet"/>
        <w:spacing w:after="120" w:line="288" w:lineRule="auto"/>
        <w:ind w:left="720" w:hanging="360"/>
      </w:pPr>
      <w:r>
        <w:rPr>
          <w:rFonts w:ascii="Arial" w:hAnsi="Arial"/>
          <w:b w:val="0"/>
          <w:color w:val="102A43"/>
          <w:sz w:val="21"/>
        </w:rPr>
        <w:t>14 M3 Physical Process-Boundary Results</w:t>
      </w:r>
    </w:p>
    <w:p>
      <w:pPr>
        <w:pStyle w:val="ListBullet"/>
        <w:spacing w:after="120" w:line="288" w:lineRule="auto"/>
        <w:ind w:left="720" w:hanging="360"/>
      </w:pPr>
      <w:r>
        <w:rPr>
          <w:rFonts w:ascii="Arial" w:hAnsi="Arial"/>
          <w:b w:val="0"/>
          <w:color w:val="102A43"/>
          <w:sz w:val="21"/>
        </w:rPr>
        <w:t>15 Multi-VM Integration Plan</w:t>
      </w:r>
    </w:p>
    <w:p>
      <w:pPr>
        <w:pStyle w:val="ListBullet"/>
        <w:spacing w:after="120" w:line="288" w:lineRule="auto"/>
        <w:ind w:left="720" w:hanging="360"/>
      </w:pPr>
      <w:r>
        <w:rPr>
          <w:rFonts w:ascii="Arial" w:hAnsi="Arial"/>
          <w:b w:val="0"/>
          <w:color w:val="102A43"/>
          <w:sz w:val="21"/>
        </w:rPr>
        <w:t>16 Operate-Through-Compromise Test Program</w:t>
      </w:r>
    </w:p>
    <w:p>
      <w:pPr>
        <w:pStyle w:val="ListBullet"/>
        <w:spacing w:after="120" w:line="288" w:lineRule="auto"/>
        <w:ind w:left="720" w:hanging="360"/>
      </w:pPr>
      <w:r>
        <w:rPr>
          <w:rFonts w:ascii="Arial" w:hAnsi="Arial"/>
          <w:b w:val="0"/>
          <w:color w:val="102A43"/>
          <w:sz w:val="21"/>
        </w:rPr>
        <w:t>17 Scale and Economic Analysis Plan</w:t>
      </w:r>
    </w:p>
    <w:p>
      <w:pPr>
        <w:pStyle w:val="ListBullet"/>
        <w:spacing w:after="120" w:line="288" w:lineRule="auto"/>
        <w:ind w:left="720" w:hanging="360"/>
      </w:pPr>
      <w:r>
        <w:rPr>
          <w:rFonts w:ascii="Arial" w:hAnsi="Arial"/>
          <w:b w:val="0"/>
          <w:color w:val="102A43"/>
          <w:sz w:val="21"/>
        </w:rPr>
        <w:t>18 Reproducibility and Data Management</w:t>
      </w:r>
    </w:p>
    <w:p>
      <w:pPr>
        <w:pStyle w:val="ListBullet"/>
        <w:spacing w:after="120" w:line="288" w:lineRule="auto"/>
        <w:ind w:left="720" w:hanging="360"/>
      </w:pPr>
      <w:r>
        <w:rPr>
          <w:rFonts w:ascii="Arial" w:hAnsi="Arial"/>
          <w:b w:val="0"/>
          <w:color w:val="102A43"/>
          <w:sz w:val="21"/>
        </w:rPr>
        <w:t>19 Risks, Limitations, and Validity Threats</w:t>
      </w:r>
    </w:p>
    <w:p>
      <w:pPr>
        <w:pStyle w:val="ListBullet"/>
        <w:spacing w:after="120" w:line="288" w:lineRule="auto"/>
        <w:ind w:left="720" w:hanging="360"/>
      </w:pPr>
      <w:r>
        <w:rPr>
          <w:rFonts w:ascii="Arial" w:hAnsi="Arial"/>
          <w:b w:val="0"/>
          <w:color w:val="102A43"/>
          <w:sz w:val="21"/>
        </w:rPr>
        <w:t>20 Work Plan and Completion Criteria</w:t>
      </w:r>
    </w:p>
    <w:p>
      <w:pPr>
        <w:pStyle w:val="ListBullet"/>
        <w:spacing w:after="120" w:line="288" w:lineRule="auto"/>
        <w:ind w:left="720" w:hanging="360"/>
      </w:pPr>
      <w:r>
        <w:rPr>
          <w:rFonts w:ascii="Arial" w:hAnsi="Arial"/>
          <w:b w:val="0"/>
          <w:color w:val="102A43"/>
          <w:sz w:val="21"/>
        </w:rPr>
        <w:t>21 Conclusions</w:t>
      </w:r>
    </w:p>
    <w:p>
      <w:pPr>
        <w:pStyle w:val="ListBullet"/>
        <w:spacing w:after="120" w:line="288" w:lineRule="auto"/>
        <w:ind w:left="720" w:hanging="360"/>
      </w:pPr>
      <w:r>
        <w:rPr>
          <w:rFonts w:ascii="Arial" w:hAnsi="Arial"/>
          <w:b w:val="0"/>
          <w:color w:val="102A43"/>
          <w:sz w:val="21"/>
        </w:rPr>
        <w:t>22 References</w:t>
      </w:r>
    </w:p>
    <w:p>
      <w:pPr>
        <w:pStyle w:val="ListBullet"/>
        <w:spacing w:after="120" w:line="288" w:lineRule="auto"/>
        <w:ind w:left="720" w:hanging="360"/>
      </w:pPr>
      <w:r>
        <w:rPr>
          <w:rFonts w:ascii="Arial" w:hAnsi="Arial"/>
          <w:b w:val="0"/>
          <w:color w:val="102A43"/>
          <w:sz w:val="21"/>
        </w:rPr>
        <w:t>23 Requirements Traceability Appendix</w:t>
      </w:r>
    </w:p>
    <w:p>
      <w:pPr>
        <w:pStyle w:val="ListBullet"/>
        <w:spacing w:after="120" w:line="288" w:lineRule="auto"/>
        <w:ind w:left="720" w:hanging="360"/>
      </w:pPr>
      <w:r>
        <w:rPr>
          <w:rFonts w:ascii="Arial" w:hAnsi="Arial"/>
          <w:b w:val="0"/>
          <w:color w:val="102A43"/>
          <w:sz w:val="21"/>
        </w:rPr>
        <w:t>24 Data and Message Schemas Appendix</w:t>
      </w:r>
    </w:p>
    <w:p>
      <w:pPr>
        <w:pStyle w:val="ListBullet"/>
        <w:spacing w:after="120" w:line="288" w:lineRule="auto"/>
        <w:ind w:left="720" w:hanging="360"/>
      </w:pPr>
      <w:r>
        <w:rPr>
          <w:rFonts w:ascii="Arial" w:hAnsi="Arial"/>
          <w:b w:val="0"/>
          <w:color w:val="102A43"/>
          <w:sz w:val="21"/>
        </w:rPr>
        <w:t>25 Reproduction Runbook Appendix</w:t>
      </w:r>
    </w:p>
    <w:p>
      <w:pPr>
        <w:pStyle w:val="ListBullet"/>
        <w:spacing w:after="120" w:line="288" w:lineRule="auto"/>
        <w:ind w:left="720" w:hanging="360"/>
      </w:pPr>
      <w:r>
        <w:rPr>
          <w:rFonts w:ascii="Arial" w:hAnsi="Arial"/>
          <w:b w:val="0"/>
          <w:color w:val="102A43"/>
          <w:sz w:val="21"/>
        </w:rPr>
        <w:t>26 Version-Control Audit Trail Appendix</w:t>
      </w:r>
    </w:p>
    <w:p>
      <w:r>
        <w:br w:type="page"/>
      </w:r>
    </w:p>
    <w:p>
      <w:pPr>
        <w:pStyle w:val="Heading1"/>
        <w:keepNext/>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implementation binds typed proposals to Ed25519-signed delegation chains, contextual policy, state freshness, replay protection, modeled safety, one-time execution permits, signed command acknowledgments, readback, and hash-chained evidence. M2 separates the runtime kernel from a decimal-arithmetic reference model and exposes a material guardband-sensitivity gap. M3 adds a pandapower CIGRE MV steady-state plant and a permit-aware PyModbus virtual device in a spawned process. In 30 fixed-condition sessions, the retained primary M3 run observed no non-nominal modeled effects, 30 of 30 nominal completions, no replay effect, no fail-fast unknown-effect outcome, and a complete narrow proposal/decision/terminal-hash indicator; a local rerun reproduced the timing-independent outcome hash. These findings establish bounded local conformance, not physical accuracy, independent replication, field effectiveness, or production readiness.</w:t>
      </w:r>
    </w:p>
    <w:p>
      <w:pPr>
        <w:pStyle w:val="Heading1"/>
        <w:keepNext/>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264 passing tests, clean strict type checking, clean linting, schema-drift validation, and 91.57 percent branch-aware coverage on the local Python 3.14 host.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pPr>
        <w:pStyle w:val="ListBullet"/>
        <w:spacing w:after="120" w:line="288" w:lineRule="auto"/>
        <w:ind w:left="720" w:hanging="360"/>
      </w:pPr>
      <w:r>
        <w:rPr>
          <w:rFonts w:ascii="Arial" w:hAnsi="Arial"/>
          <w:b w:val="0"/>
          <w:color w:val="102A43"/>
          <w:sz w:val="21"/>
        </w:rPr>
        <w:t>M2 evidence: 8,640 decision records across eight baselines, 12 reviewed scenario templates, 30 master seeds, and 36 sampled trials per seed per baseline. A separate rerun matched deterministic outcome hash b5ad54a6984f659f961975adaf386eade41f733307c289ea7c3ecaa11c6b5b90.</w:t>
      </w:r>
    </w:p>
    <w:p>
      <w:pPr>
        <w:pStyle w:val="ListBullet"/>
        <w:spacing w:after="120" w:line="288" w:lineRule="auto"/>
        <w:ind w:left="720" w:hanging="360"/>
      </w:pPr>
      <w:r>
        <w:rPr>
          <w:rFonts w:ascii="Arial" w:hAnsi="Arial"/>
          <w:b w:val="0"/>
          <w:color w:val="102A43"/>
          <w:sz w:val="21"/>
        </w:rPr>
        <w:t>M2 result: the assured path produced zero unauthorized executions among 450 authorization-negative records but executed 60 percent of the 450 reference-unsafe records because three conservative guardband templates remained inside the runtime kernel limits. This is a threshold-sensitivity finding, not physical evidence.</w:t>
      </w:r>
    </w:p>
    <w:p>
      <w:pPr>
        <w:pStyle w:val="ListBullet"/>
        <w:spacing w:after="120" w:line="288" w:lineRule="auto"/>
        <w:ind w:left="720" w:hanging="360"/>
      </w:pPr>
      <w:r>
        <w:rPr>
          <w:rFonts w:ascii="Arial" w:hAnsi="Arial"/>
          <w:b w:val="0"/>
          <w:color w:val="102A43"/>
          <w:sz w:val="21"/>
        </w:rPr>
        <w:t>M3 evidence: the primary manifest records 30 fresh child-process sessions, 150 fixed-condition trials, 270 chained evidence events, commit 168b8bd, and a clean-start flag. The controlled package and local rerun pass the offline verifier from the matching clean checkout and share deterministic outcome SHA-256 150b32da0055da6086a8f858f8dab4425d06b5bfd836ba653a10c1f20adf9005. The unsigned historical metadata is not external attestation.</w:t>
      </w:r>
    </w:p>
    <w:p>
      <w:pPr>
        <w:pStyle w:val="ListBullet"/>
        <w:spacing w:after="120" w:line="288" w:lineRule="auto"/>
        <w:ind w:left="720" w:hanging="360"/>
      </w:pPr>
      <w:r>
        <w:rPr>
          <w:rFonts w:ascii="Arial" w:hAnsi="Arial"/>
          <w:b w:val="0"/>
          <w:color w:val="102A43"/>
          <w:sz w:val="21"/>
        </w:rPr>
        <w:t>M3 result: 0 of 120 primary-package non-nominal trials produced a modeled effect or unauthorized device application under the registered end-to-end metric, whose denominator includes 60 gateway no-dispatch cases; all 30 nominal commands were applied, acknowledged, and read back; and 0 of 30 replays produced a second effect. The fail-fast runner observed no unknown-effect outcome, and the narrow proposal/decision/terminal-hash indicator was complete for 150 of 150 trials. These are fixed-condition conformance checks from one deterministic model and host, not device-dispatch-conditional, ambiguity-rate, or field-rate estimates.</w:t>
      </w:r>
    </w:p>
    <w:p>
      <w:pPr>
        <w:pStyle w:val="ListBullet"/>
        <w:spacing w:after="120" w:line="288" w:lineRule="auto"/>
        <w:ind w:left="720" w:hanging="360"/>
      </w:pPr>
      <w:r>
        <w:rPr>
          <w:rFonts w:ascii="Arial" w:hAnsi="Arial"/>
          <w:b w:val="0"/>
          <w:color w:val="102A43"/>
          <w:sz w:val="21"/>
        </w:rPr>
        <w:t>Next decision gate: introduce an independently operated measurement or model path, then evaluate HELICS coordination, OpenPLC or hardware I/O, durable device identity, segmented networking, post-commit recovery, and externally anchored evidence under separate acceptance gates.</w:t>
      </w:r>
    </w:p>
    <w:p>
      <w:r>
        <w:br w:type="page"/>
      </w:r>
    </w:p>
    <w:p>
      <w:pPr>
        <w:pStyle w:val="Heading1"/>
        <w:keepNext/>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device applies only an exact, signed, unexpired, audience-bound, single-use permit and completion requires signed acknowledgment plus readback.</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M3 device, replay, acknowledgment, and offline-verifier tests</w:t>
            </w:r>
          </w:p>
        </w:tc>
      </w:tr>
    </w:tbl>
    <w:p>
      <w:pPr>
        <w:spacing w:after="40"/>
      </w:pPr>
    </w:p>
    <w:p>
      <w:pPr>
        <w:pStyle w:val="Heading1"/>
        <w:keepNext/>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spacing w:line="252" w:lineRule="auto"/>
      </w:pPr>
      <w:r>
        <w:t>10. Formal Specification Strategy</w:t>
      </w:r>
    </w:p>
    <w:p>
      <w:pPr>
        <w:spacing w:after="160" w:line="293" w:lineRule="auto"/>
      </w:pPr>
      <w:r>
        <w:rPr>
          <w:rFonts w:ascii="Arial" w:hAnsi="Arial"/>
          <w:b w:val="0"/>
          <w:color w:val="102A43"/>
          <w:sz w:val="21"/>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pPr>
        <w:spacing w:after="160" w:line="293" w:lineRule="auto"/>
      </w:pPr>
      <w:r>
        <w:rPr>
          <w:rFonts w:ascii="Arial" w:hAnsi="Arial"/>
          <w:b/>
          <w:color w:val="102A43"/>
          <w:sz w:val="21"/>
        </w:rPr>
        <w:t>Initial model-check finding:</w:t>
      </w:r>
      <w:r>
        <w:rPr>
          <w:rFonts w:ascii="Arial" w:hAnsi="Arial"/>
          <w:b w:val="0"/>
          <w:color w:val="102A43"/>
          <w:sz w:val="21"/>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pPr>
        <w:pStyle w:val="Heading1"/>
        <w:keepNext/>
        <w:spacing w:line="252" w:lineRule="auto"/>
      </w:pPr>
      <w:r>
        <w:t>11. Experimental Methodology</w:t>
      </w:r>
    </w:p>
    <w:p>
      <w:pPr>
        <w:spacing w:after="160" w:line="293" w:lineRule="auto"/>
      </w:pPr>
      <w:r>
        <w:rPr>
          <w:rFonts w:ascii="Arial" w:hAnsi="Arial"/>
          <w:b w:val="0"/>
          <w:color w:val="102A43"/>
          <w:sz w:val="21"/>
        </w:rPr>
        <w:t>The controlled M2 experiment executes eight baselines and ablations against 12 human-reviewed synthetic scenario templates spanning nominal, consequence-unsafe, guardband, identity, delegation-scope, freshness, confidence, and approval conditions. Thirty master seeds each run three shuffled catalog cycles. Trial seeds sample bounded action parameters within each template; execution stops if either the kernel or reference classification departs from the catalog's reviewed expectation. B0-B3 preserve the original direct, identity-only, static-policy, and complete-gateway paths. B4-B7 add contextual ABAC, risk-aware, safety-without-delegation, and delegation-without-freshness comparisons.</w:t>
      </w:r>
    </w:p>
    <w:p>
      <w:pPr>
        <w:spacing w:after="160" w:line="293" w:lineRule="auto"/>
      </w:pPr>
      <w:r>
        <w:rPr>
          <w:rFonts w:ascii="Arial" w:hAnsi="Arial"/>
          <w:b w:val="0"/>
          <w:color w:val="102A43"/>
          <w:sz w:val="21"/>
        </w:rPr>
        <w:t>The reference oracle receives the proposal and pre-action state and independently calculates the candidate state with decimal arithmetic. It does not consume the kernel's predicted state. Its tighter load, voltage, thermal, isolation, and battery guardbands deliberately expose sensitivity. Primary measures are conditional unsafe-action escape, unauthorized execution, false block, mission correctness, decision latency, and kernel-oracle disagreement. Wilson 95 percent intervals characterize records under the balanced synthetic design; they do not capture model-form or field uncertainty.</w:t>
      </w:r>
    </w:p>
    <w:p>
      <w:pPr>
        <w:spacing w:after="160" w:line="293" w:lineRule="auto"/>
      </w:pPr>
      <w:r>
        <w:rPr>
          <w:rFonts w:ascii="Arial" w:hAnsi="Arial"/>
          <w:b w:val="0"/>
          <w:color w:val="102A43"/>
          <w:sz w:val="21"/>
        </w:rPr>
        <w:t>The preregistered M3 increment executes five ordered conditions in each of 30 fresh child-process sessions: unknown identity, stale state, wrong permit audience, nominal permitted execution, and reuse of the nominal permit. The parent owns the gateway, command translation, permit issuer, and verified client. The child owns the PyModbus mailbox, permit enforcement, replay state, signed acknowledgments, and authoritative pandapower plant. The tested command isolates one registered line only after the gateway decision, candidate solve, evidence binding, and device-audience checks succeed. The parent accepts completion only after signed acknowledgment verification and post-action readback.</w:t>
      </w:r>
    </w:p>
    <w:p>
      <w:pPr>
        <w:spacing w:after="160" w:line="293" w:lineRule="auto"/>
      </w:pPr>
      <w:r>
        <w:rPr>
          <w:rFonts w:ascii="Arial" w:hAnsi="Arial"/>
          <w:b w:val="0"/>
          <w:color w:val="102A43"/>
          <w:sz w:val="21"/>
        </w:rPr>
        <w:t>M3 uses pandapower 3.5.4 to instantiate the packaged CIGRE MV network with all distributed-energy resources and runs balanced steady-state Newton-Raphson power flow. Seeds vary process sessions, keys, identifiers, and boot epochs; they do not vary the network, operating point, command, solver, or condition parameters. Wilson intervals describe repeated fixed-condition outcomes only. Candidate assessment, authoritative commit, and readback share the same model and child process, so agreement is not independent physical validation.</w:t>
      </w:r>
    </w:p>
    <w:p>
      <w:pPr>
        <w:pStyle w:val="Heading1"/>
        <w:keepNext/>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candidate-state implementations with intentionally different guardbands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Code-path independence only; no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Physical command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Signed one-time permit, PyModbus loopback process boundary, transactional pandapower apply, signed acknowledgment, and readback</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One host and virtual device; no OpenPLC, hardware, or segmented OT network</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decisions plus M3 event, permit, acknowledgment, source, schema, configuration, and artifact bindings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M3 manifest is unsigned and its verification keys are package-internal</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264 tests; ruff and strict mypy clean; 91.57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remote CI not observed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Formal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17 safety/type invariants and one decision-liveness property checked; 16 weakened cases produced expected violations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Bounded abstraction; not implementation or physical proof</w:t>
            </w:r>
          </w:p>
        </w:tc>
      </w:tr>
    </w:tbl>
    <w:p>
      <w:pPr>
        <w:spacing w:after="40"/>
      </w:pPr>
    </w:p>
    <w:p>
      <w:pPr>
        <w:pStyle w:val="Heading1"/>
        <w:keepNext/>
        <w:spacing w:line="252" w:lineRule="auto"/>
      </w:pPr>
      <w:r>
        <w:t>13. M2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Baseline</w:t>
            </w:r>
          </w:p>
        </w:tc>
        <w:tc>
          <w:tcPr>
            <w:tcW w:type="dxa" w:w="2232"/>
            <w:vAlign w:val="center"/>
            <w:shd w:fill="EAF2F8"/>
            <w:tcMar>
              <w:top w:w="100" w:type="dxa"/>
              <w:start w:w="120" w:type="dxa"/>
              <w:bottom w:w="100" w:type="dxa"/>
              <w:end w:w="120" w:type="dxa"/>
            </w:tcMar>
          </w:tcPr>
          <w:p>
            <w:r>
              <w:rPr>
                <w:rFonts w:ascii="Arial" w:hAnsi="Arial"/>
                <w:b/>
                <w:color w:val="102A43"/>
                <w:sz w:val="18"/>
              </w:rPr>
              <w:t>Unsafe escape [95% CI]</w:t>
            </w:r>
          </w:p>
        </w:tc>
        <w:tc>
          <w:tcPr>
            <w:tcW w:type="dxa" w:w="2232"/>
            <w:vAlign w:val="center"/>
            <w:shd w:fill="EAF2F8"/>
            <w:tcMar>
              <w:top w:w="100" w:type="dxa"/>
              <w:start w:w="120" w:type="dxa"/>
              <w:bottom w:w="100" w:type="dxa"/>
              <w:end w:w="120" w:type="dxa"/>
            </w:tcMar>
          </w:tcPr>
          <w:p>
            <w:r>
              <w:rPr>
                <w:rFonts w:ascii="Arial" w:hAnsi="Arial"/>
                <w:b/>
                <w:color w:val="102A43"/>
                <w:sz w:val="18"/>
              </w:rPr>
              <w:t>Unauthorized [95% CI]</w:t>
            </w:r>
          </w:p>
        </w:tc>
        <w:tc>
          <w:tcPr>
            <w:tcW w:type="dxa" w:w="1224"/>
            <w:vAlign w:val="center"/>
            <w:shd w:fill="EAF2F8"/>
            <w:tcMar>
              <w:top w:w="100" w:type="dxa"/>
              <w:start w:w="120" w:type="dxa"/>
              <w:bottom w:w="100" w:type="dxa"/>
              <w:end w:w="120" w:type="dxa"/>
            </w:tcMar>
          </w:tcPr>
          <w:p>
            <w:r>
              <w:rPr>
                <w:rFonts w:ascii="Arial" w:hAnsi="Arial"/>
                <w:b/>
                <w:color w:val="102A43"/>
                <w:sz w:val="18"/>
              </w:rPr>
              <w:t>False block</w:t>
            </w:r>
          </w:p>
        </w:tc>
        <w:tc>
          <w:tcPr>
            <w:tcW w:type="dxa" w:w="2160"/>
            <w:vAlign w:val="center"/>
            <w:shd w:fill="EAF2F8"/>
            <w:tcMar>
              <w:top w:w="100" w:type="dxa"/>
              <w:start w:w="120" w:type="dxa"/>
              <w:bottom w:w="100" w:type="dxa"/>
              <w:end w:w="120" w:type="dxa"/>
            </w:tcMar>
          </w:tcPr>
          <w:p>
            <w:r>
              <w:rPr>
                <w:rFonts w:ascii="Arial" w:hAnsi="Arial"/>
                <w:b/>
                <w:color w:val="102A43"/>
                <w:sz w:val="18"/>
              </w:rPr>
              <w:t>Mission correct [95% CI]</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17% [14.6%, 19.0%]</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B1</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25% [22.5%, 27.7%]</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B2</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50%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B3</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0% [0.0%, 0.8%]</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75% [72.3%, 77.5%]</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50% [47.0%, 53.0%]</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B5</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B6</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B7</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bl>
    <w:p>
      <w:pPr>
        <w:spacing w:after="40"/>
      </w:pPr>
    </w:p>
    <w:p>
      <w:pPr>
        <w:jc w:val="center"/>
      </w:pPr>
      <w:r>
        <w:drawing>
          <wp:inline xmlns:a="http://schemas.openxmlformats.org/drawingml/2006/main" xmlns:pic="http://schemas.openxmlformats.org/drawingml/2006/picture">
            <wp:extent cx="5715000" cy="3746500"/>
            <wp:docPr id="3" name="Picture 3" descr="Grouped bar chart comparing conditional unsafe-action escape and unauthorized execution across eight baselines. Each baseline has 1,080 trial records from 30 master seeds and 12 sampled scenario templates." title="Grouped bar chart comparing conditional unsafe-action escape and unauthorized execution across eight baseline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746500"/>
                    </a:xfrm>
                    <a:prstGeom prst="rect"/>
                  </pic:spPr>
                </pic:pic>
              </a:graphicData>
            </a:graphic>
          </wp:inline>
        </w:drawing>
      </w:r>
    </w:p>
    <w:p>
      <w:pPr>
        <w:keepNext/>
        <w:jc w:val="center"/>
      </w:pPr>
      <w:r>
        <w:rPr>
          <w:rFonts w:ascii="Arial" w:hAnsi="Arial"/>
          <w:b/>
          <w:color w:val="52606D"/>
          <w:sz w:val="18"/>
        </w:rPr>
        <w:t>Figure 3. M2 synthetic baseline and ablation outcomes.</w:t>
      </w:r>
    </w:p>
    <w:p>
      <w:pPr>
        <w:spacing w:after="160" w:line="293" w:lineRule="auto"/>
      </w:pPr>
      <w:r>
        <w:rPr>
          <w:rFonts w:ascii="Arial" w:hAnsi="Arial"/>
          <w:b w:val="0"/>
          <w:color w:val="102A43"/>
          <w:sz w:val="21"/>
        </w:rPr>
        <w:t>Interpretation: B3_ASSURED recorded zero unauthorized executions among 450 authorization-negative records (Wilson 95 percent upper bound 0.85 percent), zero false blocks among 180 authorized reference-safe records (upper bound 2.09 percent), and 75 percent overall mission correctness (72.3-77.5 percent). It nevertheless executed 270 of 450 reference-unsafe records, a 60 percent conditional escape rate (55.4-64.4 percent), because the load, thermal, and voltage guardband templates were inside the runtime kernel's looser thresholds. B6 and B7 matched the 60 percent physical escape rate but each executed 20 percent of authorization-negative records, isolating the value of the omitted delegation or freshness control. Rates are conditional on this balanced catalog and do not estimate operational incident likelihood.</w:t>
      </w:r>
    </w:p>
    <w:p>
      <w:pPr>
        <w:spacing w:after="160" w:line="293" w:lineRule="auto"/>
      </w:pPr>
      <w:r>
        <w:rPr>
          <w:rFonts w:ascii="Arial" w:hAnsi="Arial"/>
          <w:b w:val="0"/>
          <w:color w:val="102A43"/>
          <w:sz w:val="21"/>
        </w:rPr>
        <w:t>Reproducibility: the controlled run started from clean commit cd20986, wrote 8,640 records, and produced deterministic outcome SHA-256 b5ad54a6984f659f961975adaf386eade41f733307c289ea7c3ecaa11c6b5b90. A second run produced the same outcome hash. Raw hashes differ as expected because host timing is retained separately. B3 mean in-process decision latency was 0.935 ms on the recorded host; this is a local development measurement, not a deployment latency claim.</w:t>
      </w:r>
    </w:p>
    <w:p>
      <w:pPr>
        <w:pStyle w:val="Heading1"/>
        <w:keepNext/>
        <w:spacing w:line="252" w:lineRule="auto"/>
      </w:pPr>
      <w:r>
        <w:t>14. M3 Physical Process-Boundary Results</w:t>
      </w:r>
    </w:p>
    <w:p>
      <w:pPr>
        <w:spacing w:after="160" w:line="293" w:lineRule="auto"/>
      </w:pPr>
      <w:r>
        <w:rPr>
          <w:rFonts w:ascii="Arial" w:hAnsi="Arial"/>
          <w:b w:val="0"/>
          <w:color w:val="102A43"/>
          <w:sz w:val="21"/>
        </w:rPr>
        <w:t>The operator run record identifies commit 168b8bd as the prepared clean checkout for the primary M3 run. The unsigned manifest records a clean-start flag and the interval 2026-08-24T18:35:11.767906+00:00 through 2026-08-24T18:36:08.939009+00:00. The package retains 30 fresh child-process sessions, 150 trial records, and 270 chained evidence events. The registered plant model digest is 49b0559c9a7158f9ec6c5ae84c27306dd28119ac0516f465e0b19f22a26f6035. Historical Git, host, and time fields are self-asserted package metadata rather than external attestation.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3168"/>
            <w:vAlign w:val="center"/>
            <w:shd w:fill="EAF2F8"/>
            <w:tcMar>
              <w:top w:w="100" w:type="dxa"/>
              <w:start w:w="120" w:type="dxa"/>
              <w:bottom w:w="100" w:type="dxa"/>
              <w:end w:w="120" w:type="dxa"/>
            </w:tcMar>
          </w:tcPr>
          <w:p>
            <w:r>
              <w:rPr>
                <w:rFonts w:ascii="Arial" w:hAnsi="Arial"/>
                <w:b/>
                <w:color w:val="102A43"/>
                <w:sz w:val="18"/>
              </w:rPr>
              <w:t>Condition</w:t>
            </w:r>
          </w:p>
        </w:tc>
        <w:tc>
          <w:tcPr>
            <w:tcW w:type="dxa" w:w="936"/>
            <w:vAlign w:val="center"/>
            <w:shd w:fill="EAF2F8"/>
            <w:tcMar>
              <w:top w:w="100" w:type="dxa"/>
              <w:start w:w="120" w:type="dxa"/>
              <w:bottom w:w="100" w:type="dxa"/>
              <w:end w:w="120" w:type="dxa"/>
            </w:tcMar>
          </w:tcPr>
          <w:p>
            <w:r>
              <w:rPr>
                <w:rFonts w:ascii="Arial" w:hAnsi="Arial"/>
                <w:b/>
                <w:color w:val="102A43"/>
                <w:sz w:val="18"/>
              </w:rPr>
              <w:t>Trials</w:t>
            </w:r>
          </w:p>
        </w:tc>
        <w:tc>
          <w:tcPr>
            <w:tcW w:type="dxa" w:w="1512"/>
            <w:vAlign w:val="center"/>
            <w:shd w:fill="EAF2F8"/>
            <w:tcMar>
              <w:top w:w="100" w:type="dxa"/>
              <w:start w:w="120" w:type="dxa"/>
              <w:bottom w:w="100" w:type="dxa"/>
              <w:end w:w="120" w:type="dxa"/>
            </w:tcMar>
          </w:tcPr>
          <w:p>
            <w:r>
              <w:rPr>
                <w:rFonts w:ascii="Arial" w:hAnsi="Arial"/>
                <w:b/>
                <w:color w:val="102A43"/>
                <w:sz w:val="18"/>
              </w:rPr>
              <w:t>Modeled effects</w:t>
            </w:r>
          </w:p>
        </w:tc>
        <w:tc>
          <w:tcPr>
            <w:tcW w:type="dxa" w:w="1440"/>
            <w:vAlign w:val="center"/>
            <w:shd w:fill="EAF2F8"/>
            <w:tcMar>
              <w:top w:w="100" w:type="dxa"/>
              <w:start w:w="120" w:type="dxa"/>
              <w:bottom w:w="100" w:type="dxa"/>
              <w:end w:w="120" w:type="dxa"/>
            </w:tcMar>
          </w:tcPr>
          <w:p>
            <w:r>
              <w:rPr>
                <w:rFonts w:ascii="Arial" w:hAnsi="Arial"/>
                <w:b/>
                <w:color w:val="102A43"/>
                <w:sz w:val="18"/>
              </w:rPr>
              <w:t>Device applied</w:t>
            </w:r>
          </w:p>
        </w:tc>
        <w:tc>
          <w:tcPr>
            <w:tcW w:type="dxa" w:w="1512"/>
            <w:vAlign w:val="center"/>
            <w:shd w:fill="EAF2F8"/>
            <w:tcMar>
              <w:top w:w="100" w:type="dxa"/>
              <w:start w:w="120" w:type="dxa"/>
              <w:bottom w:w="100" w:type="dxa"/>
              <w:end w:w="120" w:type="dxa"/>
            </w:tcMar>
          </w:tcPr>
          <w:p>
            <w:r>
              <w:rPr>
                <w:rFonts w:ascii="Arial" w:hAnsi="Arial"/>
                <w:b/>
                <w:color w:val="102A43"/>
                <w:sz w:val="18"/>
              </w:rPr>
              <w:t>Unknown effect</w:t>
            </w:r>
          </w:p>
        </w:tc>
      </w:tr>
      <w:tr>
        <w:tc>
          <w:tcPr>
            <w:tcW w:type="dxa" w:w="3168"/>
            <w:vAlign w:val="center"/>
            <w:tcMar>
              <w:top w:w="100" w:type="dxa"/>
              <w:start w:w="120" w:type="dxa"/>
              <w:bottom w:w="100" w:type="dxa"/>
              <w:end w:w="120" w:type="dxa"/>
            </w:tcMar>
          </w:tcPr>
          <w:p>
            <w:pPr>
              <w:spacing w:after="0"/>
            </w:pPr>
            <w:r>
              <w:rPr>
                <w:rFonts w:ascii="Arial" w:hAnsi="Arial"/>
                <w:b w:val="0"/>
                <w:color w:val="102A43"/>
                <w:sz w:val="17"/>
              </w:rPr>
              <w:t>Unknown identity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c>
          <w:tcPr>
            <w:tcW w:type="dxa" w:w="3168"/>
            <w:vAlign w:val="center"/>
            <w:tcMar>
              <w:top w:w="100" w:type="dxa"/>
              <w:start w:w="120" w:type="dxa"/>
              <w:bottom w:w="100" w:type="dxa"/>
              <w:end w:w="120" w:type="dxa"/>
            </w:tcMar>
          </w:tcPr>
          <w:p>
            <w:pPr>
              <w:spacing w:after="0"/>
            </w:pPr>
            <w:r>
              <w:rPr>
                <w:rFonts w:ascii="Arial" w:hAnsi="Arial"/>
                <w:b w:val="0"/>
                <w:color w:val="102A43"/>
                <w:sz w:val="17"/>
              </w:rPr>
              <w:t>Stale state</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c>
          <w:tcPr>
            <w:tcW w:type="dxa" w:w="3168"/>
            <w:vAlign w:val="center"/>
            <w:tcMar>
              <w:top w:w="100" w:type="dxa"/>
              <w:start w:w="120" w:type="dxa"/>
              <w:bottom w:w="100" w:type="dxa"/>
              <w:end w:w="120" w:type="dxa"/>
            </w:tcMar>
          </w:tcPr>
          <w:p>
            <w:pPr>
              <w:spacing w:after="0"/>
            </w:pPr>
            <w:r>
              <w:rPr>
                <w:rFonts w:ascii="Arial" w:hAnsi="Arial"/>
                <w:b w:val="0"/>
                <w:color w:val="102A43"/>
                <w:sz w:val="17"/>
              </w:rPr>
              <w:t>Wrong-audience permit</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c>
          <w:tcPr>
            <w:tcW w:type="dxa" w:w="3168"/>
            <w:vAlign w:val="center"/>
            <w:tcMar>
              <w:top w:w="100" w:type="dxa"/>
              <w:start w:w="120" w:type="dxa"/>
              <w:bottom w:w="100" w:type="dxa"/>
              <w:end w:w="120" w:type="dxa"/>
            </w:tcMar>
          </w:tcPr>
          <w:p>
            <w:pPr>
              <w:spacing w:after="0"/>
            </w:pPr>
            <w:r>
              <w:rPr>
                <w:rFonts w:ascii="Arial" w:hAnsi="Arial"/>
                <w:b w:val="0"/>
                <w:color w:val="102A43"/>
                <w:sz w:val="17"/>
              </w:rPr>
              <w:t>Nominal execution</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c>
          <w:tcPr>
            <w:tcW w:type="dxa" w:w="3168"/>
            <w:vAlign w:val="center"/>
            <w:tcMar>
              <w:top w:w="100" w:type="dxa"/>
              <w:start w:w="120" w:type="dxa"/>
              <w:bottom w:w="100" w:type="dxa"/>
              <w:end w:w="120" w:type="dxa"/>
            </w:tcMar>
          </w:tcPr>
          <w:p>
            <w:pPr>
              <w:spacing w:after="0"/>
            </w:pPr>
            <w:r>
              <w:rPr>
                <w:rFonts w:ascii="Arial" w:hAnsi="Arial"/>
                <w:b w:val="0"/>
                <w:color w:val="102A43"/>
                <w:sz w:val="17"/>
              </w:rPr>
              <w:t>Permit replay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bl>
    <w:p>
      <w:pPr>
        <w:spacing w:after="40"/>
      </w:pPr>
    </w:p>
    <w:p>
      <w:pPr>
        <w:jc w:val="center"/>
      </w:pPr>
      <w:r>
        <w:drawing>
          <wp:inline xmlns:a="http://schemas.openxmlformats.org/drawingml/2006/main" xmlns:pic="http://schemas.openxmlformats.org/drawingml/2006/picture">
            <wp:extent cx="5715000" cy="4082143"/>
            <wp:docPr id="4" name="Picture 4" descr="M3 results table with 30 trials per condition. Unknown identity, stale state, wrong-audience permit, and replay show no modeled effect; nominal execution shows 30 modeled effects and 30 device applications. Box-and-point plots show single-host measured path latency by condition, with explicit non-field-validation caveats." title="M3 results table with 30 trials per condition"/>
            <wp:cNvGraphicFramePr>
              <a:graphicFrameLocks noChangeAspect="1"/>
            </wp:cNvGraphicFramePr>
            <a:graphic>
              <a:graphicData uri="http://schemas.openxmlformats.org/drawingml/2006/picture">
                <pic:pic>
                  <pic:nvPicPr>
                    <pic:cNvPr id="0" name="m3_physical_results.png"/>
                    <pic:cNvPicPr/>
                  </pic:nvPicPr>
                  <pic:blipFill>
                    <a:blip r:embed="rId12"/>
                    <a:stretch>
                      <a:fillRect/>
                    </a:stretch>
                  </pic:blipFill>
                  <pic:spPr>
                    <a:xfrm>
                      <a:off x="0" y="0"/>
                      <a:ext cx="5715000" cy="4082143"/>
                    </a:xfrm>
                    <a:prstGeom prst="rect"/>
                  </pic:spPr>
                </pic:pic>
              </a:graphicData>
            </a:graphic>
          </wp:inline>
        </w:drawing>
      </w:r>
    </w:p>
    <w:p>
      <w:pPr>
        <w:keepNext/>
        <w:jc w:val="center"/>
      </w:pPr>
      <w:r>
        <w:rPr>
          <w:rFonts w:ascii="Arial" w:hAnsi="Arial"/>
          <w:b/>
          <w:color w:val="52606D"/>
          <w:sz w:val="18"/>
        </w:rPr>
        <w:t>Figure 4. M3 fixed-condition conformance outcomes and single-host measured path latency.</w:t>
      </w:r>
    </w:p>
    <w:p>
      <w:pPr>
        <w:spacing w:after="160" w:line="293" w:lineRule="auto"/>
      </w:pPr>
      <w:r>
        <w:rPr>
          <w:rFonts w:ascii="Arial" w:hAnsi="Arial"/>
          <w:b w:val="0"/>
          <w:color w:val="102A43"/>
          <w:sz w:val="21"/>
        </w:rPr>
        <w:t>Primary-package conformance: unknown identity and stale state were denied before dispatch; all 30 wrong-audience permits received signed device rejections; all 30 nominal commands were applied, signed, and read back; and all 30 replay attempts received signed rejections without a second modeled effect. Across 120 non-nominal trials, 0 modeled effects and 0 unauthorized device applications were observed under the registered end-to-end metric (two-sided 95 percent Wilson upper bound 3.102%). That denominator includes 60 gateway no-dispatch trials and is not a device-dispatch-conditional acceptance rate. Nominal completion was 30/30 (lower bound 88.649%). Unknown effects were 0/150 (upper bound 2.497%), but any unknown effect fails the controlled run; this is a conformance-completeness check, not an ambiguity-rate estimate. The narrow proposal/decision/terminal-hash trace indicator was complete for 150/150 trials (lower bound 97.503%); the stronger integrity and semantic checks are reported separately by the offline verifier. Zero observations do not establish an impossible event or a field failure rate.</w:t>
      </w:r>
    </w:p>
    <w:p>
      <w:pPr>
        <w:spacing w:after="160" w:line="293" w:lineRule="auto"/>
      </w:pPr>
      <w:r>
        <w:rPr>
          <w:rFonts w:ascii="Arial" w:hAnsi="Arial"/>
          <w:b w:val="0"/>
          <w:color w:val="102A43"/>
          <w:sz w:val="21"/>
        </w:rPr>
        <w:t>For the single deterministic nominal fixture, the post-action minimum voltage was 0.9528655132 per unit, maximum line loading was 54.60778755 percent, and synthetic priority-load service remained 100 percent with no registered voltage, thermal, or supervisory unsafe-state flag. The same physical values in all 30 sessions reflect one fixed model, operating point, and command. Controlled nominal host latency had mean 180.551 ms, median 180.118 ms, and range 177.116-184.417 ms; timing is excluded from the deterministic outcome hash and is not an OT performance bound.</w:t>
      </w:r>
    </w:p>
    <w:p>
      <w:pPr>
        <w:spacing w:after="160" w:line="293" w:lineRule="auto"/>
      </w:pPr>
      <w:r>
        <w:rPr>
          <w:rFonts w:ascii="Arial" w:hAnsi="Arial"/>
          <w:b w:val="0"/>
          <w:color w:val="102A43"/>
          <w:sz w:val="21"/>
        </w:rPr>
        <w:t>Evidence interpretation: exactly 90 primary-package trials contain signed device acknowledgments. The 60 gateway no-dispatch trials use the registered verified/not-applicable convention because no device acknowledgment should exist; the reproduction package has the same per-package counts. From the matching clean checkout, both packages pass all nine offline-verifier checks and reproduce outcome SHA-256 150b32da0055da6086a8f858f8dab4425d06b5bfd836ba653a10c1f20adf9005. The reproduction manifest reports a separate experiment identifier, m3-physical-modbus-v1-20260824T183813360253Z, and matching source and lock-file hashes, host metadata, Python and selected component versions, model, seed, and conditions. It is local outcome reproduction under matching recorded conditions, not proof of an identical environment or independent replication. The manifests are unsigned and the verification keys are package-internal; verification establishes internal consistency with the matching checkout, not origin, custody, physical-model validity, external authenticity, or field-device identity.</w:t>
      </w:r>
    </w:p>
    <w:p>
      <w:pPr>
        <w:pStyle w:val="Heading1"/>
        <w:keepNext/>
        <w:spacing w:line="252" w:lineRule="auto"/>
      </w:pPr>
      <w:r>
        <w:t>15.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spacing w:line="252" w:lineRule="auto"/>
      </w:pPr>
      <w:r>
        <w:t>16.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spacing w:line="252" w:lineRule="auto"/>
      </w:pPr>
      <w:r>
        <w:t>17.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spacing w:line="252" w:lineRule="auto"/>
      </w:pPr>
      <w:r>
        <w:t>18. Reproducibility and Data Management</w:t>
      </w:r>
    </w:p>
    <w:p>
      <w:pPr>
        <w:spacing w:after="160" w:line="293" w:lineRule="auto"/>
      </w:pPr>
      <w:r>
        <w:rPr>
          <w:rFonts w:ascii="Arial" w:hAnsi="Arial"/>
          <w:b w:val="0"/>
          <w:color w:val="102A43"/>
          <w:sz w:val="21"/>
        </w:rPr>
        <w:t>The M2 manifest records clean-start Git state, scenario catalog and source hashes, all master seeds, baseline definitions, component versions, host details, raw-data path, timing-inclusive raw SHA-256, timing-independent outcome SHA-256, analyst, and known limitations. Raw JSONL retains sampled parameters and conditional outcomes. The original exploratory run remains separately labeled and is excluded from M2 comparison.</w:t>
      </w:r>
    </w:p>
    <w:p>
      <w:pPr>
        <w:spacing w:after="160" w:line="293" w:lineRule="auto"/>
      </w:pPr>
      <w:r>
        <w:rPr>
          <w:rFonts w:ascii="Arial" w:hAnsi="Arial"/>
          <w:b w:val="0"/>
          <w:color w:val="102A43"/>
          <w:sz w:val="21"/>
        </w:rPr>
        <w:t>Each M3 package contains a manifest that records the clean-start flag; source, schema, project, lock, configuration, and artifact hashes; all session seeds; component versions; model digest; summary statistics; deterministic projection; host details; boundary conditions; analyst; and limitations. Separate package artifacts retain per-session process identities and verification keys, benchmark provenance, solver settings, raw trials, and chained events; the manifest binds those artifacts by hash. The offline verifier checks artifact hashes, counts, event chains, trial semantics, deterministic outcomes, summaries, configuration bindings, and matching-checkout bindings. The primary and local reproduction directories are retained separately and must not be overwritten. Derived figures are generated from raw evidence only after package verification against a matching clean checkout.</w:t>
      </w:r>
    </w:p>
    <w:p>
      <w:pPr>
        <w:pStyle w:val="Heading1"/>
        <w:keepNext/>
        <w:spacing w:line="252" w:lineRule="auto"/>
      </w:pPr>
      <w:r>
        <w:t>19.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Shared physical model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Candidate, commit, acknowledgment, and readback can agree while the common model is wrong</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an independently operated model or measurement path and external benchmark review</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Steady-state abstraction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Transient, protection, frequency, controller, and hardware behavior are unobserved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fit-for-purpose dynamic, protection, HIL, and device-specific evaluations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Guardband selection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B3 permits three reference-unsafe boundary templates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Calibrate thresholds and uncertainty against physical-model evidence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 and loopback</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Process behavior is observed, but segmented trust boundaries and host-compromise resilience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hosts, identities,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Unsigned evidence package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Internal consistency does not establish origin, custody, or historical integrity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protected signing identity, external anchoring, and documented custody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Local reproduction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Outcome stability is shown only under matching recorded source, lock, host, and component conditions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Obtain independently operated replication on separately controlled infrastructure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Designed condition distribution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Wilson intervals do not capture model-form or field uncertainty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externally justified operating distributions and sensitivity analysis</w:t>
            </w:r>
          </w:p>
        </w:tc>
      </w:tr>
    </w:tbl>
    <w:p>
      <w:pPr>
        <w:spacing w:after="40"/>
      </w:pPr>
    </w:p>
    <w:p>
      <w:pPr>
        <w:pStyle w:val="Heading1"/>
        <w:keepNext/>
        <w:spacing w:line="252" w:lineRule="auto"/>
      </w:pPr>
      <w:r>
        <w:t>20.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The bounded M3 localhost pandapower/PyModbus evaluation is complete. WP4 remains in progress because HELICS coordination, OpenPLC or hardware integration, segmented deployment, durable device identity, post-commit recovery, and external validation have not been completed. A demonstration, green test suite, internally valid evidence package, or perfect fixed-condition result does not satisfy the final completion definition.</w:t>
      </w:r>
    </w:p>
    <w:p>
      <w:pPr>
        <w:pStyle w:val="Heading1"/>
        <w:keepNext/>
        <w:spacing w:line="252" w:lineRule="auto"/>
      </w:pPr>
      <w:r>
        <w:t>21. Conclusions</w:t>
      </w:r>
    </w:p>
    <w:p>
      <w:pPr>
        <w:spacing w:after="160" w:line="293" w:lineRule="auto"/>
      </w:pPr>
      <w:r>
        <w:rPr>
          <w:rFonts w:ascii="Arial" w:hAnsi="Arial"/>
          <w:b w:val="0"/>
          <w:color w:val="102A43"/>
          <w:sz w:val="21"/>
        </w:rPr>
        <w:t>The reconstructed foundation now supports two defensible narrow findings. First, under the reviewed M2 synthetic authorization cases, the complete gateway prevented authorization-invalid execution and outperformed partial control paths, while the separate reference model exposed a material guardband-sensitivity gap. Second, under the five fixed M3 conditions, the signed permit and loopback virtual-device path denied or rejected each registered negative case, completed every nominal command with signed acknowledgment and readback, rejected every replay without a second modeled effect, and preserved the registered narrow proposal/decision/terminal-hash indicator. The local rerun reproduced the deterministic M3 outcome hash under matching recorded conditions.</w:t>
      </w:r>
    </w:p>
    <w:p>
      <w:pPr>
        <w:spacing w:after="160" w:line="293" w:lineRule="auto"/>
      </w:pPr>
      <w:r>
        <w:rPr>
          <w:rFonts w:ascii="Arial" w:hAnsi="Arial"/>
          <w:b w:val="0"/>
          <w:color w:val="102A43"/>
          <w:sz w:val="21"/>
        </w:rPr>
        <w:t>Those findings do not establish power-system accuracy, independent device telemetry, independent replication, generic Modbus interoperability, segmented trust-boundary enforcement, field failure rates, hard real-time performance, or operational effectiveness. M3 uses one deterministic steady-state model and a Python/PyModbus virtual device whose candidate, commit, and readback paths share a process and model. The next defensible advance is an independently operated consequence or measurement path, followed by separately gated HELICS, OpenPLC or hardware, durable identity and replay state, segmented deployment, recovery, operate-through-compromise, scale, and external validation.</w:t>
      </w:r>
    </w:p>
    <w:p>
      <w:pPr>
        <w:pStyle w:val="Heading1"/>
        <w:keepNext/>
        <w:spacing w:line="252" w:lineRule="auto"/>
      </w:pPr>
      <w:r>
        <w:t>22.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ListBullet"/>
        <w:spacing w:after="120" w:line="288" w:lineRule="auto"/>
        <w:ind w:left="720" w:hanging="360"/>
      </w:pPr>
      <w:r>
        <w:rPr>
          <w:rFonts w:ascii="Arial" w:hAnsi="Arial"/>
          <w:b w:val="0"/>
          <w:color w:val="102A43"/>
          <w:sz w:val="21"/>
        </w:rPr>
        <w:t>CIGRE Task Force C6.04. Benchmark Systems for Network Integration of Renewable and Distributed Energy Resources. Technical Brochure 575, 2014. https://www.e-cigre.org/publications/detail/575-benchmark-systems-for-network-integration-of-renewable-and-distributed-energy-resources.html. Retrieved 2026-08-24.</w:t>
      </w:r>
    </w:p>
    <w:p>
      <w:pPr>
        <w:pStyle w:val="ListBullet"/>
        <w:spacing w:after="120" w:line="288" w:lineRule="auto"/>
        <w:ind w:left="720" w:hanging="360"/>
      </w:pPr>
      <w:r>
        <w:rPr>
          <w:rFonts w:ascii="Arial" w:hAnsi="Arial"/>
          <w:b w:val="0"/>
          <w:color w:val="102A43"/>
          <w:sz w:val="21"/>
        </w:rPr>
        <w:t>Thurner, L., A. Scheidler, F. Schaefer, J. Menke, J. Dollichon, F. Meier, S. Meinecke, and M. Braun. pandapower--An Open-Source Python Tool for Convenient Modeling, Analysis, and Optimization of Electric Power Systems. IEEE Transactions on Power Systems 33, no. 6 (2018): 6510-6521. https://doi.org/10.1109/TPWRS.2018.2829021.</w:t>
      </w:r>
    </w:p>
    <w:p>
      <w:pPr>
        <w:pStyle w:val="ListBullet"/>
        <w:spacing w:after="120" w:line="288" w:lineRule="auto"/>
        <w:ind w:left="720" w:hanging="360"/>
      </w:pPr>
      <w:r>
        <w:rPr>
          <w:rFonts w:ascii="Arial" w:hAnsi="Arial"/>
          <w:b w:val="0"/>
          <w:color w:val="102A43"/>
          <w:sz w:val="21"/>
        </w:rPr>
        <w:t>pandapower. CIGRE Networks, pandapower 3.5.4 documentation. https://pandapower.readthedocs.io/en/develop/networks/cigre.html. Retrieved 2026-08-24.</w:t>
      </w:r>
    </w:p>
    <w:p>
      <w:pPr>
        <w:pStyle w:val="ListBullet"/>
        <w:spacing w:after="120" w:line="288" w:lineRule="auto"/>
        <w:ind w:left="720" w:hanging="360"/>
      </w:pPr>
      <w:r>
        <w:rPr>
          <w:rFonts w:ascii="Arial" w:hAnsi="Arial"/>
          <w:b w:val="0"/>
          <w:color w:val="102A43"/>
          <w:sz w:val="21"/>
        </w:rPr>
        <w:t>PyModbus Project. PyModbus v3.15.0 release notes and source repository. https://github.com/pymodbus-dev/pymodbus/releases/tag/v3.15.0. Retrieved 2026-08-24.</w:t>
      </w:r>
    </w:p>
    <w:p>
      <w:pPr>
        <w:pStyle w:val="Heading1"/>
        <w:keepNext/>
        <w:spacing w:line="252" w:lineRule="auto"/>
      </w:pPr>
      <w:r>
        <w:t>23.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 pandapower_plant.py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Independent candidate-state tests; 30-seed M2 comparison; M3 fixed-condition plant results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independent physical model or measurement path</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 m3_experiment.py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tampering, M3 event correlation, and package verification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Unsigned manifest; no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 physical_control.py;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candidate re-attestation, compare-and-swap, and restart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distributed transaction or physical PLC</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physical_control.py; physical_models.py; modbus_wire.py;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Permit, wrong-audience, replay, signed acknowledgment, readback, and offline-verifier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Ephemeral keys and in-memory replay state</w:t>
            </w:r>
          </w:p>
        </w:tc>
      </w:tr>
    </w:tbl>
    <w:p>
      <w:pPr>
        <w:spacing w:after="40"/>
      </w:pPr>
    </w:p>
    <w:p>
      <w:pPr>
        <w:pStyle w:val="Heading1"/>
        <w:keepNext/>
        <w:spacing w:line="252" w:lineRule="auto"/>
      </w:pPr>
      <w:r>
        <w:t>24.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spacing w:after="160" w:line="293" w:lineRule="auto"/>
      </w:pPr>
      <w:r>
        <w:rPr>
          <w:rFonts w:ascii="Arial" w:hAnsi="Arial"/>
          <w:b w:val="0"/>
          <w:color w:val="102A43"/>
          <w:sz w:val="21"/>
        </w:rPr>
        <w:t>M3 exports eight additional closed contracts: physical state, physical command, candidate assessment, execution permit, command acknowledgment, closed-loop result, signed Modbus request, and signed Modbus response. The physical-state contract distinguishes value, topology, observation, model, source, clock, sequence, and state-version bindings. The permit embeds the exact command and binds proposal, decision, candidate, pre-state, expected post-state, policy, safety, evidence, expiry, nonce, signing key, and device audience. The retained package binds the exported schema hashes and the offline verifier also validates current typed runtime contracts.</w:t>
      </w:r>
    </w:p>
    <w:p>
      <w:pPr>
        <w:pStyle w:val="Heading1"/>
        <w:keepNext/>
        <w:spacing w:line="252" w:lineRule="auto"/>
      </w:pPr>
      <w:r>
        <w:t>25.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".[dev,docs,simulation]"; do not rely on PYTHONPATH.</w:t>
      </w:r>
    </w:p>
    <w:p>
      <w:pPr>
        <w:pStyle w:val="ListBullet"/>
        <w:spacing w:after="120" w:line="288" w:lineRule="auto"/>
        <w:ind w:left="720" w:hanging="360"/>
      </w:pPr>
      <w:r>
        <w:rPr>
          <w:rFonts w:ascii="Arial" w:hAnsi="Arial"/>
          <w:b w:val="0"/>
          <w:color w:val="102A43"/>
          <w:sz w:val="21"/>
        </w:rPr>
        <w:t>Run python scripts/export_schemas.py --check, ruff check ., mypy src, and pytest --cov=aegis_ot --cov-branch --cov-report=term-missing --cov-fail-under=90.</w:t>
      </w:r>
    </w:p>
    <w:p>
      <w:pPr>
        <w:pStyle w:val="ListBullet"/>
        <w:spacing w:after="120" w:line="288" w:lineRule="auto"/>
        <w:ind w:left="720" w:hanging="360"/>
      </w:pPr>
      <w:r>
        <w:rPr>
          <w:rFonts w:ascii="Arial" w:hAnsi="Arial"/>
          <w:b w:val="0"/>
          <w:color w:val="102A43"/>
          <w:sz w:val="21"/>
        </w:rPr>
        <w:t>Acquire the pinned TLC 1.8.0 JAR, verify SHA-256 eabd140a70f49eb9305a3bd3f3df944eddf87e5a90d329789085f8953a80533a, and run python scripts/run_formal.py --jar /path/to/tla2tools.jar --output-dir results/formal/&lt;run-name&gt;.</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--trials-per-seed 36 --seed-count 30 --seed 20260824 --output-dir results/m2-independent-oracle.</w:t>
      </w:r>
    </w:p>
    <w:p>
      <w:pPr>
        <w:pStyle w:val="ListBullet"/>
        <w:spacing w:after="120" w:line="288" w:lineRule="auto"/>
        <w:ind w:left="720" w:hanging="360"/>
      </w:pPr>
      <w:r>
        <w:rPr>
          <w:rFonts w:ascii="Arial" w:hAnsi="Arial"/>
          <w:b w:val="0"/>
          <w:color w:val="102A43"/>
          <w:sz w:val="21"/>
        </w:rPr>
        <w:t>From a clean committed checkout, run aegis-ot physical-experiment --seed-count 30 --seed 20260824 --output-dir /new/unique/m3-directory; never overwrite a retained package.</w:t>
      </w:r>
    </w:p>
    <w:p>
      <w:pPr>
        <w:pStyle w:val="ListBullet"/>
        <w:spacing w:after="120" w:line="288" w:lineRule="auto"/>
        <w:ind w:left="720" w:hanging="360"/>
      </w:pPr>
      <w:r>
        <w:rPr>
          <w:rFonts w:ascii="Arial" w:hAnsi="Arial"/>
          <w:b w:val="0"/>
          <w:color w:val="102A43"/>
          <w:sz w:val="21"/>
        </w:rPr>
        <w:t>Run aegis-ot verify-physical-evidence --output-dir /new/unique/m3-directory from a checkout whose source, schema, project, and lock hashes match the manifest.</w:t>
      </w:r>
    </w:p>
    <w:p>
      <w:pPr>
        <w:pStyle w:val="ListBullet"/>
        <w:spacing w:after="120" w:line="288" w:lineRule="auto"/>
        <w:ind w:left="720" w:hanging="360"/>
      </w:pPr>
      <w:r>
        <w:rPr>
          <w:rFonts w:ascii="Arial" w:hAnsi="Arial"/>
          <w:b w:val="0"/>
          <w:color w:val="102A43"/>
          <w:sz w:val="21"/>
        </w:rPr>
        <w:t>Verify clean-start Git state, the raw-data hash, and deterministic outcome hash before reporting results; reproduce into a separate directory and compare outcome hashes.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spacing w:line="252" w:lineRule="auto"/>
      </w:pPr>
      <w:r>
        <w:t>26.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3b5f129 records the bounded formal model and conformance mapping, e8b304d introduces the independent multi-seed evaluator, 050f9b1 corrects clean-start provenance capture, cd20986 adds sampled reviewed scenario envelopes, and 168b8bd adds the bounded M3 steady-state plant and signed Modbus process boundary. The controlled M2 evidence and a separate rerun share their deterministic outcome hash. The primary M3 package records clean 168b8bd and a local rerun shares its deterministic outcome hash; those unsigned historical Git fields are internally checked, not externally attested. No tagged release, external CI run, independent replication, or external validation has been observed.</w:t>
      </w:r>
    </w:p>
    <w:sectPr w:rsidR="00FC693F" w:rsidRPr="0006063C" w:rsidSect="00034616">
      <w:headerReference w:type="default" r:id="rId13"/>
      <w:footerReference w:type="default" r:id="rId14"/>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20</ns0:Pages>
  <ns0:Words>4765</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5</cp:revision>
  <dcterms:created xsi:type="dcterms:W3CDTF">2026-08-24T14:39:38Z</dcterms:created>
  <dcterms:modified xsi:type="dcterms:W3CDTF">2026-08-24T19:06:15Z</dcterms:modified>
  <cp:category/>
</cp:coreProperties>
</file>