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b/>
          <w:color w:val="1769AA"/>
          <w:sz w:val="22"/>
        </w:rPr>
        <w:t>CONTROLLED RESEARCH STUDY</w:t>
      </w:r>
    </w:p>
    <w:p>
      <w:pPr>
        <w:spacing w:after="200"/>
        <w:jc w:val="center"/>
      </w:pPr>
      <w:r>
        <w:rPr>
          <w:rFonts w:ascii="Arial" w:hAnsi="Arial"/>
          <w:b/>
          <w:color w:val="102A43"/>
          <w:sz w:val="60"/>
        </w:rPr>
        <w:t>Aegis-OT</w:t>
      </w:r>
    </w:p>
    <w:p>
      <w:pPr>
        <w:spacing w:after="440"/>
        <w:jc w:val="center"/>
      </w:pPr>
      <w:r>
        <w:rPr>
          <w:rFonts w:ascii="Arial" w:hAnsi="Arial"/>
          <w:b w:val="0"/>
          <w:color w:val="1769AA"/>
          <w:sz w:val="30"/>
        </w:rPr>
        <w:t>Assured Agentic AI for Critical Infrastructure:</w:t>
        <w:br/>
        <w:t>Identity-Bound Runtime Authorization and Operate-Through-Compromise Resilience</w:t>
      </w:r>
    </w:p>
    <w:p>
      <w:pPr>
        <w:jc w:val="center"/>
      </w:pPr>
      <w:r>
        <w:rPr>
          <w:rFonts w:ascii="Arial" w:hAnsi="Arial"/>
          <w:b/>
          <w:color w:val="102A43"/>
          <w:sz w:val="24"/>
        </w:rPr>
        <w:t>Angelis Pseftis</w:t>
      </w:r>
    </w:p>
    <w:p>
      <w:pPr>
        <w:jc w:val="center"/>
      </w:pPr>
      <w:r>
        <w:rPr>
          <w:rFonts w:ascii="Arial" w:hAnsi="Arial"/>
          <w:b w:val="0"/>
          <w:color w:val="52606D"/>
          <w:sz w:val="20"/>
        </w:rPr>
        <w:t>Document AEGIS-OT-STUDY-001 | Revision 0.2 | 24 August 2026</w:t>
      </w:r>
    </w:p>
    <w:p>
      <w:pPr>
        <w:spacing w:before="560"/>
        <w:jc w:val="center"/>
      </w:pPr>
      <w:r>
        <w:rPr>
          <w:rFonts w:ascii="Arial" w:hAnsi="Arial"/>
          <w:b/>
          <w:color w:val="A61B1B"/>
          <w:sz w:val="20"/>
        </w:rPr>
        <w:t>RESEARCH USE ONLY - SYNTHETIC AND SIMULATED ENVIRONMENTS</w:t>
      </w:r>
    </w:p>
    <w:p>
      <w:r>
        <w:br w:type="page"/>
      </w:r>
    </w:p>
    <w:p>
      <w:pPr>
        <w:pStyle w:val="Heading1"/>
        <w:keepNext/>
        <w:spacing w:line="252" w:lineRule="auto"/>
      </w:pPr>
      <w:r>
        <w:t>Document Control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376"/>
            <w:vAlign w:val="center"/>
            <w:shd w:fill="EAF2F8"/>
            <w:tcMar>
              <w:top w:w="100" w:type="dxa"/>
              <w:start w:w="120" w:type="dxa"/>
              <w:bottom w:w="100" w:type="dxa"/>
              <w:end w:w="120" w:type="dxa"/>
            </w:tcMar>
          </w:tcPr>
          <w:p>
            <w:r>
              <w:rPr>
                <w:rFonts w:ascii="Arial" w:hAnsi="Arial"/>
                <w:b/>
                <w:color w:val="102A43"/>
                <w:sz w:val="18"/>
              </w:rPr>
              <w:t>Field</w:t>
            </w:r>
          </w:p>
        </w:tc>
        <w:tc>
          <w:tcPr>
            <w:tcW w:type="dxa" w:w="6984"/>
            <w:vAlign w:val="center"/>
            <w:shd w:fill="EAF2F8"/>
            <w:tcMar>
              <w:top w:w="100" w:type="dxa"/>
              <w:start w:w="120" w:type="dxa"/>
              <w:bottom w:w="100" w:type="dxa"/>
              <w:end w:w="120" w:type="dxa"/>
            </w:tcMar>
          </w:tcPr>
          <w:p>
            <w:r>
              <w:rPr>
                <w:rFonts w:ascii="Arial" w:hAnsi="Arial"/>
                <w:b/>
                <w:color w:val="102A43"/>
                <w:sz w:val="18"/>
              </w:rPr>
              <w:t>Controlled value</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Document identifier</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AEGIS-OT-STUDY-001</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Revision</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0.2</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Author and editor</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Angelis Pseftis</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Canonical file</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research/Aegis-OT_Research_Study.docx</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Evidence boundary</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Reconstructed repository; lost historical artifacts are not current evidence</w:t>
            </w:r>
          </w:p>
        </w:tc>
      </w:tr>
    </w:tbl>
    <w:p>
      <w:pPr>
        <w:spacing w:after="40"/>
      </w:pPr>
    </w:p>
    <w:p>
      <w:pPr>
        <w:pStyle w:val="Heading2"/>
        <w:keepNext/>
        <w:spacing w:line="252" w:lineRule="auto"/>
      </w:pPr>
      <w:r>
        <w:t>Revision History</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792"/>
            <w:vAlign w:val="center"/>
            <w:shd w:fill="EAF2F8"/>
            <w:tcMar>
              <w:top w:w="100" w:type="dxa"/>
              <w:start w:w="120" w:type="dxa"/>
              <w:bottom w:w="100" w:type="dxa"/>
              <w:end w:w="120" w:type="dxa"/>
            </w:tcMar>
          </w:tcPr>
          <w:p>
            <w:r>
              <w:rPr>
                <w:rFonts w:ascii="Arial" w:hAnsi="Arial"/>
                <w:b/>
                <w:color w:val="102A43"/>
                <w:sz w:val="18"/>
              </w:rPr>
              <w:t>Revision</w:t>
            </w:r>
          </w:p>
        </w:tc>
        <w:tc>
          <w:tcPr>
            <w:tcW w:type="dxa" w:w="1656"/>
            <w:vAlign w:val="center"/>
            <w:shd w:fill="EAF2F8"/>
            <w:tcMar>
              <w:top w:w="100" w:type="dxa"/>
              <w:start w:w="120" w:type="dxa"/>
              <w:bottom w:w="100" w:type="dxa"/>
              <w:end w:w="120" w:type="dxa"/>
            </w:tcMar>
          </w:tcPr>
          <w:p>
            <w:r>
              <w:rPr>
                <w:rFonts w:ascii="Arial" w:hAnsi="Arial"/>
                <w:b/>
                <w:color w:val="102A43"/>
                <w:sz w:val="18"/>
              </w:rPr>
              <w:t>UTC timestamp</w:t>
            </w:r>
          </w:p>
        </w:tc>
        <w:tc>
          <w:tcPr>
            <w:tcW w:type="dxa" w:w="1296"/>
            <w:vAlign w:val="center"/>
            <w:shd w:fill="EAF2F8"/>
            <w:tcMar>
              <w:top w:w="100" w:type="dxa"/>
              <w:start w:w="120" w:type="dxa"/>
              <w:bottom w:w="100" w:type="dxa"/>
              <w:end w:w="120" w:type="dxa"/>
            </w:tcMar>
          </w:tcPr>
          <w:p>
            <w:r>
              <w:rPr>
                <w:rFonts w:ascii="Arial" w:hAnsi="Arial"/>
                <w:b/>
                <w:color w:val="102A43"/>
                <w:sz w:val="18"/>
              </w:rPr>
              <w:t>Editor</w:t>
            </w:r>
          </w:p>
        </w:tc>
        <w:tc>
          <w:tcPr>
            <w:tcW w:type="dxa" w:w="3384"/>
            <w:vAlign w:val="center"/>
            <w:shd w:fill="EAF2F8"/>
            <w:tcMar>
              <w:top w:w="100" w:type="dxa"/>
              <w:start w:w="120" w:type="dxa"/>
              <w:bottom w:w="100" w:type="dxa"/>
              <w:end w:w="120" w:type="dxa"/>
            </w:tcMar>
          </w:tcPr>
          <w:p>
            <w:r>
              <w:rPr>
                <w:rFonts w:ascii="Arial" w:hAnsi="Arial"/>
                <w:b/>
                <w:color w:val="102A43"/>
                <w:sz w:val="18"/>
              </w:rPr>
              <w:t>Substantive change</w:t>
            </w:r>
          </w:p>
        </w:tc>
        <w:tc>
          <w:tcPr>
            <w:tcW w:type="dxa" w:w="2232"/>
            <w:vAlign w:val="center"/>
            <w:shd w:fill="EAF2F8"/>
            <w:tcMar>
              <w:top w:w="100" w:type="dxa"/>
              <w:start w:w="120" w:type="dxa"/>
              <w:bottom w:w="100" w:type="dxa"/>
              <w:end w:w="120" w:type="dxa"/>
            </w:tcMar>
          </w:tcPr>
          <w:p>
            <w:r>
              <w:rPr>
                <w:rFonts w:ascii="Arial" w:hAnsi="Arial"/>
                <w:b/>
                <w:color w:val="102A43"/>
                <w:sz w:val="18"/>
              </w:rPr>
              <w:t>Evidence link</w:t>
            </w:r>
          </w:p>
        </w:tc>
      </w:tr>
      <w:tr>
        <w:tc>
          <w:tcPr>
            <w:tcW w:type="dxa" w:w="792"/>
            <w:vAlign w:val="center"/>
            <w:tcMar>
              <w:top w:w="100" w:type="dxa"/>
              <w:start w:w="120" w:type="dxa"/>
              <w:bottom w:w="100" w:type="dxa"/>
              <w:end w:w="120" w:type="dxa"/>
            </w:tcMar>
          </w:tcPr>
          <w:p>
            <w:pPr>
              <w:spacing w:after="0"/>
            </w:pPr>
            <w:r>
              <w:rPr>
                <w:rFonts w:ascii="Arial" w:hAnsi="Arial"/>
                <w:b w:val="0"/>
                <w:color w:val="102A43"/>
                <w:sz w:val="17"/>
              </w:rPr>
              <w:t>0.1</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2026-08-24T14:39:38Z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384"/>
            <w:vAlign w:val="center"/>
            <w:tcMar>
              <w:top w:w="100" w:type="dxa"/>
              <w:start w:w="120" w:type="dxa"/>
              <w:bottom w:w="100" w:type="dxa"/>
              <w:end w:w="120" w:type="dxa"/>
            </w:tcMar>
          </w:tcPr>
          <w:p>
            <w:pPr>
              <w:spacing w:after="0"/>
            </w:pPr>
            <w:r>
              <w:rPr>
                <w:rFonts w:ascii="Arial" w:hAnsi="Arial"/>
                <w:b w:val="0"/>
                <w:color w:val="102A43"/>
                <w:sz w:val="17"/>
              </w:rPr>
              <w:t>Established the reconstructed research protocol, evidence boundary, requirements, architecture, threat model, formal strategy, experimental method, current implementation evidence, and completion gates.</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results/reproduction-v0.1/manifest.json</w:t>
            </w:r>
          </w:p>
        </w:tc>
      </w:tr>
      <w:tr>
        <w:tc>
          <w:tcPr>
            <w:tcW w:type="dxa" w:w="792"/>
            <w:vAlign w:val="center"/>
            <w:tcMar>
              <w:top w:w="100" w:type="dxa"/>
              <w:start w:w="120" w:type="dxa"/>
              <w:bottom w:w="100" w:type="dxa"/>
              <w:end w:w="120" w:type="dxa"/>
            </w:tcMar>
          </w:tcPr>
          <w:p>
            <w:pPr>
              <w:spacing w:after="0"/>
            </w:pPr>
            <w:r>
              <w:rPr>
                <w:rFonts w:ascii="Arial" w:hAnsi="Arial"/>
                <w:b w:val="0"/>
                <w:color w:val="102A43"/>
                <w:sz w:val="17"/>
              </w:rPr>
              <w:t>0.2</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2026-08-24T15:03:20Z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384"/>
            <w:vAlign w:val="center"/>
            <w:tcMar>
              <w:top w:w="100" w:type="dxa"/>
              <w:start w:w="120" w:type="dxa"/>
              <w:bottom w:w="100" w:type="dxa"/>
              <w:end w:w="120" w:type="dxa"/>
            </w:tcMar>
          </w:tcPr>
          <w:p>
            <w:pPr>
              <w:spacing w:after="0"/>
            </w:pPr>
            <w:r>
              <w:rPr>
                <w:rFonts w:ascii="Arial" w:hAnsi="Arial"/>
                <w:b w:val="0"/>
                <w:color w:val="102A43"/>
                <w:sz w:val="17"/>
              </w:rPr>
              <w:t>Hardened trust-boundary validation, synchronized the generated schema, expanded rejection tests, and raised the branch-aware coverage floor.</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ActionProposal schema</w:t>
            </w:r>
          </w:p>
        </w:tc>
      </w:tr>
    </w:tbl>
    <w:p>
      <w:pPr>
        <w:spacing w:after="40"/>
      </w:pPr>
    </w:p>
    <w:p>
      <w:pPr>
        <w:spacing w:after="160" w:line="293" w:lineRule="auto"/>
      </w:pPr>
      <w:r>
        <w:rPr>
          <w:rFonts w:ascii="Arial" w:hAnsi="Arial"/>
          <w:b w:val="0"/>
          <w:color w:val="102A43"/>
          <w:sz w:val="21"/>
        </w:rPr>
        <w:t>Control statement: This DOCX is the single authoritative editable manuscript. Git history and research/revision_log.json preserve its revision trail. Supporting Markdown, figures, renders, and data are not alternate manuscripts.</w:t>
      </w:r>
    </w:p>
    <w:p>
      <w:r>
        <w:br w:type="page"/>
      </w:r>
    </w:p>
    <w:p>
      <w:pPr>
        <w:pStyle w:val="Heading1"/>
        <w:keepNext/>
        <w:spacing w:line="252" w:lineRule="auto"/>
      </w:pPr>
      <w:r>
        <w:t>Contents</w:t>
      </w:r>
    </w:p>
    <w:p>
      <w:pPr>
        <w:pStyle w:val="ListBullet"/>
        <w:spacing w:after="120" w:line="288" w:lineRule="auto"/>
        <w:ind w:left="720" w:hanging="360"/>
      </w:pPr>
      <w:r>
        <w:rPr>
          <w:rFonts w:ascii="Arial" w:hAnsi="Arial"/>
          <w:b w:val="0"/>
          <w:color w:val="102A43"/>
          <w:sz w:val="21"/>
        </w:rPr>
        <w:t>1 Abstract</w:t>
      </w:r>
    </w:p>
    <w:p>
      <w:pPr>
        <w:pStyle w:val="ListBullet"/>
        <w:spacing w:after="120" w:line="288" w:lineRule="auto"/>
        <w:ind w:left="720" w:hanging="360"/>
      </w:pPr>
      <w:r>
        <w:rPr>
          <w:rFonts w:ascii="Arial" w:hAnsi="Arial"/>
          <w:b w:val="0"/>
          <w:color w:val="102A43"/>
          <w:sz w:val="21"/>
        </w:rPr>
        <w:t>2 Executive Summary</w:t>
      </w:r>
    </w:p>
    <w:p>
      <w:pPr>
        <w:pStyle w:val="ListBullet"/>
        <w:spacing w:after="120" w:line="288" w:lineRule="auto"/>
        <w:ind w:left="720" w:hanging="360"/>
      </w:pPr>
      <w:r>
        <w:rPr>
          <w:rFonts w:ascii="Arial" w:hAnsi="Arial"/>
          <w:b w:val="0"/>
          <w:color w:val="102A43"/>
          <w:sz w:val="21"/>
        </w:rPr>
        <w:t>3 Introduction and Research Gap</w:t>
      </w:r>
    </w:p>
    <w:p>
      <w:pPr>
        <w:pStyle w:val="ListBullet"/>
        <w:spacing w:after="120" w:line="288" w:lineRule="auto"/>
        <w:ind w:left="720" w:hanging="360"/>
      </w:pPr>
      <w:r>
        <w:rPr>
          <w:rFonts w:ascii="Arial" w:hAnsi="Arial"/>
          <w:b w:val="0"/>
          <w:color w:val="102A43"/>
          <w:sz w:val="21"/>
        </w:rPr>
        <w:t>4 Research Objectives, Questions, and Hypotheses</w:t>
      </w:r>
    </w:p>
    <w:p>
      <w:pPr>
        <w:pStyle w:val="ListBullet"/>
        <w:spacing w:after="120" w:line="288" w:lineRule="auto"/>
        <w:ind w:left="720" w:hanging="360"/>
      </w:pPr>
      <w:r>
        <w:rPr>
          <w:rFonts w:ascii="Arial" w:hAnsi="Arial"/>
          <w:b w:val="0"/>
          <w:color w:val="102A43"/>
          <w:sz w:val="21"/>
        </w:rPr>
        <w:t>5 Scope, Assumptions, and Claim Boundaries</w:t>
      </w:r>
    </w:p>
    <w:p>
      <w:pPr>
        <w:pStyle w:val="ListBullet"/>
        <w:spacing w:after="120" w:line="288" w:lineRule="auto"/>
        <w:ind w:left="720" w:hanging="360"/>
      </w:pPr>
      <w:r>
        <w:rPr>
          <w:rFonts w:ascii="Arial" w:hAnsi="Arial"/>
          <w:b w:val="0"/>
          <w:color w:val="102A43"/>
          <w:sz w:val="21"/>
        </w:rPr>
        <w:t>6 Threat Model</w:t>
      </w:r>
    </w:p>
    <w:p>
      <w:pPr>
        <w:pStyle w:val="ListBullet"/>
        <w:spacing w:after="120" w:line="288" w:lineRule="auto"/>
        <w:ind w:left="720" w:hanging="360"/>
      </w:pPr>
      <w:r>
        <w:rPr>
          <w:rFonts w:ascii="Arial" w:hAnsi="Arial"/>
          <w:b w:val="0"/>
          <w:color w:val="102A43"/>
          <w:sz w:val="21"/>
        </w:rPr>
        <w:t>7 System Requirements</w:t>
      </w:r>
    </w:p>
    <w:p>
      <w:pPr>
        <w:pStyle w:val="ListBullet"/>
        <w:spacing w:after="120" w:line="288" w:lineRule="auto"/>
        <w:ind w:left="720" w:hanging="360"/>
      </w:pPr>
      <w:r>
        <w:rPr>
          <w:rFonts w:ascii="Arial" w:hAnsi="Arial"/>
          <w:b w:val="0"/>
          <w:color w:val="102A43"/>
          <w:sz w:val="21"/>
        </w:rPr>
        <w:t>8 Reference Architecture</w:t>
      </w:r>
    </w:p>
    <w:p>
      <w:pPr>
        <w:pStyle w:val="ListBullet"/>
        <w:spacing w:after="120" w:line="288" w:lineRule="auto"/>
        <w:ind w:left="720" w:hanging="360"/>
      </w:pPr>
      <w:r>
        <w:rPr>
          <w:rFonts w:ascii="Arial" w:hAnsi="Arial"/>
          <w:b w:val="0"/>
          <w:color w:val="102A43"/>
          <w:sz w:val="21"/>
        </w:rPr>
        <w:t>9 Authorization and Safety Model</w:t>
      </w:r>
    </w:p>
    <w:p>
      <w:pPr>
        <w:pStyle w:val="ListBullet"/>
        <w:spacing w:after="120" w:line="288" w:lineRule="auto"/>
        <w:ind w:left="720" w:hanging="360"/>
      </w:pPr>
      <w:r>
        <w:rPr>
          <w:rFonts w:ascii="Arial" w:hAnsi="Arial"/>
          <w:b w:val="0"/>
          <w:color w:val="102A43"/>
          <w:sz w:val="21"/>
        </w:rPr>
        <w:t>10 Formal Specification Strategy</w:t>
      </w:r>
    </w:p>
    <w:p>
      <w:pPr>
        <w:pStyle w:val="ListBullet"/>
        <w:spacing w:after="120" w:line="288" w:lineRule="auto"/>
        <w:ind w:left="720" w:hanging="360"/>
      </w:pPr>
      <w:r>
        <w:rPr>
          <w:rFonts w:ascii="Arial" w:hAnsi="Arial"/>
          <w:b w:val="0"/>
          <w:color w:val="102A43"/>
          <w:sz w:val="21"/>
        </w:rPr>
        <w:t>11 Experimental Methodology</w:t>
      </w:r>
    </w:p>
    <w:p>
      <w:pPr>
        <w:pStyle w:val="ListBullet"/>
        <w:spacing w:after="120" w:line="288" w:lineRule="auto"/>
        <w:ind w:left="720" w:hanging="360"/>
      </w:pPr>
      <w:r>
        <w:rPr>
          <w:rFonts w:ascii="Arial" w:hAnsi="Arial"/>
          <w:b w:val="0"/>
          <w:color w:val="102A43"/>
          <w:sz w:val="21"/>
        </w:rPr>
        <w:t>12 Implementation and Verification Status</w:t>
      </w:r>
    </w:p>
    <w:p>
      <w:pPr>
        <w:pStyle w:val="ListBullet"/>
        <w:spacing w:after="120" w:line="288" w:lineRule="auto"/>
        <w:ind w:left="720" w:hanging="360"/>
      </w:pPr>
      <w:r>
        <w:rPr>
          <w:rFonts w:ascii="Arial" w:hAnsi="Arial"/>
          <w:b w:val="0"/>
          <w:color w:val="102A43"/>
          <w:sz w:val="21"/>
        </w:rPr>
        <w:t>13 Preliminary Controlled Results</w:t>
      </w:r>
    </w:p>
    <w:p>
      <w:pPr>
        <w:pStyle w:val="ListBullet"/>
        <w:spacing w:after="120" w:line="288" w:lineRule="auto"/>
        <w:ind w:left="720" w:hanging="360"/>
      </w:pPr>
      <w:r>
        <w:rPr>
          <w:rFonts w:ascii="Arial" w:hAnsi="Arial"/>
          <w:b w:val="0"/>
          <w:color w:val="102A43"/>
          <w:sz w:val="21"/>
        </w:rPr>
        <w:t>14 Multi-VM Integration Plan</w:t>
      </w:r>
    </w:p>
    <w:p>
      <w:pPr>
        <w:pStyle w:val="ListBullet"/>
        <w:spacing w:after="120" w:line="288" w:lineRule="auto"/>
        <w:ind w:left="720" w:hanging="360"/>
      </w:pPr>
      <w:r>
        <w:rPr>
          <w:rFonts w:ascii="Arial" w:hAnsi="Arial"/>
          <w:b w:val="0"/>
          <w:color w:val="102A43"/>
          <w:sz w:val="21"/>
        </w:rPr>
        <w:t>15 Operate-Through-Compromise Test Program</w:t>
      </w:r>
    </w:p>
    <w:p>
      <w:pPr>
        <w:pStyle w:val="ListBullet"/>
        <w:spacing w:after="120" w:line="288" w:lineRule="auto"/>
        <w:ind w:left="720" w:hanging="360"/>
      </w:pPr>
      <w:r>
        <w:rPr>
          <w:rFonts w:ascii="Arial" w:hAnsi="Arial"/>
          <w:b w:val="0"/>
          <w:color w:val="102A43"/>
          <w:sz w:val="21"/>
        </w:rPr>
        <w:t>16 Scale and Economic Analysis Plan</w:t>
      </w:r>
    </w:p>
    <w:p>
      <w:pPr>
        <w:pStyle w:val="ListBullet"/>
        <w:spacing w:after="120" w:line="288" w:lineRule="auto"/>
        <w:ind w:left="720" w:hanging="360"/>
      </w:pPr>
      <w:r>
        <w:rPr>
          <w:rFonts w:ascii="Arial" w:hAnsi="Arial"/>
          <w:b w:val="0"/>
          <w:color w:val="102A43"/>
          <w:sz w:val="21"/>
        </w:rPr>
        <w:t>17 Reproducibility and Data Management</w:t>
      </w:r>
    </w:p>
    <w:p>
      <w:pPr>
        <w:pStyle w:val="ListBullet"/>
        <w:spacing w:after="120" w:line="288" w:lineRule="auto"/>
        <w:ind w:left="720" w:hanging="360"/>
      </w:pPr>
      <w:r>
        <w:rPr>
          <w:rFonts w:ascii="Arial" w:hAnsi="Arial"/>
          <w:b w:val="0"/>
          <w:color w:val="102A43"/>
          <w:sz w:val="21"/>
        </w:rPr>
        <w:t>18 Risks, Limitations, and Validity Threats</w:t>
      </w:r>
    </w:p>
    <w:p>
      <w:pPr>
        <w:pStyle w:val="ListBullet"/>
        <w:spacing w:after="120" w:line="288" w:lineRule="auto"/>
        <w:ind w:left="720" w:hanging="360"/>
      </w:pPr>
      <w:r>
        <w:rPr>
          <w:rFonts w:ascii="Arial" w:hAnsi="Arial"/>
          <w:b w:val="0"/>
          <w:color w:val="102A43"/>
          <w:sz w:val="21"/>
        </w:rPr>
        <w:t>19 Work Plan and Completion Criteria</w:t>
      </w:r>
    </w:p>
    <w:p>
      <w:pPr>
        <w:pStyle w:val="ListBullet"/>
        <w:spacing w:after="120" w:line="288" w:lineRule="auto"/>
        <w:ind w:left="720" w:hanging="360"/>
      </w:pPr>
      <w:r>
        <w:rPr>
          <w:rFonts w:ascii="Arial" w:hAnsi="Arial"/>
          <w:b w:val="0"/>
          <w:color w:val="102A43"/>
          <w:sz w:val="21"/>
        </w:rPr>
        <w:t>20 Conclusions</w:t>
      </w:r>
    </w:p>
    <w:p>
      <w:pPr>
        <w:pStyle w:val="ListBullet"/>
        <w:spacing w:after="120" w:line="288" w:lineRule="auto"/>
        <w:ind w:left="720" w:hanging="360"/>
      </w:pPr>
      <w:r>
        <w:rPr>
          <w:rFonts w:ascii="Arial" w:hAnsi="Arial"/>
          <w:b w:val="0"/>
          <w:color w:val="102A43"/>
          <w:sz w:val="21"/>
        </w:rPr>
        <w:t>21 References</w:t>
      </w:r>
    </w:p>
    <w:p>
      <w:pPr>
        <w:pStyle w:val="ListBullet"/>
        <w:spacing w:after="120" w:line="288" w:lineRule="auto"/>
        <w:ind w:left="720" w:hanging="360"/>
      </w:pPr>
      <w:r>
        <w:rPr>
          <w:rFonts w:ascii="Arial" w:hAnsi="Arial"/>
          <w:b w:val="0"/>
          <w:color w:val="102A43"/>
          <w:sz w:val="21"/>
        </w:rPr>
        <w:t>22 Requirements Traceability Appendix</w:t>
      </w:r>
    </w:p>
    <w:p>
      <w:pPr>
        <w:pStyle w:val="ListBullet"/>
        <w:spacing w:after="120" w:line="288" w:lineRule="auto"/>
        <w:ind w:left="720" w:hanging="360"/>
      </w:pPr>
      <w:r>
        <w:rPr>
          <w:rFonts w:ascii="Arial" w:hAnsi="Arial"/>
          <w:b w:val="0"/>
          <w:color w:val="102A43"/>
          <w:sz w:val="21"/>
        </w:rPr>
        <w:t>23 Data and Message Schemas Appendix</w:t>
      </w:r>
    </w:p>
    <w:p>
      <w:pPr>
        <w:pStyle w:val="ListBullet"/>
        <w:spacing w:after="120" w:line="288" w:lineRule="auto"/>
        <w:ind w:left="720" w:hanging="360"/>
      </w:pPr>
      <w:r>
        <w:rPr>
          <w:rFonts w:ascii="Arial" w:hAnsi="Arial"/>
          <w:b w:val="0"/>
          <w:color w:val="102A43"/>
          <w:sz w:val="21"/>
        </w:rPr>
        <w:t>24 Reproduction Runbook Appendix</w:t>
      </w:r>
    </w:p>
    <w:p>
      <w:pPr>
        <w:pStyle w:val="ListBullet"/>
        <w:spacing w:after="120" w:line="288" w:lineRule="auto"/>
        <w:ind w:left="720" w:hanging="360"/>
      </w:pPr>
      <w:r>
        <w:rPr>
          <w:rFonts w:ascii="Arial" w:hAnsi="Arial"/>
          <w:b w:val="0"/>
          <w:color w:val="102A43"/>
          <w:sz w:val="21"/>
        </w:rPr>
        <w:t>25 Version-Control Audit Trail Appendix</w:t>
      </w:r>
    </w:p>
    <w:p>
      <w:r>
        <w:br w:type="page"/>
      </w:r>
    </w:p>
    <w:p>
      <w:pPr>
        <w:pStyle w:val="Heading1"/>
        <w:keepNext/>
        <w:spacing w:line="252" w:lineRule="auto"/>
      </w:pPr>
      <w:r>
        <w:t>1. Abstract</w:t>
      </w:r>
    </w:p>
    <w:p>
      <w:pPr>
        <w:spacing w:after="160" w:line="293" w:lineRule="auto"/>
      </w:pPr>
      <w:r>
        <w:rPr>
          <w:rFonts w:ascii="Arial" w:hAnsi="Arial"/>
          <w:b w:val="0"/>
          <w:color w:val="102A43"/>
          <w:sz w:val="21"/>
        </w:rPr>
        <w:t>Aegis-OT investigates whether an independently enforced runtime-assurance control plane can prevent a validly authenticated but compromised, misled, stale, or faulty AI agent from executing actions outside its delegated mission and modeled cyber-physical safety envelope while preserving legitimate containment and recovery. The reconstructed v0.1 implementation binds typed proposals to Ed25519-signed delegation chains, contextual policy, state freshness, replay protection, a deterministic safety kernel, a command adapter, and hash-chained evidence. A separate post-decision rule oracle is used for initial experiments, although both it and the enforcer depend on the same simplified transition model. Current results therefore establish only internal control-path behavior in a synthetic local environment.</w:t>
      </w:r>
    </w:p>
    <w:p>
      <w:pPr>
        <w:pStyle w:val="Heading1"/>
        <w:keepNext/>
        <w:spacing w:line="252" w:lineRule="auto"/>
      </w:pPr>
      <w:r>
        <w:t>2. Executive Summary</w:t>
      </w:r>
    </w:p>
    <w:p>
      <w:pPr>
        <w:spacing w:after="160" w:line="293" w:lineRule="auto"/>
      </w:pPr>
      <w:r>
        <w:rPr>
          <w:rFonts w:ascii="Arial" w:hAnsi="Arial"/>
          <w:b w:val="0"/>
          <w:color w:val="102A43"/>
          <w:sz w:val="21"/>
        </w:rPr>
        <w:t>The central engineering decision is that identity is necessary but insufficient. An agent never receives direct simulated-control authority; it receives authority to propose a bounded action. The gateway remains the policy-enforcement point and fails closed when identity, delegation, state, replay, policy, safety, or required approval cannot be established.</w:t>
      </w:r>
    </w:p>
    <w:p>
      <w:pPr>
        <w:pStyle w:val="ListBullet"/>
        <w:spacing w:after="120" w:line="288" w:lineRule="auto"/>
        <w:ind w:left="720" w:hanging="360"/>
      </w:pPr>
      <w:r>
        <w:rPr>
          <w:rFonts w:ascii="Arial" w:hAnsi="Arial"/>
          <w:b w:val="0"/>
          <w:color w:val="102A43"/>
          <w:sz w:val="21"/>
        </w:rPr>
        <w:t>Current verified implementation evidence: 62 passing tests, clean static type checking, clean linting, and 95 percent branch-aware coverage on the local Python 3.14 host. Gateway, policy, trust-boundary model, replay, and evidence paths each measure 100 percent coverage in this suite; coverage is implementation-conformance evidence, not independent validation.</w:t>
      </w:r>
    </w:p>
    <w:p>
      <w:pPr>
        <w:pStyle w:val="ListBullet"/>
        <w:spacing w:after="120" w:line="288" w:lineRule="auto"/>
        <w:ind w:left="720" w:hanging="360"/>
      </w:pPr>
      <w:r>
        <w:rPr>
          <w:rFonts w:ascii="Arial" w:hAnsi="Arial"/>
          <w:b w:val="0"/>
          <w:color w:val="102A43"/>
          <w:sz w:val="21"/>
        </w:rPr>
        <w:t>Current experiment evidence: 200 synthetic trials per baseline using a shared seed set and master seed 20260824.</w:t>
      </w:r>
    </w:p>
    <w:p>
      <w:pPr>
        <w:pStyle w:val="ListBullet"/>
        <w:spacing w:after="120" w:line="288" w:lineRule="auto"/>
        <w:ind w:left="720" w:hanging="360"/>
      </w:pPr>
      <w:r>
        <w:rPr>
          <w:rFonts w:ascii="Arial" w:hAnsi="Arial"/>
          <w:b w:val="0"/>
          <w:color w:val="102A43"/>
          <w:sz w:val="21"/>
        </w:rPr>
        <w:t>Current limitation: perfect performance by the assured baseline is expected under the simplified rules and cannot support a claim of field effectiveness.</w:t>
      </w:r>
    </w:p>
    <w:p>
      <w:pPr>
        <w:pStyle w:val="ListBullet"/>
        <w:spacing w:after="120" w:line="288" w:lineRule="auto"/>
        <w:ind w:left="720" w:hanging="360"/>
      </w:pPr>
      <w:r>
        <w:rPr>
          <w:rFonts w:ascii="Arial" w:hAnsi="Arial"/>
          <w:b w:val="0"/>
          <w:color w:val="102A43"/>
          <w:sz w:val="21"/>
        </w:rPr>
        <w:t>Next decision gate: run the TLA+ model and deliberately weakened variants, map modeled transitions to implementation-conformance tests, and replace the shared transition model with an independently executed power-system reference.</w:t>
      </w:r>
    </w:p>
    <w:p>
      <w:r>
        <w:br w:type="page"/>
      </w:r>
    </w:p>
    <w:p>
      <w:pPr>
        <w:pStyle w:val="Heading1"/>
        <w:keepNext/>
        <w:spacing w:line="252" w:lineRule="auto"/>
      </w:pPr>
      <w:r>
        <w:t>3. Introduction and Research Gap</w:t>
      </w:r>
    </w:p>
    <w:p>
      <w:pPr>
        <w:spacing w:after="160" w:line="293" w:lineRule="auto"/>
      </w:pPr>
      <w:r>
        <w:rPr>
          <w:rFonts w:ascii="Arial" w:hAnsi="Arial"/>
          <w:b w:val="0"/>
          <w:color w:val="102A43"/>
          <w:sz w:val="21"/>
        </w:rPr>
        <w:t>Workload identity, delegated authorization, policy engines, runtime assurance, cyber-physical safety analysis, and tamper-evident logging are established fields. Aegis-OT does not claim novelty for those elements individually. The research contribution under evaluation is the integration and reproducible testing of those mechanisms as an independent action-control plane for adversarial autonomous-agent operation in simulated critical infrastructure.</w:t>
      </w:r>
    </w:p>
    <w:p>
      <w:pPr>
        <w:spacing w:after="160" w:line="293" w:lineRule="auto"/>
      </w:pPr>
      <w:r>
        <w:rPr>
          <w:rFonts w:ascii="Arial" w:hAnsi="Arial"/>
          <w:b w:val="0"/>
          <w:color w:val="102A43"/>
          <w:sz w:val="21"/>
        </w:rPr>
        <w:t>The present gap statement is provisional. Public evidence has not yet established a mature benchmark that jointly measures cryptographic agent identity, attenuation and revocation, contextual cyber policy, physical-state validation, operate-through-compromise behavior, evidence reconstruction, fleet scale, and governance cost. Absence of identified public evidence is not proof that no comparable system exists; the related-work search must actively seek counterexamples and narrow the claim.</w:t>
      </w:r>
    </w:p>
    <w:p>
      <w:pPr>
        <w:pStyle w:val="Heading1"/>
        <w:keepNext/>
        <w:spacing w:line="252" w:lineRule="auto"/>
      </w:pPr>
      <w:r>
        <w:t>4. Research Objectives, Questions, and Hypotheses</w:t>
      </w:r>
    </w:p>
    <w:p>
      <w:pPr>
        <w:spacing w:after="160" w:line="293" w:lineRule="auto"/>
      </w:pPr>
      <w:r>
        <w:rPr>
          <w:rFonts w:ascii="Arial" w:hAnsi="Arial"/>
          <w:b w:val="0"/>
          <w:color w:val="102A43"/>
          <w:sz w:val="21"/>
        </w:rPr>
        <w:t>Primary objective: determine whether independently enforced, identity-bound and state-aware authorization reduces unsafe or unauthorized execution without imposing unacceptable mission, latency, availability, evidence, or operator costs.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008"/>
            <w:vAlign w:val="center"/>
            <w:shd w:fill="EAF2F8"/>
            <w:tcMar>
              <w:top w:w="100" w:type="dxa"/>
              <w:start w:w="120" w:type="dxa"/>
              <w:bottom w:w="100" w:type="dxa"/>
              <w:end w:w="120" w:type="dxa"/>
            </w:tcMar>
          </w:tcPr>
          <w:p>
            <w:r>
              <w:rPr>
                <w:rFonts w:ascii="Arial" w:hAnsi="Arial"/>
                <w:b/>
                <w:color w:val="102A43"/>
                <w:sz w:val="18"/>
              </w:rPr>
              <w:t>ID</w:t>
            </w:r>
          </w:p>
        </w:tc>
        <w:tc>
          <w:tcPr>
            <w:tcW w:type="dxa" w:w="3456"/>
            <w:vAlign w:val="center"/>
            <w:shd w:fill="EAF2F8"/>
            <w:tcMar>
              <w:top w:w="100" w:type="dxa"/>
              <w:start w:w="120" w:type="dxa"/>
              <w:bottom w:w="100" w:type="dxa"/>
              <w:end w:w="120" w:type="dxa"/>
            </w:tcMar>
          </w:tcPr>
          <w:p>
            <w:r>
              <w:rPr>
                <w:rFonts w:ascii="Arial" w:hAnsi="Arial"/>
                <w:b/>
                <w:color w:val="102A43"/>
                <w:sz w:val="18"/>
              </w:rPr>
              <w:t>Research question</w:t>
            </w:r>
          </w:p>
        </w:tc>
        <w:tc>
          <w:tcPr>
            <w:tcW w:type="dxa" w:w="4896"/>
            <w:vAlign w:val="center"/>
            <w:shd w:fill="EAF2F8"/>
            <w:tcMar>
              <w:top w:w="100" w:type="dxa"/>
              <w:start w:w="120" w:type="dxa"/>
              <w:bottom w:w="100" w:type="dxa"/>
              <w:end w:w="120" w:type="dxa"/>
            </w:tcMar>
          </w:tcPr>
          <w:p>
            <w:r>
              <w:rPr>
                <w:rFonts w:ascii="Arial" w:hAnsi="Arial"/>
                <w:b/>
                <w:color w:val="102A43"/>
                <w:sz w:val="18"/>
              </w:rPr>
              <w:t>Initial hypothesis</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RQ1</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Unsafe-action containment</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B3 reduces unsafe execution relative to direct, identity-only, and static-policy baselines in defined scenarios.</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RQ2</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Operational availability</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Bounded recovery authority can preserve safe mission actions with measurable false-block cost.</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RQ3-RQ5</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Blast radius, state value, and revocation</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Attenuation and fresh physical state reduce reachable consequences; revocation remains bounded under stated availability assumptions.</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RQ6-RQ9</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Performance, scale, economics, and evidence</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Assurance costs are measurable and increase with chain depth, state simulation, evidence volume, and approval burden.</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RQ10</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Generalizability</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Some authorization properties transfer across domains; physical findings remain model-specific.</w:t>
            </w:r>
          </w:p>
        </w:tc>
      </w:tr>
    </w:tbl>
    <w:p>
      <w:pPr>
        <w:spacing w:after="40"/>
      </w:pPr>
    </w:p>
    <w:p>
      <w:pPr>
        <w:pStyle w:val="Heading1"/>
        <w:keepNext/>
        <w:spacing w:line="252" w:lineRule="auto"/>
      </w:pPr>
      <w:r>
        <w:t>5. Scope, Assumptions, and Claim Boundaries</w:t>
      </w:r>
    </w:p>
    <w:p>
      <w:pPr>
        <w:pStyle w:val="ListBullet"/>
        <w:spacing w:after="120" w:line="288" w:lineRule="auto"/>
        <w:ind w:left="720" w:hanging="360"/>
      </w:pPr>
      <w:r>
        <w:rPr>
          <w:rFonts w:ascii="Arial" w:hAnsi="Arial"/>
          <w:b w:val="0"/>
          <w:color w:val="102A43"/>
          <w:sz w:val="21"/>
        </w:rPr>
        <w:t>In scope: synthetic telemetry, typed proposals, simulated assets, bounded adversarial conditions, local and future multi-node deployment, and reproducible evidence.</w:t>
      </w:r>
    </w:p>
    <w:p>
      <w:pPr>
        <w:pStyle w:val="ListBullet"/>
        <w:spacing w:after="120" w:line="288" w:lineRule="auto"/>
        <w:ind w:left="720" w:hanging="360"/>
      </w:pPr>
      <w:r>
        <w:rPr>
          <w:rFonts w:ascii="Arial" w:hAnsi="Arial"/>
          <w:b w:val="0"/>
          <w:color w:val="102A43"/>
          <w:sz w:val="21"/>
        </w:rPr>
        <w:t>Out of scope: production OT, real utility credentials, live third-party infrastructure, sub-cycle protection claims, and operational authorization.</w:t>
      </w:r>
    </w:p>
    <w:p>
      <w:pPr>
        <w:pStyle w:val="ListBullet"/>
        <w:spacing w:after="120" w:line="288" w:lineRule="auto"/>
        <w:ind w:left="720" w:hanging="360"/>
      </w:pPr>
      <w:r>
        <w:rPr>
          <w:rFonts w:ascii="Arial" w:hAnsi="Arial"/>
          <w:b w:val="0"/>
          <w:color w:val="102A43"/>
          <w:sz w:val="21"/>
        </w:rPr>
        <w:t>Formal guarantees apply only to the stated model, constants, invariants, trusted computing base, and explored state space.</w:t>
      </w:r>
    </w:p>
    <w:p>
      <w:pPr>
        <w:pStyle w:val="ListBullet"/>
        <w:spacing w:after="120" w:line="288" w:lineRule="auto"/>
        <w:ind w:left="720" w:hanging="360"/>
      </w:pPr>
      <w:r>
        <w:rPr>
          <w:rFonts w:ascii="Arial" w:hAnsi="Arial"/>
          <w:b w:val="0"/>
          <w:color w:val="102A43"/>
          <w:sz w:val="21"/>
        </w:rPr>
        <w:t>Empirical findings apply only to recorded versions, configurations, seeds, scenarios, and hosts.</w:t>
      </w:r>
    </w:p>
    <w:p>
      <w:pPr>
        <w:pStyle w:val="ListBullet"/>
        <w:spacing w:after="120" w:line="288" w:lineRule="auto"/>
        <w:ind w:left="720" w:hanging="360"/>
      </w:pPr>
      <w:r>
        <w:rPr>
          <w:rFonts w:ascii="Arial" w:hAnsi="Arial"/>
          <w:b w:val="0"/>
          <w:color w:val="102A43"/>
          <w:sz w:val="21"/>
        </w:rPr>
        <w:t>The v0.1 safety thresholds are provisional research parameters, not universal utility settings.</w:t>
      </w:r>
    </w:p>
    <w:p>
      <w:pPr>
        <w:pStyle w:val="Heading1"/>
        <w:keepNext/>
        <w:spacing w:line="252" w:lineRule="auto"/>
      </w:pPr>
      <w:r>
        <w:t>6. Threat Model</w:t>
      </w:r>
    </w:p>
    <w:p>
      <w:pPr>
        <w:spacing w:after="160" w:line="293" w:lineRule="auto"/>
      </w:pPr>
      <w:r>
        <w:rPr>
          <w:rFonts w:ascii="Arial" w:hAnsi="Arial"/>
          <w:b w:val="0"/>
          <w:color w:val="102A43"/>
          <w:sz w:val="21"/>
        </w:rPr>
        <w:t>The adversary may compromise an authenticated agent, possess a bounded credential, forge or amplify a grant, replay a proposal, poison synthetic observations, delay revocation, exploit stale policy or state, create conflicting proposals, or disrupt a supporting service. The gateway, cryptographic implementation, trusted host, and evidence head are initially trusted; later work must reduce and test that trusted computing base.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448"/>
            <w:vAlign w:val="center"/>
            <w:shd w:fill="EAF2F8"/>
            <w:tcMar>
              <w:top w:w="100" w:type="dxa"/>
              <w:start w:w="120" w:type="dxa"/>
              <w:bottom w:w="100" w:type="dxa"/>
              <w:end w:w="120" w:type="dxa"/>
            </w:tcMar>
          </w:tcPr>
          <w:p>
            <w:r>
              <w:rPr>
                <w:rFonts w:ascii="Arial" w:hAnsi="Arial"/>
                <w:b/>
                <w:color w:val="102A43"/>
                <w:sz w:val="18"/>
              </w:rPr>
              <w:t>Threat family</w:t>
            </w:r>
          </w:p>
        </w:tc>
        <w:tc>
          <w:tcPr>
            <w:tcW w:type="dxa" w:w="4176"/>
            <w:vAlign w:val="center"/>
            <w:shd w:fill="EAF2F8"/>
            <w:tcMar>
              <w:top w:w="100" w:type="dxa"/>
              <w:start w:w="120" w:type="dxa"/>
              <w:bottom w:w="100" w:type="dxa"/>
              <w:end w:w="120" w:type="dxa"/>
            </w:tcMar>
          </w:tcPr>
          <w:p>
            <w:r>
              <w:rPr>
                <w:rFonts w:ascii="Arial" w:hAnsi="Arial"/>
                <w:b/>
                <w:color w:val="102A43"/>
                <w:sz w:val="18"/>
              </w:rPr>
              <w:t>Required control</w:t>
            </w:r>
          </w:p>
        </w:tc>
        <w:tc>
          <w:tcPr>
            <w:tcW w:type="dxa" w:w="2736"/>
            <w:vAlign w:val="center"/>
            <w:shd w:fill="EAF2F8"/>
            <w:tcMar>
              <w:top w:w="100" w:type="dxa"/>
              <w:start w:w="120" w:type="dxa"/>
              <w:bottom w:w="100" w:type="dxa"/>
              <w:end w:w="120" w:type="dxa"/>
            </w:tcMar>
          </w:tcPr>
          <w:p>
            <w:r>
              <w:rPr>
                <w:rFonts w:ascii="Arial" w:hAnsi="Arial"/>
                <w:b/>
                <w:color w:val="102A43"/>
                <w:sz w:val="18"/>
              </w:rPr>
              <w:t>Primary measure</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Identity and credential compromise</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Short-lived identity, scope-bound grant, revocation</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Unauthorized execution and revocation delay</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Instruction or telemetry manipulation</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Typed proposal, freshness, independent state evaluation</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Unsafe escape and state divergence</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Replay and concurrency</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Atomic nonce reservation and TOCTOU check</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Duplicate execution and conflict rate</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Supervisor compromise</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Full-chain attenuation and bounded depth</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Agent and asset blast radius</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Service loss</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Explicit fail-closed and bounded degraded modes</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Availability, recovery time, residual risk</w:t>
            </w:r>
          </w:p>
        </w:tc>
      </w:tr>
    </w:tbl>
    <w:p>
      <w:pPr>
        <w:spacing w:after="40"/>
      </w:pPr>
    </w:p>
    <w:p>
      <w:pPr>
        <w:pStyle w:val="Heading1"/>
        <w:keepNext/>
        <w:spacing w:line="252" w:lineRule="auto"/>
      </w:pPr>
      <w:r>
        <w:t>7. System Requirements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12"/>
            <w:vAlign w:val="center"/>
            <w:shd w:fill="EAF2F8"/>
            <w:tcMar>
              <w:top w:w="100" w:type="dxa"/>
              <w:start w:w="120" w:type="dxa"/>
              <w:bottom w:w="100" w:type="dxa"/>
              <w:end w:w="120" w:type="dxa"/>
            </w:tcMar>
          </w:tcPr>
          <w:p>
            <w:r>
              <w:rPr>
                <w:rFonts w:ascii="Arial" w:hAnsi="Arial"/>
                <w:b/>
                <w:color w:val="102A43"/>
                <w:sz w:val="18"/>
              </w:rPr>
              <w:t>Requirement</w:t>
            </w:r>
          </w:p>
        </w:tc>
        <w:tc>
          <w:tcPr>
            <w:tcW w:type="dxa" w:w="5256"/>
            <w:vAlign w:val="center"/>
            <w:shd w:fill="EAF2F8"/>
            <w:tcMar>
              <w:top w:w="100" w:type="dxa"/>
              <w:start w:w="120" w:type="dxa"/>
              <w:bottom w:w="100" w:type="dxa"/>
              <w:end w:w="120" w:type="dxa"/>
            </w:tcMar>
          </w:tcPr>
          <w:p>
            <w:r>
              <w:rPr>
                <w:rFonts w:ascii="Arial" w:hAnsi="Arial"/>
                <w:b/>
                <w:color w:val="102A43"/>
                <w:sz w:val="18"/>
              </w:rPr>
              <w:t>Statement</w:t>
            </w:r>
          </w:p>
        </w:tc>
        <w:tc>
          <w:tcPr>
            <w:tcW w:type="dxa" w:w="2592"/>
            <w:vAlign w:val="center"/>
            <w:shd w:fill="EAF2F8"/>
            <w:tcMar>
              <w:top w:w="100" w:type="dxa"/>
              <w:start w:w="120" w:type="dxa"/>
              <w:bottom w:w="100" w:type="dxa"/>
              <w:end w:w="120" w:type="dxa"/>
            </w:tcMar>
          </w:tcPr>
          <w:p>
            <w:r>
              <w:rPr>
                <w:rFonts w:ascii="Arial" w:hAnsi="Arial"/>
                <w:b/>
                <w:color w:val="102A43"/>
                <w:sz w:val="18"/>
              </w:rPr>
              <w:t>Verification method</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REQ-AUTH-001</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No action executes without verified actor identity and a valid full delegation chain.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Negative and property tests; formal invariant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REQ-DELEG-002</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A child grant cannot exceed parent resources, operations, time, risk, or delegation depth.</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Chain fuzzing and model checking</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REQ-SAFE-003</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A modeled-unsafe candidate transition is denied by an evaluator outside agent reasoning.</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Scenario tests and independent-oracle comparison</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REQ-REPLAY-004</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Nonce reuse is atomically rejected within the retention window.</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Concurrency test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REQ-EVID-005</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Every gateway decision creates linked evidence sufficient for reconstruction.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Chain verification and completeness audit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REQ-TOCTOU-006</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The adapter rejects authorization when state version changes before execution.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Integration test</w:t>
            </w:r>
          </w:p>
        </w:tc>
      </w:tr>
    </w:tbl>
    <w:p>
      <w:pPr>
        <w:spacing w:after="40"/>
      </w:pPr>
    </w:p>
    <w:p>
      <w:pPr>
        <w:pStyle w:val="Heading1"/>
        <w:keepNext/>
        <w:spacing w:line="252" w:lineRule="auto"/>
      </w:pPr>
      <w:r>
        <w:t>8. Reference Architecture</w:t>
      </w:r>
    </w:p>
    <w:p>
      <w:pPr>
        <w:jc w:val="center"/>
      </w:pPr>
      <w:r>
        <w:drawing>
          <wp:inline xmlns:a="http://schemas.openxmlformats.org/drawingml/2006/main" xmlns:pic="http://schemas.openxmlformats.org/drawingml/2006/picture">
            <wp:extent cx="5715000" cy="3214688"/>
            <wp:docPr id="1" name="Picture 1" descr="Architecture diagram showing synthetic telemetry flowing through a bounded agent, typed proposal, Aegis-OT gateway, authorization-bound command adapter, and simulated process. Gateway checks include identity, delegation, policy, freshness, replay, safety, approval, and evidence." title="Architecture diagram showing synthetic telemetry flowing through a bounded agent, typed proposal, Aegis-OT gateway, authorization-bound command adapter, and simulated process"/>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15000" cy="3214688"/>
                    </a:xfrm>
                    <a:prstGeom prst="rect"/>
                  </pic:spPr>
                </pic:pic>
              </a:graphicData>
            </a:graphic>
          </wp:inline>
        </w:drawing>
      </w:r>
    </w:p>
    <w:p>
      <w:pPr>
        <w:keepNext/>
        <w:jc w:val="center"/>
      </w:pPr>
      <w:r>
        <w:rPr>
          <w:rFonts w:ascii="Arial" w:hAnsi="Arial"/>
          <w:b/>
          <w:color w:val="52606D"/>
          <w:sz w:val="18"/>
        </w:rPr>
        <w:t>Figure 1. Aegis-OT reference action path.</w:t>
      </w:r>
    </w:p>
    <w:p>
      <w:pPr>
        <w:spacing w:after="160" w:line="293" w:lineRule="auto"/>
      </w:pPr>
      <w:r>
        <w:rPr>
          <w:rFonts w:ascii="Arial" w:hAnsi="Arial"/>
          <w:b w:val="0"/>
          <w:color w:val="102A43"/>
          <w:sz w:val="21"/>
        </w:rPr>
        <w:t>The reference architecture separates observation, agent, authorization, safety, control, simulation, and evidence responsibilities. The current in-process implementation is an executable approximation of those interfaces; it does not demonstrate independent service or host isolation.</w:t>
      </w:r>
    </w:p>
    <w:p>
      <w:pPr>
        <w:pStyle w:val="Heading1"/>
        <w:keepNext/>
        <w:spacing w:line="252" w:lineRule="auto"/>
      </w:pPr>
      <w:r>
        <w:t>9. Authorization and Safety Model</w:t>
      </w:r>
    </w:p>
    <w:p>
      <w:pPr>
        <w:spacing w:after="160" w:line="293" w:lineRule="auto"/>
      </w:pPr>
      <w:r>
        <w:rPr>
          <w:rFonts w:ascii="Arial" w:hAnsi="Arial"/>
          <w:b w:val="0"/>
          <w:color w:val="102A43"/>
          <w:sz w:val="21"/>
        </w:rPr>
        <w:t>The execution condition is: Executed(a) implies authenticated actor, valid and attenuated delegation, contextual policy permission, fresh matching state, unique nonce, modeled-safe candidate transition, and required approval. The adapter additionally binds the decision to the proposal and state version at execution time.</w:t>
      </w:r>
    </w:p>
    <w:p>
      <w:pPr>
        <w:jc w:val="center"/>
      </w:pPr>
      <w:r>
        <w:drawing>
          <wp:inline xmlns:a="http://schemas.openxmlformats.org/drawingml/2006/main" xmlns:pic="http://schemas.openxmlformats.org/drawingml/2006/picture">
            <wp:extent cx="5715000" cy="3571875"/>
            <wp:docPr id="2" name="Picture 2" descr="Sequence diagram with agent, gateway, trust services, safety kernel, adapter, and evidence lanes. It shows proposal submission, identity and delegation verification, candidate transition evaluation, evidence append, command authorization, and acknowledgment." title="Sequence diagram with agent, gateway, trust services, safety kernel, adapter, and evidence lanes"/>
            <wp:cNvGraphicFramePr>
              <a:graphicFrameLocks noChangeAspect="1"/>
            </wp:cNvGraphicFramePr>
            <a:graphic>
              <a:graphicData uri="http://schemas.openxmlformats.org/drawingml/2006/picture">
                <pic:pic>
                  <pic:nvPicPr>
                    <pic:cNvPr id="0" name="decision_sequence.png"/>
                    <pic:cNvPicPr/>
                  </pic:nvPicPr>
                  <pic:blipFill>
                    <a:blip r:embed="rId10"/>
                    <a:stretch>
                      <a:fillRect/>
                    </a:stretch>
                  </pic:blipFill>
                  <pic:spPr>
                    <a:xfrm>
                      <a:off x="0" y="0"/>
                      <a:ext cx="5715000" cy="3571875"/>
                    </a:xfrm>
                    <a:prstGeom prst="rect"/>
                  </pic:spPr>
                </pic:pic>
              </a:graphicData>
            </a:graphic>
          </wp:inline>
        </w:drawing>
      </w:r>
    </w:p>
    <w:p>
      <w:pPr>
        <w:keepNext/>
        <w:jc w:val="center"/>
      </w:pPr>
      <w:r>
        <w:rPr>
          <w:rFonts w:ascii="Arial" w:hAnsi="Arial"/>
          <w:b/>
          <w:color w:val="52606D"/>
          <w:sz w:val="18"/>
        </w:rPr>
        <w:t>Figure 2. Authorization and execution evidence sequence.</w:t>
      </w:r>
    </w:p>
    <w:p>
      <w:pPr>
        <w:pStyle w:val="Heading1"/>
        <w:keepNext/>
        <w:spacing w:line="252" w:lineRule="auto"/>
      </w:pPr>
      <w:r>
        <w:t>10. Formal Specification Strategy</w:t>
      </w:r>
    </w:p>
    <w:p>
      <w:pPr>
        <w:spacing w:after="160" w:line="293" w:lineRule="auto"/>
      </w:pPr>
      <w:r>
        <w:rPr>
          <w:rFonts w:ascii="Arial" w:hAnsi="Arial"/>
          <w:b w:val="0"/>
          <w:color w:val="102A43"/>
          <w:sz w:val="21"/>
        </w:rPr>
        <w:t>The initial TLA+ scaffold models submission, authorization, denial, execution, revocation, nonce use, and evidence existence. It includes invariants for authentication, scope, modeled safety, replay, evidence completeness, and revoked-grant execution. This document does not claim that TLC has been run. The next milestone must record the exact tool version, model hash, state count, runtime, invariant results, and counterexamples from deliberately weakened configurations.</w:t>
      </w:r>
    </w:p>
    <w:p>
      <w:pPr>
        <w:pStyle w:val="Heading1"/>
        <w:keepNext/>
        <w:spacing w:line="252" w:lineRule="auto"/>
      </w:pPr>
      <w:r>
        <w:t>11. Experimental Methodology</w:t>
      </w:r>
    </w:p>
    <w:p>
      <w:pPr>
        <w:spacing w:after="160" w:line="293" w:lineRule="auto"/>
      </w:pPr>
      <w:r>
        <w:rPr>
          <w:rFonts w:ascii="Arial" w:hAnsi="Arial"/>
          <w:b w:val="0"/>
          <w:color w:val="102A43"/>
          <w:sz w:val="21"/>
        </w:rPr>
        <w:t>The reconstructed smoke experiment executes four baselines against the same 200 seeded isolation scenarios. The scenario generator varies critical-load impact and classifies the resulting candidate state using a post-decision oracle implemented outside the gateway. Direct access, identity-only, and static resource/risk policy baselines execute the proposed action; the assured baseline also evaluates delegation, contextual policy, freshness, replay, and modeled safety.</w:t>
      </w:r>
    </w:p>
    <w:p>
      <w:pPr>
        <w:spacing w:after="160" w:line="293" w:lineRule="auto"/>
      </w:pPr>
      <w:r>
        <w:rPr>
          <w:rFonts w:ascii="Arial" w:hAnsi="Arial"/>
          <w:b w:val="0"/>
          <w:color w:val="102A43"/>
          <w:sz w:val="21"/>
        </w:rPr>
        <w:t>Primary measures are unsafe-action escape, false block, mission-correct outcome, decision latency, and safety-kernel/oracle disagreement. This smoke design is exploratory: it has one master seed, a deterministic agent, synthetic prevalence, weak comparison baselines, and no confidence intervals or external physical simulator.</w:t>
      </w:r>
    </w:p>
    <w:p>
      <w:pPr>
        <w:pStyle w:val="Heading1"/>
        <w:keepNext/>
        <w:spacing w:line="252" w:lineRule="auto"/>
      </w:pPr>
      <w:r>
        <w:t>12. Implementation and Verification Status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32"/>
            <w:vAlign w:val="center"/>
            <w:shd w:fill="EAF2F8"/>
            <w:tcMar>
              <w:top w:w="100" w:type="dxa"/>
              <w:start w:w="120" w:type="dxa"/>
              <w:bottom w:w="100" w:type="dxa"/>
              <w:end w:w="120" w:type="dxa"/>
            </w:tcMar>
          </w:tcPr>
          <w:p>
            <w:r>
              <w:rPr>
                <w:rFonts w:ascii="Arial" w:hAnsi="Arial"/>
                <w:b/>
                <w:color w:val="102A43"/>
                <w:sz w:val="18"/>
              </w:rPr>
              <w:t>Capability</w:t>
            </w:r>
          </w:p>
        </w:tc>
        <w:tc>
          <w:tcPr>
            <w:tcW w:type="dxa" w:w="3240"/>
            <w:vAlign w:val="center"/>
            <w:shd w:fill="EAF2F8"/>
            <w:tcMar>
              <w:top w:w="100" w:type="dxa"/>
              <w:start w:w="120" w:type="dxa"/>
              <w:bottom w:w="100" w:type="dxa"/>
              <w:end w:w="120" w:type="dxa"/>
            </w:tcMar>
          </w:tcPr>
          <w:p>
            <w:r>
              <w:rPr>
                <w:rFonts w:ascii="Arial" w:hAnsi="Arial"/>
                <w:b/>
                <w:color w:val="102A43"/>
                <w:sz w:val="18"/>
              </w:rPr>
              <w:t>Current state</w:t>
            </w:r>
          </w:p>
        </w:tc>
        <w:tc>
          <w:tcPr>
            <w:tcW w:type="dxa" w:w="3888"/>
            <w:vAlign w:val="center"/>
            <w:shd w:fill="EAF2F8"/>
            <w:tcMar>
              <w:top w:w="100" w:type="dxa"/>
              <w:start w:w="120" w:type="dxa"/>
              <w:bottom w:w="100" w:type="dxa"/>
              <w:end w:w="120" w:type="dxa"/>
            </w:tcMar>
          </w:tcPr>
          <w:p>
            <w:r>
              <w:rPr>
                <w:rFonts w:ascii="Arial" w:hAnsi="Arial"/>
                <w:b/>
                <w:color w:val="102A43"/>
                <w:sz w:val="18"/>
              </w:rPr>
              <w:t>Evidence boundary</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Typed proposal and state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Closed Pydantic models with operation-specific finite parameter validation and generated JSON Schema</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Local conformance only</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Signed delegation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Ed25519 full-chain validation and attenuation</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Local keys; no SPIRE integration</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Gateway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Fail-closed decision path with replay and freshness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Single process</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Safety and oracle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Separate rule evaluators using a shared surrogate transition</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Not independent physical validation</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Evidence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Hash-chained decision records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Tamper-evident while trusted head is preserved</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Verification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62 tests; ruff and strict mypy clean; 95 percent branch-aware coverage</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Python 3.14 local host; CI not yet observed</w:t>
            </w:r>
          </w:p>
        </w:tc>
      </w:tr>
    </w:tbl>
    <w:p>
      <w:pPr>
        <w:spacing w:after="40"/>
      </w:pPr>
    </w:p>
    <w:p>
      <w:pPr>
        <w:pStyle w:val="Heading1"/>
        <w:keepNext/>
        <w:spacing w:line="252" w:lineRule="auto"/>
      </w:pPr>
      <w:r>
        <w:t>13. Preliminary Controlled Results</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944"/>
            <w:vAlign w:val="center"/>
            <w:shd w:fill="EAF2F8"/>
            <w:tcMar>
              <w:top w:w="100" w:type="dxa"/>
              <w:start w:w="120" w:type="dxa"/>
              <w:bottom w:w="100" w:type="dxa"/>
              <w:end w:w="120" w:type="dxa"/>
            </w:tcMar>
          </w:tcPr>
          <w:p>
            <w:r>
              <w:rPr>
                <w:rFonts w:ascii="Arial" w:hAnsi="Arial"/>
                <w:b/>
                <w:color w:val="102A43"/>
                <w:sz w:val="18"/>
              </w:rPr>
              <w:t>Baseline</w:t>
            </w:r>
          </w:p>
        </w:tc>
        <w:tc>
          <w:tcPr>
            <w:tcW w:type="dxa" w:w="1656"/>
            <w:vAlign w:val="center"/>
            <w:shd w:fill="EAF2F8"/>
            <w:tcMar>
              <w:top w:w="100" w:type="dxa"/>
              <w:start w:w="120" w:type="dxa"/>
              <w:bottom w:w="100" w:type="dxa"/>
              <w:end w:w="120" w:type="dxa"/>
            </w:tcMar>
          </w:tcPr>
          <w:p>
            <w:r>
              <w:rPr>
                <w:rFonts w:ascii="Arial" w:hAnsi="Arial"/>
                <w:b/>
                <w:color w:val="102A43"/>
                <w:sz w:val="18"/>
              </w:rPr>
              <w:t>Unsafe escape</w:t>
            </w:r>
          </w:p>
        </w:tc>
        <w:tc>
          <w:tcPr>
            <w:tcW w:type="dxa" w:w="1512"/>
            <w:vAlign w:val="center"/>
            <w:shd w:fill="EAF2F8"/>
            <w:tcMar>
              <w:top w:w="100" w:type="dxa"/>
              <w:start w:w="120" w:type="dxa"/>
              <w:bottom w:w="100" w:type="dxa"/>
              <w:end w:w="120" w:type="dxa"/>
            </w:tcMar>
          </w:tcPr>
          <w:p>
            <w:r>
              <w:rPr>
                <w:rFonts w:ascii="Arial" w:hAnsi="Arial"/>
                <w:b/>
                <w:color w:val="102A43"/>
                <w:sz w:val="18"/>
              </w:rPr>
              <w:t>False block</w:t>
            </w:r>
          </w:p>
        </w:tc>
        <w:tc>
          <w:tcPr>
            <w:tcW w:type="dxa" w:w="1728"/>
            <w:vAlign w:val="center"/>
            <w:shd w:fill="EAF2F8"/>
            <w:tcMar>
              <w:top w:w="100" w:type="dxa"/>
              <w:start w:w="120" w:type="dxa"/>
              <w:bottom w:w="100" w:type="dxa"/>
              <w:end w:w="120" w:type="dxa"/>
            </w:tcMar>
          </w:tcPr>
          <w:p>
            <w:r>
              <w:rPr>
                <w:rFonts w:ascii="Arial" w:hAnsi="Arial"/>
                <w:b/>
                <w:color w:val="102A43"/>
                <w:sz w:val="18"/>
              </w:rPr>
              <w:t>Mission success</w:t>
            </w:r>
          </w:p>
        </w:tc>
        <w:tc>
          <w:tcPr>
            <w:tcW w:type="dxa" w:w="2520"/>
            <w:vAlign w:val="center"/>
            <w:shd w:fill="EAF2F8"/>
            <w:tcMar>
              <w:top w:w="100" w:type="dxa"/>
              <w:start w:w="120" w:type="dxa"/>
              <w:bottom w:w="100" w:type="dxa"/>
              <w:end w:w="120" w:type="dxa"/>
            </w:tcMar>
          </w:tcPr>
          <w:p>
            <w:r>
              <w:rPr>
                <w:rFonts w:ascii="Arial" w:hAnsi="Arial"/>
                <w:b/>
                <w:color w:val="102A43"/>
                <w:sz w:val="18"/>
              </w:rPr>
              <w:t>Mean latency</w:t>
            </w:r>
          </w:p>
        </w:tc>
      </w:tr>
      <w:tr>
        <w:tc>
          <w:tcPr>
            <w:tcW w:type="dxa" w:w="1944"/>
            <w:vAlign w:val="center"/>
            <w:tcMar>
              <w:top w:w="100" w:type="dxa"/>
              <w:start w:w="120" w:type="dxa"/>
              <w:bottom w:w="100" w:type="dxa"/>
              <w:end w:w="120" w:type="dxa"/>
            </w:tcMar>
          </w:tcPr>
          <w:p>
            <w:pPr>
              <w:spacing w:after="0"/>
            </w:pPr>
            <w:r>
              <w:rPr>
                <w:rFonts w:ascii="Arial" w:hAnsi="Arial"/>
                <w:b w:val="0"/>
                <w:color w:val="102A43"/>
                <w:sz w:val="17"/>
              </w:rPr>
              <w:t>B0_DIRECT</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100%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52%</w:t>
            </w:r>
          </w:p>
        </w:tc>
        <w:tc>
          <w:tcPr>
            <w:tcW w:type="dxa" w:w="2520"/>
            <w:vAlign w:val="center"/>
            <w:tcMar>
              <w:top w:w="100" w:type="dxa"/>
              <w:start w:w="120" w:type="dxa"/>
              <w:bottom w:w="100" w:type="dxa"/>
              <w:end w:w="120" w:type="dxa"/>
            </w:tcMar>
          </w:tcPr>
          <w:p>
            <w:pPr>
              <w:spacing w:after="0"/>
            </w:pPr>
            <w:r>
              <w:rPr>
                <w:rFonts w:ascii="Arial" w:hAnsi="Arial"/>
                <w:b w:val="0"/>
                <w:color w:val="102A43"/>
                <w:sz w:val="17"/>
              </w:rPr>
              <w:t>0.0001 ms</w:t>
            </w:r>
          </w:p>
        </w:tc>
      </w:tr>
      <w:tr>
        <w:tc>
          <w:tcPr>
            <w:tcW w:type="dxa" w:w="1944"/>
            <w:vAlign w:val="center"/>
            <w:tcMar>
              <w:top w:w="100" w:type="dxa"/>
              <w:start w:w="120" w:type="dxa"/>
              <w:bottom w:w="100" w:type="dxa"/>
              <w:end w:w="120" w:type="dxa"/>
            </w:tcMar>
          </w:tcPr>
          <w:p>
            <w:pPr>
              <w:spacing w:after="0"/>
            </w:pPr>
            <w:r>
              <w:rPr>
                <w:rFonts w:ascii="Arial" w:hAnsi="Arial"/>
                <w:b w:val="0"/>
                <w:color w:val="102A43"/>
                <w:sz w:val="17"/>
              </w:rPr>
              <w:t>B1_IDENTITY</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100%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52%</w:t>
            </w:r>
          </w:p>
        </w:tc>
        <w:tc>
          <w:tcPr>
            <w:tcW w:type="dxa" w:w="2520"/>
            <w:vAlign w:val="center"/>
            <w:tcMar>
              <w:top w:w="100" w:type="dxa"/>
              <w:start w:w="120" w:type="dxa"/>
              <w:bottom w:w="100" w:type="dxa"/>
              <w:end w:w="120" w:type="dxa"/>
            </w:tcMar>
          </w:tcPr>
          <w:p>
            <w:pPr>
              <w:spacing w:after="0"/>
            </w:pPr>
            <w:r>
              <w:rPr>
                <w:rFonts w:ascii="Arial" w:hAnsi="Arial"/>
                <w:b w:val="0"/>
                <w:color w:val="102A43"/>
                <w:sz w:val="17"/>
              </w:rPr>
              <w:t>0.0001 ms</w:t>
            </w:r>
          </w:p>
        </w:tc>
      </w:tr>
      <w:tr>
        <w:tc>
          <w:tcPr>
            <w:tcW w:type="dxa" w:w="1944"/>
            <w:vAlign w:val="center"/>
            <w:tcMar>
              <w:top w:w="100" w:type="dxa"/>
              <w:start w:w="120" w:type="dxa"/>
              <w:bottom w:w="100" w:type="dxa"/>
              <w:end w:w="120" w:type="dxa"/>
            </w:tcMar>
          </w:tcPr>
          <w:p>
            <w:pPr>
              <w:spacing w:after="0"/>
            </w:pPr>
            <w:r>
              <w:rPr>
                <w:rFonts w:ascii="Arial" w:hAnsi="Arial"/>
                <w:b w:val="0"/>
                <w:color w:val="102A43"/>
                <w:sz w:val="17"/>
              </w:rPr>
              <w:t>B2_STATIC_POLICY</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100%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52%</w:t>
            </w:r>
          </w:p>
        </w:tc>
        <w:tc>
          <w:tcPr>
            <w:tcW w:type="dxa" w:w="2520"/>
            <w:vAlign w:val="center"/>
            <w:tcMar>
              <w:top w:w="100" w:type="dxa"/>
              <w:start w:w="120" w:type="dxa"/>
              <w:bottom w:w="100" w:type="dxa"/>
              <w:end w:w="120" w:type="dxa"/>
            </w:tcMar>
          </w:tcPr>
          <w:p>
            <w:pPr>
              <w:spacing w:after="0"/>
            </w:pPr>
            <w:r>
              <w:rPr>
                <w:rFonts w:ascii="Arial" w:hAnsi="Arial"/>
                <w:b w:val="0"/>
                <w:color w:val="102A43"/>
                <w:sz w:val="17"/>
              </w:rPr>
              <w:t>0.0002 ms</w:t>
            </w:r>
          </w:p>
        </w:tc>
      </w:tr>
      <w:tr>
        <w:tc>
          <w:tcPr>
            <w:tcW w:type="dxa" w:w="1944"/>
            <w:vAlign w:val="center"/>
            <w:tcMar>
              <w:top w:w="100" w:type="dxa"/>
              <w:start w:w="120" w:type="dxa"/>
              <w:bottom w:w="100" w:type="dxa"/>
              <w:end w:w="120" w:type="dxa"/>
            </w:tcMar>
          </w:tcPr>
          <w:p>
            <w:pPr>
              <w:spacing w:after="0"/>
            </w:pPr>
            <w:r>
              <w:rPr>
                <w:rFonts w:ascii="Arial" w:hAnsi="Arial"/>
                <w:b w:val="0"/>
                <w:color w:val="102A43"/>
                <w:sz w:val="17"/>
              </w:rPr>
              <w:t>B3_ASSURED</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512"/>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100%</w:t>
            </w:r>
          </w:p>
        </w:tc>
        <w:tc>
          <w:tcPr>
            <w:tcW w:type="dxa" w:w="2520"/>
            <w:vAlign w:val="center"/>
            <w:tcMar>
              <w:top w:w="100" w:type="dxa"/>
              <w:start w:w="120" w:type="dxa"/>
              <w:bottom w:w="100" w:type="dxa"/>
              <w:end w:w="120" w:type="dxa"/>
            </w:tcMar>
          </w:tcPr>
          <w:p>
            <w:pPr>
              <w:spacing w:after="0"/>
            </w:pPr>
            <w:r>
              <w:rPr>
                <w:rFonts w:ascii="Arial" w:hAnsi="Arial"/>
                <w:b w:val="0"/>
                <w:color w:val="102A43"/>
                <w:sz w:val="17"/>
              </w:rPr>
              <w:t>1.0545 ms</w:t>
            </w:r>
          </w:p>
        </w:tc>
      </w:tr>
    </w:tbl>
    <w:p>
      <w:pPr>
        <w:spacing w:after="40"/>
      </w:pPr>
    </w:p>
    <w:p>
      <w:pPr>
        <w:jc w:val="center"/>
      </w:pPr>
      <w:r>
        <w:drawing>
          <wp:inline xmlns:a="http://schemas.openxmlformats.org/drawingml/2006/main" xmlns:pic="http://schemas.openxmlformats.org/drawingml/2006/picture">
            <wp:extent cx="5715000" cy="3492500"/>
            <wp:docPr id="3" name="Picture 3" descr="Grouped bar chart comparing unsafe-action escape and mission success for direct, identity-only, static-policy, and assured baselines over 200 shared-seed synthetic trials." title="Grouped bar chart comparing unsafe-action escape and mission success for direct, identity-only, static-policy, and assured baselines over 200 shared-seed synthetic trials"/>
            <wp:cNvGraphicFramePr>
              <a:graphicFrameLocks noChangeAspect="1"/>
            </wp:cNvGraphicFramePr>
            <a:graphic>
              <a:graphicData uri="http://schemas.openxmlformats.org/drawingml/2006/picture">
                <pic:pic>
                  <pic:nvPicPr>
                    <pic:cNvPr id="0" name="baseline_results.png"/>
                    <pic:cNvPicPr/>
                  </pic:nvPicPr>
                  <pic:blipFill>
                    <a:blip r:embed="rId11"/>
                    <a:stretch>
                      <a:fillRect/>
                    </a:stretch>
                  </pic:blipFill>
                  <pic:spPr>
                    <a:xfrm>
                      <a:off x="0" y="0"/>
                      <a:ext cx="5715000" cy="3492500"/>
                    </a:xfrm>
                    <a:prstGeom prst="rect"/>
                  </pic:spPr>
                </pic:pic>
              </a:graphicData>
            </a:graphic>
          </wp:inline>
        </w:drawing>
      </w:r>
    </w:p>
    <w:p>
      <w:pPr>
        <w:keepNext/>
        <w:jc w:val="center"/>
      </w:pPr>
      <w:r>
        <w:rPr>
          <w:rFonts w:ascii="Arial" w:hAnsi="Arial"/>
          <w:b/>
          <w:color w:val="52606D"/>
          <w:sz w:val="18"/>
        </w:rPr>
        <w:t>Figure 3. Preliminary synthetic baseline outcomes.</w:t>
      </w:r>
    </w:p>
    <w:p>
      <w:pPr>
        <w:spacing w:after="160" w:line="293" w:lineRule="auto"/>
      </w:pPr>
      <w:r>
        <w:rPr>
          <w:rFonts w:ascii="Arial" w:hAnsi="Arial"/>
          <w:b w:val="0"/>
          <w:color w:val="102A43"/>
          <w:sz w:val="21"/>
        </w:rPr>
        <w:t>Interpretation: the result demonstrates that the implemented assured path blocks the unsafe conditions encoded by the initial surrogate while permitting all encoded safe conditions. It does not demonstrate that real agents, PLCs, grids, operators, or incidents would produce the same result. The zero disagreement count is expected because both evaluators apply equivalent limits to the same simplified predicted state.</w:t>
      </w:r>
    </w:p>
    <w:p>
      <w:pPr>
        <w:pStyle w:val="Heading1"/>
        <w:keepNext/>
        <w:spacing w:line="252" w:lineRule="auto"/>
      </w:pPr>
      <w:r>
        <w:t>14. Multi-VM Integration Plan</w:t>
      </w:r>
    </w:p>
    <w:p>
      <w:pPr>
        <w:spacing w:after="160" w:line="293" w:lineRule="auto"/>
      </w:pPr>
      <w:r>
        <w:rPr>
          <w:rFonts w:ascii="Arial" w:hAnsi="Arial"/>
          <w:b w:val="0"/>
          <w:color w:val="102A43"/>
          <w:sz w:val="21"/>
        </w:rPr>
        <w:t>The six-node scaffold separates management, trust, agent, gateway, OT, and simulation functions. The gateway must become the only routed path between the agent network and the OT environment. Exit evidence includes route and firewall inspection, negative connectivity tests, packet capture, gateway partition behavior, and host-specific deployment documentation. The present Vagrant file is an unvalidated VirtualBox scaffold; it is not evidence that a six-VM range has been deployed.</w:t>
      </w:r>
    </w:p>
    <w:p>
      <w:pPr>
        <w:pStyle w:val="Heading1"/>
        <w:keepNext/>
        <w:spacing w:line="252" w:lineRule="auto"/>
      </w:pPr>
      <w:r>
        <w:t>15. Operate-Through-Compromise Test Program</w:t>
      </w:r>
    </w:p>
    <w:p>
      <w:pPr>
        <w:pStyle w:val="ListBullet"/>
        <w:spacing w:after="120" w:line="288" w:lineRule="auto"/>
        <w:ind w:left="720" w:hanging="360"/>
      </w:pPr>
      <w:r>
        <w:rPr>
          <w:rFonts w:ascii="Arial" w:hAnsi="Arial"/>
          <w:b w:val="0"/>
          <w:color w:val="102A43"/>
          <w:sz w:val="21"/>
        </w:rPr>
        <w:t>Compromise a leaf agent while unrelated agents retain bounded mission functions.</w:t>
      </w:r>
    </w:p>
    <w:p>
      <w:pPr>
        <w:pStyle w:val="ListBullet"/>
        <w:spacing w:after="120" w:line="288" w:lineRule="auto"/>
        <w:ind w:left="720" w:hanging="360"/>
      </w:pPr>
      <w:r>
        <w:rPr>
          <w:rFonts w:ascii="Arial" w:hAnsi="Arial"/>
          <w:b w:val="0"/>
          <w:color w:val="102A43"/>
          <w:sz w:val="21"/>
        </w:rPr>
        <w:t>Compromise or revoke a supervisor and measure descendant authority and propagation delay.</w:t>
      </w:r>
    </w:p>
    <w:p>
      <w:pPr>
        <w:pStyle w:val="ListBullet"/>
        <w:spacing w:after="120" w:line="288" w:lineRule="auto"/>
        <w:ind w:left="720" w:hanging="360"/>
      </w:pPr>
      <w:r>
        <w:rPr>
          <w:rFonts w:ascii="Arial" w:hAnsi="Arial"/>
          <w:b w:val="0"/>
          <w:color w:val="102A43"/>
          <w:sz w:val="21"/>
        </w:rPr>
        <w:t>Remove identity, policy, evidence, or gateway services and measure fail-closed behavior and recovery capacity.</w:t>
      </w:r>
    </w:p>
    <w:p>
      <w:pPr>
        <w:pStyle w:val="ListBullet"/>
        <w:spacing w:after="120" w:line="288" w:lineRule="auto"/>
        <w:ind w:left="720" w:hanging="360"/>
      </w:pPr>
      <w:r>
        <w:rPr>
          <w:rFonts w:ascii="Arial" w:hAnsi="Arial"/>
          <w:b w:val="0"/>
          <w:color w:val="102A43"/>
          <w:sz w:val="21"/>
        </w:rPr>
        <w:t>Inject delayed, replayed, biased, or contradictory telemetry and measure state-aware authorization value.</w:t>
      </w:r>
    </w:p>
    <w:p>
      <w:pPr>
        <w:pStyle w:val="ListBullet"/>
        <w:spacing w:after="120" w:line="288" w:lineRule="auto"/>
        <w:ind w:left="720" w:hanging="360"/>
      </w:pPr>
      <w:r>
        <w:rPr>
          <w:rFonts w:ascii="Arial" w:hAnsi="Arial"/>
          <w:b w:val="0"/>
          <w:color w:val="102A43"/>
          <w:sz w:val="21"/>
        </w:rPr>
        <w:t>Define quarantine and recovery authority before execution; do not introduce an emergency bypass that recreates direct control.</w:t>
      </w:r>
    </w:p>
    <w:p>
      <w:pPr>
        <w:pStyle w:val="Heading1"/>
        <w:keepNext/>
        <w:spacing w:line="252" w:lineRule="auto"/>
      </w:pPr>
      <w:r>
        <w:t>16. Scale and Economic Analysis Plan</w:t>
      </w:r>
    </w:p>
    <w:p>
      <w:pPr>
        <w:spacing w:after="160" w:line="293" w:lineRule="auto"/>
      </w:pPr>
      <w:r>
        <w:rPr>
          <w:rFonts w:ascii="Arial" w:hAnsi="Arial"/>
          <w:b w:val="0"/>
          <w:color w:val="102A43"/>
          <w:sz w:val="21"/>
        </w:rPr>
        <w:t>Fleet experiments will use logical identities and synthetic authorization workloads at 10, 100, 1,000, and 10,000 agents rather than one VM per agent. Measures include throughput, queue delay, delegation graph complexity, revocation propagation, policy distribution, evidence volume, operator span, incident-response effort, and marginal governance cost. Any cost finding will state labor rates, infrastructure assumptions, utilization, retention, and sensitivity ranges.</w:t>
      </w:r>
    </w:p>
    <w:p>
      <w:pPr>
        <w:pStyle w:val="Heading1"/>
        <w:keepNext/>
        <w:spacing w:line="252" w:lineRule="auto"/>
      </w:pPr>
      <w:r>
        <w:t>17. Reproducibility and Data Management</w:t>
      </w:r>
    </w:p>
    <w:p>
      <w:pPr>
        <w:spacing w:after="160" w:line="293" w:lineRule="auto"/>
      </w:pPr>
      <w:r>
        <w:rPr>
          <w:rFonts w:ascii="Arial" w:hAnsi="Arial"/>
          <w:b w:val="0"/>
          <w:color w:val="102A43"/>
          <w:sz w:val="21"/>
        </w:rPr>
        <w:t>The experiment manifest records the working-tree state, configuration hash, master and individual seeds, baseline definitions, component versions, host details, raw-data path, SHA-256 result hash, analyst, and known limitations. Raw JSONL is retained separately from derived summaries. The exploratory run that used different seed sets across baselines is preserved under results/exploratory-invalid-independent-seeds and excluded from controlled comparison.</w:t>
      </w:r>
    </w:p>
    <w:p>
      <w:pPr>
        <w:pStyle w:val="Heading1"/>
        <w:keepNext/>
        <w:spacing w:line="252" w:lineRule="auto"/>
      </w:pPr>
      <w:r>
        <w:t>18. Risks, Limitations, and Validity Threats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376"/>
            <w:vAlign w:val="center"/>
            <w:shd w:fill="EAF2F8"/>
            <w:tcMar>
              <w:top w:w="100" w:type="dxa"/>
              <w:start w:w="120" w:type="dxa"/>
              <w:bottom w:w="100" w:type="dxa"/>
              <w:end w:w="120" w:type="dxa"/>
            </w:tcMar>
          </w:tcPr>
          <w:p>
            <w:r>
              <w:rPr>
                <w:rFonts w:ascii="Arial" w:hAnsi="Arial"/>
                <w:b/>
                <w:color w:val="102A43"/>
                <w:sz w:val="18"/>
              </w:rPr>
              <w:t>Threat to validity</w:t>
            </w:r>
          </w:p>
        </w:tc>
        <w:tc>
          <w:tcPr>
            <w:tcW w:type="dxa" w:w="3240"/>
            <w:vAlign w:val="center"/>
            <w:shd w:fill="EAF2F8"/>
            <w:tcMar>
              <w:top w:w="100" w:type="dxa"/>
              <w:start w:w="120" w:type="dxa"/>
              <w:bottom w:w="100" w:type="dxa"/>
              <w:end w:w="120" w:type="dxa"/>
            </w:tcMar>
          </w:tcPr>
          <w:p>
            <w:r>
              <w:rPr>
                <w:rFonts w:ascii="Arial" w:hAnsi="Arial"/>
                <w:b/>
                <w:color w:val="102A43"/>
                <w:sz w:val="18"/>
              </w:rPr>
              <w:t>Current consequence</w:t>
            </w:r>
          </w:p>
        </w:tc>
        <w:tc>
          <w:tcPr>
            <w:tcW w:type="dxa" w:w="3744"/>
            <w:vAlign w:val="center"/>
            <w:shd w:fill="EAF2F8"/>
            <w:tcMar>
              <w:top w:w="100" w:type="dxa"/>
              <w:start w:w="120" w:type="dxa"/>
              <w:bottom w:w="100" w:type="dxa"/>
              <w:end w:w="120" w:type="dxa"/>
            </w:tcMar>
          </w:tcPr>
          <w:p>
            <w:r>
              <w:rPr>
                <w:rFonts w:ascii="Arial" w:hAnsi="Arial"/>
                <w:b/>
                <w:color w:val="102A43"/>
                <w:sz w:val="18"/>
              </w:rPr>
              <w:t>Required mitigation</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Shared transition model</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Kernel and oracle disagreement is not a strong independence test</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Use a separately executed power-flow simulator and reviewed truth set</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Weak baselines</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Effect size can be inflated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Add contextual ABAC, risk-aware, and ablation baselines</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Synthetic prevalence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Rates do not estimate incident likelihood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Report conditional scenario performance only</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Single host</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Trust boundaries and availability are untested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Deploy and negatively test independent services and networks</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One seed set</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Uncertainty is not characterized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Use at least 30 independent seeds per condition and confidence intervals</w:t>
            </w:r>
          </w:p>
        </w:tc>
      </w:tr>
    </w:tbl>
    <w:p>
      <w:pPr>
        <w:spacing w:after="40"/>
      </w:pPr>
    </w:p>
    <w:p>
      <w:pPr>
        <w:pStyle w:val="Heading1"/>
        <w:keepNext/>
        <w:spacing w:line="252" w:lineRule="auto"/>
      </w:pPr>
      <w:r>
        <w:t>19. Work Plan and Completion Criteria</w:t>
      </w:r>
    </w:p>
    <w:p>
      <w:pPr>
        <w:spacing w:after="160" w:line="293" w:lineRule="auto"/>
      </w:pPr>
      <w:r>
        <w:rPr>
          <w:rFonts w:ascii="Arial" w:hAnsi="Arial"/>
          <w:b w:val="0"/>
          <w:color w:val="102A43"/>
          <w:sz w:val="21"/>
        </w:rPr>
        <w:t>The project advances through controlled governance, executable-kernel, formal-conformance, single-host experiment, physical and PLC integration, multi-node trust-boundary, operate-through-compromise, fleet-scale/economics, and independent-validation gates. A demonstration, green test suite, or perfect synthetic baseline does not satisfy the final completion definition.</w:t>
      </w:r>
    </w:p>
    <w:p>
      <w:pPr>
        <w:pStyle w:val="Heading1"/>
        <w:keepNext/>
        <w:spacing w:line="252" w:lineRule="auto"/>
      </w:pPr>
      <w:r>
        <w:t>20. Conclusions</w:t>
      </w:r>
    </w:p>
    <w:p>
      <w:pPr>
        <w:spacing w:after="160" w:line="293" w:lineRule="auto"/>
      </w:pPr>
      <w:r>
        <w:rPr>
          <w:rFonts w:ascii="Arial" w:hAnsi="Arial"/>
          <w:b w:val="0"/>
          <w:color w:val="102A43"/>
          <w:sz w:val="21"/>
        </w:rPr>
        <w:t>The reconstructed v0.1 foundation is sufficient to test a narrow proposition: under its explicit synthetic rules, the gateway can distinguish safe from unsafe isolation proposals and preserve evidence of the decision. It is not sufficient to conclude that autonomous agents can be trusted on real critical infrastructure. The next defensible advance is independent model checking and physical outcome evaluation, followed by stronger baselines and deployed trust boundaries.</w:t>
      </w:r>
    </w:p>
    <w:p>
      <w:pPr>
        <w:pStyle w:val="Heading1"/>
        <w:keepNext/>
        <w:spacing w:line="252" w:lineRule="auto"/>
      </w:pPr>
      <w:r>
        <w:t>21. References</w:t>
      </w:r>
    </w:p>
    <w:p>
      <w:pPr>
        <w:pStyle w:val="ListBullet"/>
        <w:spacing w:after="120" w:line="288" w:lineRule="auto"/>
        <w:ind w:left="720" w:hanging="360"/>
      </w:pPr>
      <w:r>
        <w:rPr>
          <w:rFonts w:ascii="Arial" w:hAnsi="Arial"/>
          <w:b w:val="0"/>
          <w:color w:val="102A43"/>
          <w:sz w:val="21"/>
        </w:rPr>
        <w:t>National Institute of Standards and Technology. Guide to Operational Technology (OT) Security. NIST SP 800-82 Rev. 3, September 2023. https://doi.org/10.6028/NIST.SP.800-82r3. Retrieved 2026-08-24.</w:t>
      </w:r>
    </w:p>
    <w:p>
      <w:pPr>
        <w:pStyle w:val="ListBullet"/>
        <w:spacing w:after="120" w:line="288" w:lineRule="auto"/>
        <w:ind w:left="720" w:hanging="360"/>
      </w:pPr>
      <w:r>
        <w:rPr>
          <w:rFonts w:ascii="Arial" w:hAnsi="Arial"/>
          <w:b w:val="0"/>
          <w:color w:val="102A43"/>
          <w:sz w:val="21"/>
        </w:rPr>
        <w:t>National Institute of Standards and Technology. Zero Trust Architecture. NIST SP 800-207, August 2020. https://doi.org/10.6028/NIST.SP.800-207. Retrieved 2026-08-24.</w:t>
      </w:r>
    </w:p>
    <w:p>
      <w:pPr>
        <w:pStyle w:val="ListBullet"/>
        <w:spacing w:after="120" w:line="288" w:lineRule="auto"/>
        <w:ind w:left="720" w:hanging="360"/>
      </w:pPr>
      <w:r>
        <w:rPr>
          <w:rFonts w:ascii="Arial" w:hAnsi="Arial"/>
          <w:b w:val="0"/>
          <w:color w:val="102A43"/>
          <w:sz w:val="21"/>
        </w:rPr>
        <w:t>National Institute of Standards and Technology. A Zero Trust Architecture Model for Access Control in Cloud-Native Applications in Multi-Cloud Environments. NIST SP 800-207A, September 2023. https://doi.org/10.6028/NIST.SP.800-207A. Retrieved 2026-08-24.</w:t>
      </w:r>
    </w:p>
    <w:p>
      <w:pPr>
        <w:pStyle w:val="ListBullet"/>
        <w:spacing w:after="120" w:line="288" w:lineRule="auto"/>
        <w:ind w:left="720" w:hanging="360"/>
      </w:pPr>
      <w:r>
        <w:rPr>
          <w:rFonts w:ascii="Arial" w:hAnsi="Arial"/>
          <w:b w:val="0"/>
          <w:color w:val="102A43"/>
          <w:sz w:val="21"/>
        </w:rPr>
        <w:t>SPIFFE Project. The SPIFFE Standard and Workload API, specification v1.15.2. https://spiffe.io/docs/latest/spiffe-specs/. Retrieved 2026-08-24.</w:t>
      </w:r>
    </w:p>
    <w:p>
      <w:pPr>
        <w:pStyle w:val="ListBullet"/>
        <w:spacing w:after="120" w:line="288" w:lineRule="auto"/>
        <w:ind w:left="720" w:hanging="360"/>
      </w:pPr>
      <w:r>
        <w:rPr>
          <w:rFonts w:ascii="Arial" w:hAnsi="Arial"/>
          <w:b w:val="0"/>
          <w:color w:val="102A43"/>
          <w:sz w:val="21"/>
        </w:rPr>
        <w:t>Open Policy Agent. Policy Language and deployment documentation. https://www.openpolicyagent.org/docs/policy-language. Retrieved 2026-08-24.</w:t>
      </w:r>
    </w:p>
    <w:p>
      <w:pPr>
        <w:pStyle w:val="Heading1"/>
        <w:keepNext/>
        <w:spacing w:line="252" w:lineRule="auto"/>
      </w:pPr>
      <w:r>
        <w:t>22. Requirements Traceability Appendix</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512"/>
            <w:vAlign w:val="center"/>
            <w:shd w:fill="EAF2F8"/>
            <w:tcMar>
              <w:top w:w="100" w:type="dxa"/>
              <w:start w:w="120" w:type="dxa"/>
              <w:bottom w:w="100" w:type="dxa"/>
              <w:end w:w="120" w:type="dxa"/>
            </w:tcMar>
          </w:tcPr>
          <w:p>
            <w:r>
              <w:rPr>
                <w:rFonts w:ascii="Arial" w:hAnsi="Arial"/>
                <w:b/>
                <w:color w:val="102A43"/>
                <w:sz w:val="18"/>
              </w:rPr>
              <w:t>Requirement</w:t>
            </w:r>
          </w:p>
        </w:tc>
        <w:tc>
          <w:tcPr>
            <w:tcW w:type="dxa" w:w="2592"/>
            <w:vAlign w:val="center"/>
            <w:shd w:fill="EAF2F8"/>
            <w:tcMar>
              <w:top w:w="100" w:type="dxa"/>
              <w:start w:w="120" w:type="dxa"/>
              <w:bottom w:w="100" w:type="dxa"/>
              <w:end w:w="120" w:type="dxa"/>
            </w:tcMar>
          </w:tcPr>
          <w:p>
            <w:r>
              <w:rPr>
                <w:rFonts w:ascii="Arial" w:hAnsi="Arial"/>
                <w:b/>
                <w:color w:val="102A43"/>
                <w:sz w:val="18"/>
              </w:rPr>
              <w:t>Implementation</w:t>
            </w:r>
          </w:p>
        </w:tc>
        <w:tc>
          <w:tcPr>
            <w:tcW w:type="dxa" w:w="3240"/>
            <w:vAlign w:val="center"/>
            <w:shd w:fill="EAF2F8"/>
            <w:tcMar>
              <w:top w:w="100" w:type="dxa"/>
              <w:start w:w="120" w:type="dxa"/>
              <w:bottom w:w="100" w:type="dxa"/>
              <w:end w:w="120" w:type="dxa"/>
            </w:tcMar>
          </w:tcPr>
          <w:p>
            <w:r>
              <w:rPr>
                <w:rFonts w:ascii="Arial" w:hAnsi="Arial"/>
                <w:b/>
                <w:color w:val="102A43"/>
                <w:sz w:val="18"/>
              </w:rPr>
              <w:t>Test/evidence</w:t>
            </w:r>
          </w:p>
        </w:tc>
        <w:tc>
          <w:tcPr>
            <w:tcW w:type="dxa" w:w="2016"/>
            <w:vAlign w:val="center"/>
            <w:shd w:fill="EAF2F8"/>
            <w:tcMar>
              <w:top w:w="100" w:type="dxa"/>
              <w:start w:w="120" w:type="dxa"/>
              <w:bottom w:w="100" w:type="dxa"/>
              <w:end w:w="120" w:type="dxa"/>
            </w:tcMar>
          </w:tcPr>
          <w:p>
            <w:r>
              <w:rPr>
                <w:rFonts w:ascii="Arial" w:hAnsi="Arial"/>
                <w:b/>
                <w:color w:val="102A43"/>
                <w:sz w:val="18"/>
              </w:rPr>
              <w:t>Residual gap</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REQ-AUTH-001</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gateway.py; identity.py; delegation.py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test_unknown_identity; test_valid_full_chain</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SPIRE service</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REQ-DELEG-002</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delegation.py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Full-chain negative tests covering scope, time, depth, signature, expiry, revocation, and linkage</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Mutation testing and distributed revocation remain absent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REQ-SAFE-003</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safety.py; oracle.py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Hypothesis comparison and unsafe denial</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Shared transition model</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REQ-REPLAY-004</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replay.py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Concurrent reservation and retention tests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Distributed replay store absent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REQ-EVID-005</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evidence.py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Chain integrity and tampering tests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signature or external anchor</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REQ-TOCTOU-006</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lab.py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State-version change integration test</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real PLC acknowledgment</w:t>
            </w:r>
          </w:p>
        </w:tc>
      </w:tr>
    </w:tbl>
    <w:p>
      <w:pPr>
        <w:spacing w:after="40"/>
      </w:pPr>
    </w:p>
    <w:p>
      <w:pPr>
        <w:pStyle w:val="Heading1"/>
        <w:keepNext/>
        <w:spacing w:line="252" w:lineRule="auto"/>
      </w:pPr>
      <w:r>
        <w:t>23. Data and Message Schemas Appendix</w:t>
      </w:r>
    </w:p>
    <w:p>
      <w:pPr>
        <w:spacing w:after="160" w:line="293" w:lineRule="auto"/>
      </w:pPr>
      <w:r>
        <w:rPr>
          <w:rFonts w:ascii="Arial" w:hAnsi="Arial"/>
          <w:b w:val="0"/>
          <w:color w:val="102A43"/>
          <w:sz w:val="21"/>
        </w:rPr>
        <w:t>The ActionProposal schema binds actor, mission, resource, operation, parameters, observed state and time, submission time, nonce, confidence, risk score, delegation chain, and optional approval identifier. Operation-specific parameter sets are closed, and non-finite numeric inputs, out-of-range percentages, extra fields, and timezone-naive timestamps are rejected at the validation boundary. The committed JSON Schema is generated from the authoritative Pydantic model and checked for drift in CI. Decision records bind outcome, reasons, policy and safety versions, state version, decision time, and evidence-record hash.</w:t>
      </w:r>
    </w:p>
    <w:p>
      <w:pPr>
        <w:pStyle w:val="Heading1"/>
        <w:keepNext/>
        <w:spacing w:line="252" w:lineRule="auto"/>
      </w:pPr>
      <w:r>
        <w:t>24. Reproduction Runbook Appendix</w:t>
      </w:r>
    </w:p>
    <w:p>
      <w:pPr>
        <w:pStyle w:val="ListBullet"/>
        <w:spacing w:after="120" w:line="288" w:lineRule="auto"/>
        <w:ind w:left="720" w:hanging="360"/>
      </w:pPr>
      <w:r>
        <w:rPr>
          <w:rFonts w:ascii="Arial" w:hAnsi="Arial"/>
          <w:b w:val="0"/>
          <w:color w:val="102A43"/>
          <w:sz w:val="21"/>
        </w:rPr>
        <w:t>Create and activate a clean Python 3.11-or-later virtual environment.</w:t>
      </w:r>
    </w:p>
    <w:p>
      <w:pPr>
        <w:pStyle w:val="ListBullet"/>
        <w:spacing w:after="120" w:line="288" w:lineRule="auto"/>
        <w:ind w:left="720" w:hanging="360"/>
      </w:pPr>
      <w:r>
        <w:rPr>
          <w:rFonts w:ascii="Arial" w:hAnsi="Arial"/>
          <w:b w:val="0"/>
          <w:color w:val="102A43"/>
          <w:sz w:val="21"/>
        </w:rPr>
        <w:t>Install with pip install -e ".[dev,docs]"; do not rely on PYTHONPATH.</w:t>
      </w:r>
    </w:p>
    <w:p>
      <w:pPr>
        <w:pStyle w:val="ListBullet"/>
        <w:spacing w:after="120" w:line="288" w:lineRule="auto"/>
        <w:ind w:left="720" w:hanging="360"/>
      </w:pPr>
      <w:r>
        <w:rPr>
          <w:rFonts w:ascii="Arial" w:hAnsi="Arial"/>
          <w:b w:val="0"/>
          <w:color w:val="102A43"/>
          <w:sz w:val="21"/>
        </w:rPr>
        <w:t>Run python scripts/export_schemas.py --check, ruff check ., mypy src, and pytest --cov=aegis_ot --cov-branch --cov-report=term-missing --cov-fail-under=90.</w:t>
      </w:r>
    </w:p>
    <w:p>
      <w:pPr>
        <w:pStyle w:val="ListBullet"/>
        <w:spacing w:after="120" w:line="288" w:lineRule="auto"/>
        <w:ind w:left="720" w:hanging="360"/>
      </w:pPr>
      <w:r>
        <w:rPr>
          <w:rFonts w:ascii="Arial" w:hAnsi="Arial"/>
          <w:b w:val="0"/>
          <w:color w:val="102A43"/>
          <w:sz w:val="21"/>
        </w:rPr>
        <w:t>Run python -m aegis_ot demo --output-dir results/demo.</w:t>
      </w:r>
    </w:p>
    <w:p>
      <w:pPr>
        <w:pStyle w:val="ListBullet"/>
        <w:spacing w:after="120" w:line="288" w:lineRule="auto"/>
        <w:ind w:left="720" w:hanging="360"/>
      </w:pPr>
      <w:r>
        <w:rPr>
          <w:rFonts w:ascii="Arial" w:hAnsi="Arial"/>
          <w:b w:val="0"/>
          <w:color w:val="102A43"/>
          <w:sz w:val="21"/>
        </w:rPr>
        <w:t>Run python -m aegis_ot experiment --trials 200 --seed 20260824 --output-dir results/reproduction-v0.1.</w:t>
      </w:r>
    </w:p>
    <w:p>
      <w:pPr>
        <w:pStyle w:val="ListBullet"/>
        <w:spacing w:after="120" w:line="288" w:lineRule="auto"/>
        <w:ind w:left="720" w:hanging="360"/>
      </w:pPr>
      <w:r>
        <w:rPr>
          <w:rFonts w:ascii="Arial" w:hAnsi="Arial"/>
          <w:b w:val="0"/>
          <w:color w:val="102A43"/>
          <w:sz w:val="21"/>
        </w:rPr>
        <w:t>Verify the manifest raw-data hash and dirty-tree declaration before reporting results.</w:t>
      </w:r>
    </w:p>
    <w:p>
      <w:pPr>
        <w:pStyle w:val="ListBullet"/>
        <w:spacing w:after="120" w:line="288" w:lineRule="auto"/>
        <w:ind w:left="720" w:hanging="360"/>
      </w:pPr>
      <w:r>
        <w:rPr>
          <w:rFonts w:ascii="Arial" w:hAnsi="Arial"/>
          <w:b w:val="0"/>
          <w:color w:val="102A43"/>
          <w:sz w:val="21"/>
        </w:rPr>
        <w:t>Build figures and the canonical document from committed scripts, then render and inspect every page.</w:t>
      </w:r>
    </w:p>
    <w:p>
      <w:pPr>
        <w:pStyle w:val="Heading1"/>
        <w:keepNext/>
        <w:spacing w:line="252" w:lineRule="auto"/>
      </w:pPr>
      <w:r>
        <w:t>25. Version-Control Audit Trail Appendix</w:t>
      </w:r>
    </w:p>
    <w:p>
      <w:pPr>
        <w:spacing w:after="160" w:line="293" w:lineRule="auto"/>
      </w:pPr>
      <w:r>
        <w:rPr>
          <w:rFonts w:ascii="Arial" w:hAnsi="Arial"/>
          <w:b w:val="0"/>
          <w:color w:val="102A43"/>
          <w:sz w:val="21"/>
        </w:rPr>
        <w:t>This reconstruction begins a new Git history because the original package and its local uncommitted state were unavailable. No earlier commit hash is represented as an ancestor of this repository. Commit e94e47f records the reconstructed v0.1 foundation. The current trust-boundary hardening milestone remains uncommitted at document-build time and is recorded as pending in the revision log. A clean post-commit experiment reproduction remains required before any tagged release.</w:t>
      </w:r>
    </w:p>
    <w:sectPr w:rsidR="00FC693F" w:rsidRPr="0006063C" w:rsidSect="00034616">
      <w:headerReference w:type="default" r:id="rId12"/>
      <w:footerReference w:type="default" r:id="rId13"/>
      <w:pgSz w:w="12240" w:h="15840"/>
      <w:pgMar w:top="1152" w:right="1440" w:bottom="1152"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val="0"/>
        <w:color w:val="52606D"/>
        <w:sz w:val="16"/>
      </w:rPr>
      <w:t>AEGIS-OT-STUDY-001 | CONTROLLED RESEARCH STUDY | REV 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93"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769A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769A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02A4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2529</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Aegis-OT Research Study</dc:title>
  <dc:subject>Identity-bound runtime assurance for simulated critical infrastructure</dc:subject>
  <dc:creator>Angelis Pseftis</dc:creator>
  <cp:keywords>Aegis-OT, runtime assurance, workload identity, delegation, OT security</cp:keywords>
  <dc:description>Controlled research document. Author and editor: Angelis Pseftis.</dc:description>
  <cp:lastModifiedBy>Angelis Pseftis</cp:lastModifiedBy>
  <cp:revision>2</cp:revision>
  <dcterms:created xsi:type="dcterms:W3CDTF">2026-08-24T14:39:38Z</dcterms:created>
  <dcterms:modified xsi:type="dcterms:W3CDTF">2026-08-24T15:24:42Z</dcterms:modified>
  <cp:category/>
</cp:coreProperties>
</file>