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0.3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0.3</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pStyle w:val="Heading2"/>
        <w:keepNext/>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888"/>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1728"/>
            <w:vAlign w:val="center"/>
            <w:shd w:fill="EAF2F8"/>
            <w:tcMar>
              <w:top w:w="100" w:type="dxa"/>
              <w:start w:w="120" w:type="dxa"/>
              <w:bottom w:w="100" w:type="dxa"/>
              <w:end w:w="120" w:type="dxa"/>
            </w:tcMar>
          </w:tcPr>
          <w:p>
            <w:r>
              <w:rPr>
                <w:rFonts w:ascii="Arial" w:hAnsi="Arial"/>
                <w:b/>
                <w:color w:val="102A43"/>
                <w:sz w:val="18"/>
              </w:rPr>
              <w:t>Evidence link</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Established the reconstructed protocol, evidence boundary, requirements, architecture, threat model, experimental method, and completion gates.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Reproduction manifest</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Hardened trust-boundary validation, generated schema, rejection tests, and branch-coverage floor.</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0.3</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2026-08-24T15:26:42Z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Model checked the expanded authorization state machine, captured weakened-case counterexamples, and mapped runtime conformance.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Formal M1 manifest</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1"/>
        <w:keepNext/>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Preliminary Controlled Results</w:t>
      </w:r>
    </w:p>
    <w:p>
      <w:pPr>
        <w:pStyle w:val="ListBullet"/>
        <w:spacing w:after="120" w:line="288" w:lineRule="auto"/>
        <w:ind w:left="720" w:hanging="360"/>
      </w:pPr>
      <w:r>
        <w:rPr>
          <w:rFonts w:ascii="Arial" w:hAnsi="Arial"/>
          <w:b w:val="0"/>
          <w:color w:val="102A43"/>
          <w:sz w:val="21"/>
        </w:rPr>
        <w:t>14 Multi-VM Integration Plan</w:t>
      </w:r>
    </w:p>
    <w:p>
      <w:pPr>
        <w:pStyle w:val="ListBullet"/>
        <w:spacing w:after="120" w:line="288" w:lineRule="auto"/>
        <w:ind w:left="720" w:hanging="360"/>
      </w:pPr>
      <w:r>
        <w:rPr>
          <w:rFonts w:ascii="Arial" w:hAnsi="Arial"/>
          <w:b w:val="0"/>
          <w:color w:val="102A43"/>
          <w:sz w:val="21"/>
        </w:rPr>
        <w:t>15 Operate-Through-Compromise Test Program</w:t>
      </w:r>
    </w:p>
    <w:p>
      <w:pPr>
        <w:pStyle w:val="ListBullet"/>
        <w:spacing w:after="120" w:line="288" w:lineRule="auto"/>
        <w:ind w:left="720" w:hanging="360"/>
      </w:pPr>
      <w:r>
        <w:rPr>
          <w:rFonts w:ascii="Arial" w:hAnsi="Arial"/>
          <w:b w:val="0"/>
          <w:color w:val="102A43"/>
          <w:sz w:val="21"/>
        </w:rPr>
        <w:t>16 Scale and Economic Analysis Plan</w:t>
      </w:r>
    </w:p>
    <w:p>
      <w:pPr>
        <w:pStyle w:val="ListBullet"/>
        <w:spacing w:after="120" w:line="288" w:lineRule="auto"/>
        <w:ind w:left="720" w:hanging="360"/>
      </w:pPr>
      <w:r>
        <w:rPr>
          <w:rFonts w:ascii="Arial" w:hAnsi="Arial"/>
          <w:b w:val="0"/>
          <w:color w:val="102A43"/>
          <w:sz w:val="21"/>
        </w:rPr>
        <w:t>17 Reproducibility and Data Management</w:t>
      </w:r>
    </w:p>
    <w:p>
      <w:pPr>
        <w:pStyle w:val="ListBullet"/>
        <w:spacing w:after="120" w:line="288" w:lineRule="auto"/>
        <w:ind w:left="720" w:hanging="360"/>
      </w:pPr>
      <w:r>
        <w:rPr>
          <w:rFonts w:ascii="Arial" w:hAnsi="Arial"/>
          <w:b w:val="0"/>
          <w:color w:val="102A43"/>
          <w:sz w:val="21"/>
        </w:rPr>
        <w:t>18 Risks, Limitations, and Validity Threats</w:t>
      </w:r>
    </w:p>
    <w:p>
      <w:pPr>
        <w:pStyle w:val="ListBullet"/>
        <w:spacing w:after="120" w:line="288" w:lineRule="auto"/>
        <w:ind w:left="720" w:hanging="360"/>
      </w:pPr>
      <w:r>
        <w:rPr>
          <w:rFonts w:ascii="Arial" w:hAnsi="Arial"/>
          <w:b w:val="0"/>
          <w:color w:val="102A43"/>
          <w:sz w:val="21"/>
        </w:rPr>
        <w:t>19 Work Plan and Completion Criteria</w:t>
      </w:r>
    </w:p>
    <w:p>
      <w:pPr>
        <w:pStyle w:val="ListBullet"/>
        <w:spacing w:after="120" w:line="288" w:lineRule="auto"/>
        <w:ind w:left="720" w:hanging="360"/>
      </w:pPr>
      <w:r>
        <w:rPr>
          <w:rFonts w:ascii="Arial" w:hAnsi="Arial"/>
          <w:b w:val="0"/>
          <w:color w:val="102A43"/>
          <w:sz w:val="21"/>
        </w:rPr>
        <w:t>20 Conclusions</w:t>
      </w:r>
    </w:p>
    <w:p>
      <w:pPr>
        <w:pStyle w:val="ListBullet"/>
        <w:spacing w:after="120" w:line="288" w:lineRule="auto"/>
        <w:ind w:left="720" w:hanging="360"/>
      </w:pPr>
      <w:r>
        <w:rPr>
          <w:rFonts w:ascii="Arial" w:hAnsi="Arial"/>
          <w:b w:val="0"/>
          <w:color w:val="102A43"/>
          <w:sz w:val="21"/>
        </w:rPr>
        <w:t>21 References</w:t>
      </w:r>
    </w:p>
    <w:p>
      <w:pPr>
        <w:pStyle w:val="ListBullet"/>
        <w:spacing w:after="120" w:line="288" w:lineRule="auto"/>
        <w:ind w:left="720" w:hanging="360"/>
      </w:pPr>
      <w:r>
        <w:rPr>
          <w:rFonts w:ascii="Arial" w:hAnsi="Arial"/>
          <w:b w:val="0"/>
          <w:color w:val="102A43"/>
          <w:sz w:val="21"/>
        </w:rPr>
        <w:t>22 Requirements Traceability Appendix</w:t>
      </w:r>
    </w:p>
    <w:p>
      <w:pPr>
        <w:pStyle w:val="ListBullet"/>
        <w:spacing w:after="120" w:line="288" w:lineRule="auto"/>
        <w:ind w:left="720" w:hanging="360"/>
      </w:pPr>
      <w:r>
        <w:rPr>
          <w:rFonts w:ascii="Arial" w:hAnsi="Arial"/>
          <w:b w:val="0"/>
          <w:color w:val="102A43"/>
          <w:sz w:val="21"/>
        </w:rPr>
        <w:t>23 Data and Message Schemas Appendix</w:t>
      </w:r>
    </w:p>
    <w:p>
      <w:pPr>
        <w:pStyle w:val="ListBullet"/>
        <w:spacing w:after="120" w:line="288" w:lineRule="auto"/>
        <w:ind w:left="720" w:hanging="360"/>
      </w:pPr>
      <w:r>
        <w:rPr>
          <w:rFonts w:ascii="Arial" w:hAnsi="Arial"/>
          <w:b w:val="0"/>
          <w:color w:val="102A43"/>
          <w:sz w:val="21"/>
        </w:rPr>
        <w:t>24 Reproduction Runbook Appendix</w:t>
      </w:r>
    </w:p>
    <w:p>
      <w:pPr>
        <w:pStyle w:val="ListBullet"/>
        <w:spacing w:after="120" w:line="288" w:lineRule="auto"/>
        <w:ind w:left="720" w:hanging="360"/>
      </w:pPr>
      <w:r>
        <w:rPr>
          <w:rFonts w:ascii="Arial" w:hAnsi="Arial"/>
          <w:b w:val="0"/>
          <w:color w:val="102A43"/>
          <w:sz w:val="21"/>
        </w:rPr>
        <w:t>25 Version-Control Audit Trail Appendix</w:t>
      </w:r>
    </w:p>
    <w:p>
      <w:r>
        <w:br w:type="page"/>
      </w:r>
    </w:p>
    <w:p>
      <w:pPr>
        <w:pStyle w:val="Heading1"/>
        <w:keepNext/>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v0.1 implementation binds typed proposals to Ed25519-signed delegation chains, contextual policy, state freshness, replay protection, a deterministic safety kernel, a command adapter, and hash-chained evidence. A separate post-decision rule oracle is used for initial experiments, although both it and the enforcer depend on the same simplified transition model. Current results therefore establish only internal control-path behavior in a synthetic local environment.</w:t>
      </w:r>
    </w:p>
    <w:p>
      <w:pPr>
        <w:pStyle w:val="Heading1"/>
        <w:keepNext/>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73 passing tests, clean static type checking, clean linting, and 95 percent branch-aware coverage on the local Python 3.14 host. Gateway, policy, trust-boundary model, replay, and evidence paths each measure 100 percent coverage in this suite;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formal evidence: TLC explored 167,193 generated and 55,512 distinct states to depth 20 in the intended bounded configuration without an invariant or liveness violation. Sixteen targeted weakened configurations each produced the expected counterexample. This is bounded model evidence, not proof of the Python implementation or physical process.</w:t>
      </w:r>
    </w:p>
    <w:p>
      <w:pPr>
        <w:pStyle w:val="ListBullet"/>
        <w:spacing w:after="120" w:line="288" w:lineRule="auto"/>
        <w:ind w:left="720" w:hanging="360"/>
      </w:pPr>
      <w:r>
        <w:rPr>
          <w:rFonts w:ascii="Arial" w:hAnsi="Arial"/>
          <w:b w:val="0"/>
          <w:color w:val="102A43"/>
          <w:sz w:val="21"/>
        </w:rPr>
        <w:t>Current experiment evidence: 200 synthetic trials per baseline using a shared seed set and master seed 20260824.</w:t>
      </w:r>
    </w:p>
    <w:p>
      <w:pPr>
        <w:pStyle w:val="ListBullet"/>
        <w:spacing w:after="120" w:line="288" w:lineRule="auto"/>
        <w:ind w:left="720" w:hanging="360"/>
      </w:pPr>
      <w:r>
        <w:rPr>
          <w:rFonts w:ascii="Arial" w:hAnsi="Arial"/>
          <w:b w:val="0"/>
          <w:color w:val="102A43"/>
          <w:sz w:val="21"/>
        </w:rPr>
        <w:t>Current limitation: perfect performance by the assured baseline is expected under the simplified rules and cannot support a claim of field effectiveness.</w:t>
      </w:r>
    </w:p>
    <w:p>
      <w:pPr>
        <w:pStyle w:val="ListBullet"/>
        <w:spacing w:after="120" w:line="288" w:lineRule="auto"/>
        <w:ind w:left="720" w:hanging="360"/>
      </w:pPr>
      <w:r>
        <w:rPr>
          <w:rFonts w:ascii="Arial" w:hAnsi="Arial"/>
          <w:b w:val="0"/>
          <w:color w:val="102A43"/>
          <w:sz w:val="21"/>
        </w:rPr>
        <w:t>Next decision gate: replace the shared transition model with an independently executed power-system reference, strengthen comparison baselines, and run multi-seed analysis with uncertainty estimates.</w:t>
      </w:r>
    </w:p>
    <w:p>
      <w:r>
        <w:br w:type="page"/>
      </w:r>
    </w:p>
    <w:p>
      <w:pPr>
        <w:pStyle w:val="Heading1"/>
        <w:keepNext/>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bl>
    <w:p>
      <w:pPr>
        <w:spacing w:after="40"/>
      </w:pPr>
    </w:p>
    <w:p>
      <w:pPr>
        <w:pStyle w:val="Heading1"/>
        <w:keepNext/>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spacing w:line="252" w:lineRule="auto"/>
      </w:pPr>
      <w:r>
        <w:t>10. Formal Specification Strategy</w:t>
      </w:r>
    </w:p>
    <w:p>
      <w:pPr>
        <w:spacing w:after="160" w:line="293" w:lineRule="auto"/>
      </w:pPr>
      <w:r>
        <w:rPr>
          <w:rFonts w:ascii="Arial" w:hAnsi="Arial"/>
          <w:b w:val="0"/>
          <w:color w:val="102A43"/>
          <w:sz w:val="21"/>
        </w:rPr>
        <w:t>The expanded TLA+ state machine models submission, authorization or denial, approval, dispatch, acknowledgment, execution, delegation validity, ancestor revocation with an explicit propagation bound, expiry, replay, policy and state consistency, conflicting actions, evidence, compromise, quarantine, and decision liveness. TLC version 2026.08.21.155922 checked the intended configuration at commit 3b5f129 with model SHA-256 ab3839100a5cc5037551c95731fd7fc91d71e2b9847bcae9afb16ff2d19156dd. It generated 167,193 states, found 55,512 distinct states, reached depth 20, and reported no invariant or liveness violation. All sixteen deliberately weakened cases reported their expected invariant violation. The result applies only to this abstraction, configuration, fairness condition, constants, tool build, and explored state space.</w:t>
      </w:r>
    </w:p>
    <w:p>
      <w:pPr>
        <w:spacing w:after="160" w:line="293" w:lineRule="auto"/>
      </w:pPr>
      <w:r>
        <w:rPr>
          <w:rFonts w:ascii="Arial" w:hAnsi="Arial"/>
          <w:b/>
          <w:color w:val="102A43"/>
          <w:sz w:val="21"/>
        </w:rPr>
        <w:t>Initial model-check finding:</w:t>
      </w:r>
      <w:r>
        <w:rPr>
          <w:rFonts w:ascii="Arial" w:hAnsi="Arial"/>
          <w:b w:val="0"/>
          <w:color w:val="102A43"/>
          <w:sz w:val="21"/>
        </w:rPr>
        <w:t xml:space="preserve"> The first TLC run against the earlier scaffold found a specification defect: its revocation invariant retroactively treated a later grant revocation as invalidating an execution that had already completed. Revision 0.3 corrects this by recording whether revocation, expiry, state staleness, acknowledgment absence, or quarantine was effective at execution time. This was a defect in the specification, not evidence of a corresponding runtime exploit.</w:t>
      </w:r>
    </w:p>
    <w:p>
      <w:pPr>
        <w:pStyle w:val="Heading1"/>
        <w:keepNext/>
        <w:spacing w:line="252" w:lineRule="auto"/>
      </w:pPr>
      <w:r>
        <w:t>11. Experimental Methodology</w:t>
      </w:r>
    </w:p>
    <w:p>
      <w:pPr>
        <w:spacing w:after="160" w:line="293" w:lineRule="auto"/>
      </w:pPr>
      <w:r>
        <w:rPr>
          <w:rFonts w:ascii="Arial" w:hAnsi="Arial"/>
          <w:b w:val="0"/>
          <w:color w:val="102A43"/>
          <w:sz w:val="21"/>
        </w:rPr>
        <w:t>The reconstructed smoke experiment executes four baselines against the same 200 seeded isolation scenarios. The scenario generator varies critical-load impact and classifies the resulting candidate state using a post-decision oracle implemented outside the gateway. Direct access, identity-only, and static resource/risk policy baselines execute the proposed action; the assured baseline also evaluates delegation, contextual policy, freshness, replay, and modeled safety.</w:t>
      </w:r>
    </w:p>
    <w:p>
      <w:pPr>
        <w:spacing w:after="160" w:line="293" w:lineRule="auto"/>
      </w:pPr>
      <w:r>
        <w:rPr>
          <w:rFonts w:ascii="Arial" w:hAnsi="Arial"/>
          <w:b w:val="0"/>
          <w:color w:val="102A43"/>
          <w:sz w:val="21"/>
        </w:rPr>
        <w:t>Primary measures are unsafe-action escape, false block, mission-correct outcome, decision latency, and safety-kernel/oracle disagreement. This smoke design is exploratory: it has one master seed, a deterministic agent, synthetic prevalence, weak comparison baselines, and no confidence intervals or external physical simulator.</w:t>
      </w:r>
    </w:p>
    <w:p>
      <w:pPr>
        <w:pStyle w:val="Heading1"/>
        <w:keepNext/>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rule evaluators using a shared surrogate transition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Not independent physical validation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 records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Tamper-evident while trusted head is preserved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73 tests; ruff and strict mypy clean; 95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CI not yet observed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Formal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17 safety/type invariants and one decision-liveness property checked; 16 weakened cases produced expected violations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Bounded abstraction; not implementation or physical proof</w:t>
            </w:r>
          </w:p>
        </w:tc>
      </w:tr>
    </w:tbl>
    <w:p>
      <w:pPr>
        <w:spacing w:after="40"/>
      </w:pPr>
    </w:p>
    <w:p>
      <w:pPr>
        <w:pStyle w:val="Heading1"/>
        <w:keepNext/>
        <w:spacing w:line="252" w:lineRule="auto"/>
      </w:pPr>
      <w:r>
        <w:t>13. Preliminary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vAlign w:val="center"/>
            <w:shd w:fill="EAF2F8"/>
            <w:tcMar>
              <w:top w:w="100" w:type="dxa"/>
              <w:start w:w="120" w:type="dxa"/>
              <w:bottom w:w="100" w:type="dxa"/>
              <w:end w:w="120" w:type="dxa"/>
            </w:tcMar>
          </w:tcPr>
          <w:p>
            <w:r>
              <w:rPr>
                <w:rFonts w:ascii="Arial" w:hAnsi="Arial"/>
                <w:b/>
                <w:color w:val="102A43"/>
                <w:sz w:val="18"/>
              </w:rPr>
              <w:t>Baseline</w:t>
            </w:r>
          </w:p>
        </w:tc>
        <w:tc>
          <w:tcPr>
            <w:tcW w:type="dxa" w:w="1656"/>
            <w:vAlign w:val="center"/>
            <w:shd w:fill="EAF2F8"/>
            <w:tcMar>
              <w:top w:w="100" w:type="dxa"/>
              <w:start w:w="120" w:type="dxa"/>
              <w:bottom w:w="100" w:type="dxa"/>
              <w:end w:w="120" w:type="dxa"/>
            </w:tcMar>
          </w:tcPr>
          <w:p>
            <w:r>
              <w:rPr>
                <w:rFonts w:ascii="Arial" w:hAnsi="Arial"/>
                <w:b/>
                <w:color w:val="102A43"/>
                <w:sz w:val="18"/>
              </w:rPr>
              <w:t>Unsafe escape</w:t>
            </w:r>
          </w:p>
        </w:tc>
        <w:tc>
          <w:tcPr>
            <w:tcW w:type="dxa" w:w="1512"/>
            <w:vAlign w:val="center"/>
            <w:shd w:fill="EAF2F8"/>
            <w:tcMar>
              <w:top w:w="100" w:type="dxa"/>
              <w:start w:w="120" w:type="dxa"/>
              <w:bottom w:w="100" w:type="dxa"/>
              <w:end w:w="120" w:type="dxa"/>
            </w:tcMar>
          </w:tcPr>
          <w:p>
            <w:r>
              <w:rPr>
                <w:rFonts w:ascii="Arial" w:hAnsi="Arial"/>
                <w:b/>
                <w:color w:val="102A43"/>
                <w:sz w:val="18"/>
              </w:rPr>
              <w:t>False block</w:t>
            </w:r>
          </w:p>
        </w:tc>
        <w:tc>
          <w:tcPr>
            <w:tcW w:type="dxa" w:w="1728"/>
            <w:vAlign w:val="center"/>
            <w:shd w:fill="EAF2F8"/>
            <w:tcMar>
              <w:top w:w="100" w:type="dxa"/>
              <w:start w:w="120" w:type="dxa"/>
              <w:bottom w:w="100" w:type="dxa"/>
              <w:end w:w="120" w:type="dxa"/>
            </w:tcMar>
          </w:tcPr>
          <w:p>
            <w:r>
              <w:rPr>
                <w:rFonts w:ascii="Arial" w:hAnsi="Arial"/>
                <w:b/>
                <w:color w:val="102A43"/>
                <w:sz w:val="18"/>
              </w:rPr>
              <w:t>Mission success</w:t>
            </w:r>
          </w:p>
        </w:tc>
        <w:tc>
          <w:tcPr>
            <w:tcW w:type="dxa" w:w="2520"/>
            <w:vAlign w:val="center"/>
            <w:shd w:fill="EAF2F8"/>
            <w:tcMar>
              <w:top w:w="100" w:type="dxa"/>
              <w:start w:w="120" w:type="dxa"/>
              <w:bottom w:w="100" w:type="dxa"/>
              <w:end w:w="120" w:type="dxa"/>
            </w:tcMar>
          </w:tcPr>
          <w:p>
            <w:r>
              <w:rPr>
                <w:rFonts w:ascii="Arial" w:hAnsi="Arial"/>
                <w:b/>
                <w:color w:val="102A43"/>
                <w:sz w:val="18"/>
              </w:rPr>
              <w:t>Mean latency</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B0_DIRECT</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B1_IDENTITY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B2_STATIC_POLICY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0.0002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B3_ASSURED</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1.0545 ms</w:t>
            </w:r>
          </w:p>
        </w:tc>
      </w:tr>
    </w:tbl>
    <w:p>
      <w:pPr>
        <w:spacing w:after="40"/>
      </w:pPr>
    </w:p>
    <w:p>
      <w:pPr>
        <w:jc w:val="center"/>
      </w:pPr>
      <w:r>
        <w:drawing>
          <wp:inline xmlns:a="http://schemas.openxmlformats.org/drawingml/2006/main" xmlns:pic="http://schemas.openxmlformats.org/drawingml/2006/picture">
            <wp:extent cx="5715000" cy="3492500"/>
            <wp:docPr id="3" name="Picture 3" descr="Grouped bar chart comparing unsafe-action escape and mission success for direct, identity-only, static-policy, and assured baselines over 200 shared-seed synthetic trials." title="Grouped bar chart comparing unsafe-action escape and mission success for direct, identity-only, static-policy, and assured baselines over 200 shared-seed synthetic trial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492500"/>
                    </a:xfrm>
                    <a:prstGeom prst="rect"/>
                  </pic:spPr>
                </pic:pic>
              </a:graphicData>
            </a:graphic>
          </wp:inline>
        </w:drawing>
      </w:r>
    </w:p>
    <w:p>
      <w:pPr>
        <w:keepNext/>
        <w:jc w:val="center"/>
      </w:pPr>
      <w:r>
        <w:rPr>
          <w:rFonts w:ascii="Arial" w:hAnsi="Arial"/>
          <w:b/>
          <w:color w:val="52606D"/>
          <w:sz w:val="18"/>
        </w:rPr>
        <w:t>Figure 3. Preliminary synthetic baseline outcomes.</w:t>
      </w:r>
    </w:p>
    <w:p>
      <w:pPr>
        <w:spacing w:after="160" w:line="293" w:lineRule="auto"/>
      </w:pPr>
      <w:r>
        <w:rPr>
          <w:rFonts w:ascii="Arial" w:hAnsi="Arial"/>
          <w:b w:val="0"/>
          <w:color w:val="102A43"/>
          <w:sz w:val="21"/>
        </w:rPr>
        <w:t>Interpretation: the result demonstrates that the implemented assured path blocks the unsafe conditions encoded by the initial surrogate while permitting all encoded safe conditions. It does not demonstrate that real agents, PLCs, grids, operators, or incidents would produce the same result. The zero disagreement count is expected because both evaluators apply equivalent limits to the same simplified predicted state.</w:t>
      </w:r>
    </w:p>
    <w:p>
      <w:pPr>
        <w:pStyle w:val="Heading1"/>
        <w:keepNext/>
        <w:spacing w:line="252" w:lineRule="auto"/>
      </w:pPr>
      <w:r>
        <w:t>14.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spacing w:line="252" w:lineRule="auto"/>
      </w:pPr>
      <w:r>
        <w:t>15.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spacing w:line="252" w:lineRule="auto"/>
      </w:pPr>
      <w:r>
        <w:t>16.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spacing w:line="252" w:lineRule="auto"/>
      </w:pPr>
      <w:r>
        <w:t>17. Reproducibility and Data Management</w:t>
      </w:r>
    </w:p>
    <w:p>
      <w:pPr>
        <w:spacing w:after="160" w:line="293" w:lineRule="auto"/>
      </w:pPr>
      <w:r>
        <w:rPr>
          <w:rFonts w:ascii="Arial" w:hAnsi="Arial"/>
          <w:b w:val="0"/>
          <w:color w:val="102A43"/>
          <w:sz w:val="21"/>
        </w:rPr>
        <w:t>The experiment manifest records the working-tree state, configuration hash, master and individual seeds, baseline definitions, component versions, host details, raw-data path, SHA-256 result hash, analyst, and known limitations. Raw JSONL is retained separately from derived summaries. The exploratory run that used different seed sets across baselines is preserved under results/exploratory-invalid-independent-seeds and excluded from controlled comparison.</w:t>
      </w:r>
    </w:p>
    <w:p>
      <w:pPr>
        <w:pStyle w:val="Heading1"/>
        <w:keepNext/>
        <w:spacing w:line="252" w:lineRule="auto"/>
      </w:pPr>
      <w:r>
        <w:t>18.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Shared transition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Kernel and oracle disagreement is not a strong independence test</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 separately executed power-flow simulator and reviewed truth set</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Weak baselines</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Effect size can be inflated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contextual ABAC, risk-aware, and ablation baselines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Trust boundaries and availability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and networks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One seed set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Uncertainty is not characterized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at least 30 independent seeds per condition and confidence intervals</w:t>
            </w:r>
          </w:p>
        </w:tc>
      </w:tr>
    </w:tbl>
    <w:p>
      <w:pPr>
        <w:spacing w:after="40"/>
      </w:pPr>
    </w:p>
    <w:p>
      <w:pPr>
        <w:pStyle w:val="Heading1"/>
        <w:keepNext/>
        <w:spacing w:line="252" w:lineRule="auto"/>
      </w:pPr>
      <w:r>
        <w:t>19.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A demonstration, green test suite, or perfect synthetic baseline does not satisfy the final completion definition.</w:t>
      </w:r>
    </w:p>
    <w:p>
      <w:pPr>
        <w:pStyle w:val="Heading1"/>
        <w:keepNext/>
        <w:spacing w:line="252" w:lineRule="auto"/>
      </w:pPr>
      <w:r>
        <w:t>20. Conclusions</w:t>
      </w:r>
    </w:p>
    <w:p>
      <w:pPr>
        <w:spacing w:after="160" w:line="293" w:lineRule="auto"/>
      </w:pPr>
      <w:r>
        <w:rPr>
          <w:rFonts w:ascii="Arial" w:hAnsi="Arial"/>
          <w:b w:val="0"/>
          <w:color w:val="102A43"/>
          <w:sz w:val="21"/>
        </w:rPr>
        <w:t>The reconstructed v0.1 foundation is sufficient to test a narrow proposition: under its explicit synthetic rules, the gateway can distinguish safe from unsafe isolation proposals and preserve evidence of the decision. The bounded formal model now adds state-space evidence for its explicit abstraction, but it is not sufficient to conclude that autonomous agents can be trusted on real critical infrastructure. The next defensible advance is independently executed physical outcome evaluation, followed by stronger baselines and deployed trust boundaries.</w:t>
      </w:r>
    </w:p>
    <w:p>
      <w:pPr>
        <w:pStyle w:val="Heading1"/>
        <w:keepNext/>
        <w:spacing w:line="252" w:lineRule="auto"/>
      </w:pPr>
      <w:r>
        <w:t>21.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Heading1"/>
        <w:keepNext/>
        <w:spacing w:line="252" w:lineRule="auto"/>
      </w:pPr>
      <w:r>
        <w:t>22.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Hypothesis comparison and unsafe denial</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Shared transition model</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and tampering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signature or external anchor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change integration test</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real PLC acknowledgment</w:t>
            </w:r>
          </w:p>
        </w:tc>
      </w:tr>
    </w:tbl>
    <w:p>
      <w:pPr>
        <w:spacing w:after="40"/>
      </w:pPr>
    </w:p>
    <w:p>
      <w:pPr>
        <w:pStyle w:val="Heading1"/>
        <w:keepNext/>
        <w:spacing w:line="252" w:lineRule="auto"/>
      </w:pPr>
      <w:r>
        <w:t>23.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pStyle w:val="Heading1"/>
        <w:keepNext/>
        <w:spacing w:line="252" w:lineRule="auto"/>
      </w:pPr>
      <w:r>
        <w:t>24.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 do not rely on PYTHONPATH.</w:t>
      </w:r>
    </w:p>
    <w:p>
      <w:pPr>
        <w:pStyle w:val="ListBullet"/>
        <w:spacing w:after="120" w:line="288" w:lineRule="auto"/>
        <w:ind w:left="720" w:hanging="360"/>
      </w:pPr>
      <w:r>
        <w:rPr>
          <w:rFonts w:ascii="Arial" w:hAnsi="Arial"/>
          <w:b w:val="0"/>
          <w:color w:val="102A43"/>
          <w:sz w:val="21"/>
        </w:rPr>
        <w:t>Run python scripts/export_schemas.py --check, ruff check ., mypy src, and pytest --cov=aegis_ot --cov-branch --cov-report=term-missing --cov-fail-under=90.</w:t>
      </w:r>
    </w:p>
    <w:p>
      <w:pPr>
        <w:pStyle w:val="ListBullet"/>
        <w:spacing w:after="120" w:line="288" w:lineRule="auto"/>
        <w:ind w:left="720" w:hanging="360"/>
      </w:pPr>
      <w:r>
        <w:rPr>
          <w:rFonts w:ascii="Arial" w:hAnsi="Arial"/>
          <w:b w:val="0"/>
          <w:color w:val="102A43"/>
          <w:sz w:val="21"/>
        </w:rPr>
        <w:t>Acquire the pinned TLC 1.8.0 JAR, verify SHA-256 eabd140a70f49eb9305a3bd3f3df944eddf87e5a90d329789085f8953a80533a, and run python scripts/run_formal.py --jar /path/to/tla2tools.jar --output-dir results/formal/&lt;run-name&gt;.</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 200 --seed 20260824 --output-dir results/reproduction-v0.1.</w:t>
      </w:r>
    </w:p>
    <w:p>
      <w:pPr>
        <w:pStyle w:val="ListBullet"/>
        <w:spacing w:after="120" w:line="288" w:lineRule="auto"/>
        <w:ind w:left="720" w:hanging="360"/>
      </w:pPr>
      <w:r>
        <w:rPr>
          <w:rFonts w:ascii="Arial" w:hAnsi="Arial"/>
          <w:b w:val="0"/>
          <w:color w:val="102A43"/>
          <w:sz w:val="21"/>
        </w:rPr>
        <w:t>Verify the manifest raw-data hash and dirty-tree declaration before reporting results.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spacing w:line="252" w:lineRule="auto"/>
      </w:pPr>
      <w:r>
        <w:t>25.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c906ae7 records trust-boundary hardening, and 3b5f129 records the bounded formal model, weakened-check automation, CI gate, and implementation-conformance mapping. The committed formal evidence was then generated from a clean 3b5f129 worktree. A clean post-commit experiment reproduction remains required before any tagged release.</w:t>
      </w:r>
    </w:p>
    <w:sectPr w:rsidR="00FC693F" w:rsidRPr="0006063C" w:rsidSect="00034616">
      <w:headerReference w:type="default" r:id="rId12"/>
      <w:footerReference w:type="default" r:id="rId13"/>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2762</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3</cp:revision>
  <dcterms:created xsi:type="dcterms:W3CDTF">2026-08-24T14:39:38Z</dcterms:created>
  <dcterms:modified xsi:type="dcterms:W3CDTF">2026-08-24T15:29:57Z</dcterms:modified>
  <cp:category/>
</cp:coreProperties>
</file>