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dxa" w:w="9220"/>
        <w:jc w:val="center"/>
        <w:tblLayout w:type="fixed"/>
        <w:tblLook w:firstColumn="1" w:firstRow="1" w:lastColumn="0" w:lastRow="0" w:noHBand="0" w:noVBand="1" w:val="04A0"/>
        <w:tblInd w:w="140" w:type="dxa"/>
      </w:tblPr>
      <w:tblGrid>
        <w:gridCol w:w="2837"/>
        <w:gridCol w:w="6383"/>
      </w:tblGrid>
      <w:tr>
        <w:trPr>
          <w:tblHeader w:val="true"/>
        </w:trPr>
        <w:tc>
          <w:tcPr>
            <w:tcW w:type="dxa" w:w="2837"/>
            <w:tcMar>
              <w:top w:w="120" w:type="dxa"/>
              <w:start w:w="140" w:type="dxa"/>
              <w:bottom w:w="120" w:type="dxa"/>
              <w:end w:w="140" w:type="dxa"/>
            </w:tcMar>
            <w:shd w:fill="17365D"/>
          </w:tcPr>
          <w:p>
            <w:r>
              <w:rPr>
                <w:sz w:val="20"/>
              </w:rPr>
            </w:r>
            <w:r>
              <w:rPr>
                <w:rFonts w:ascii="Calibri" w:hAnsi="Calibri"/>
                <w:b/>
                <w:color w:val="FFFFFF"/>
                <w:sz w:val="20"/>
              </w:rPr>
              <w:t>AEGIS-OT</w:t>
            </w:r>
          </w:p>
        </w:tc>
        <w:tc>
          <w:tcPr>
            <w:tcW w:type="dxa" w:w="6383"/>
            <w:tcMar>
              <w:top w:w="120" w:type="dxa"/>
              <w:start w:w="140" w:type="dxa"/>
              <w:bottom w:w="120" w:type="dxa"/>
              <w:end w:w="140" w:type="dxa"/>
            </w:tcMar>
            <w:shd w:fill="2E74B5"/>
          </w:tcPr>
          <w:p>
            <w:pPr>
              <w:jc w:val="right"/>
            </w:pPr>
            <w:r>
              <w:rPr>
                <w:sz w:val="20"/>
              </w:rPr>
            </w:r>
            <w:r>
              <w:rPr>
                <w:rFonts w:ascii="Calibri" w:hAnsi="Calibri"/>
                <w:b/>
                <w:color w:val="FFFFFF"/>
                <w:sz w:val="20"/>
              </w:rPr>
              <w:t>SYSTEMS ENGINEERING BASELINE</w:t>
            </w:r>
          </w:p>
        </w:tc>
      </w:tr>
    </w:tbl>
    <w:p>
      <w:pPr>
        <w:pStyle w:val="Title"/>
        <w:spacing w:before="840"/>
      </w:pPr>
      <w:r>
        <w:t>Aegis-OT End-State</w:t>
        <w:br/>
        <w:t>System Requirements</w:t>
      </w:r>
    </w:p>
    <w:p>
      <w:pPr>
        <w:pStyle w:val="Subtitle"/>
      </w:pPr>
      <w:r>
        <w:t>An evidence-gated specification for an independently deployable runtime-assurance control plane for consequential operational technology</w:t>
      </w:r>
    </w:p>
    <w:tbl>
      <w:tblPr>
        <w:tblStyle w:val="TableGrid"/>
        <w:tblW w:type="dxa" w:w="9200"/>
        <w:jc w:val="center"/>
        <w:tblLayout w:type="fixed"/>
        <w:tblLook w:firstColumn="1" w:firstRow="1" w:lastColumn="0" w:lastRow="0" w:noHBand="0" w:noVBand="1" w:val="04A0"/>
        <w:tblInd w:w="160" w:type="dxa"/>
      </w:tblPr>
      <w:tblGrid>
        <w:gridCol w:w="9200"/>
      </w:tblGrid>
      <w:tr>
        <w:trPr>
          <w:cantSplit/>
          <w:tblHeader w:val="true"/>
        </w:trPr>
        <w:tc>
          <w:tcPr>
            <w:tcW w:type="dxa" w:w="9200"/>
            <w:tcMar>
              <w:top w:w="140" w:type="dxa"/>
              <w:start w:w="160" w:type="dxa"/>
              <w:bottom w:w="140" w:type="dxa"/>
              <w:end w:w="160" w:type="dxa"/>
            </w:tcMar>
            <w:shd w:fill="FFF2CC"/>
          </w:tcPr>
          <w:p>
            <w:pPr>
              <w:spacing w:after="0"/>
            </w:pPr>
            <w:r>
              <w:rPr>
                <w:b/>
                <w:color w:val="17365D"/>
              </w:rPr>
              <w:t xml:space="preserve">Status and claim boundary: </w:t>
            </w:r>
            <w:r>
              <w:rPr>
                <w:color w:val="404040"/>
              </w:rPr>
              <w:t>This is a proposed end-state requirements baseline. It defines what Aegis-OT must become; it does not assert that the current repository, experiments, deployment configuration, or documentation satisfies these requirements. Approval, qualification, deployment, and operational effectiveness remain separate future states.</w:t>
            </w:r>
          </w:p>
        </w:tc>
      </w:tr>
    </w:tbl>
    <w:p/>
    <w:tbl>
      <w:tblPr>
        <w:tblStyle w:val="TableGrid"/>
        <w:tblW w:type="dxa" w:w="9260"/>
        <w:jc w:val="center"/>
        <w:tblLayout w:type="fixed"/>
        <w:tblLook w:firstColumn="1" w:firstRow="1" w:lastColumn="0" w:lastRow="0" w:noHBand="0" w:noVBand="1" w:val="04A0"/>
        <w:tblInd w:w="100" w:type="dxa"/>
      </w:tblPr>
      <w:tblGrid>
        <w:gridCol w:w="2066"/>
        <w:gridCol w:w="7194"/>
      </w:tblGrid>
      <w:tr>
        <w:trPr>
          <w:tblHeader w:val="true"/>
          <w:cantSplit/>
        </w:trPr>
        <w:tc>
          <w:tcPr>
            <w:tcW w:type="dxa" w:w="2066"/>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8"/>
              </w:rPr>
            </w:r>
            <w:r>
              <w:rPr>
                <w:rFonts w:ascii="Calibri" w:hAnsi="Calibri"/>
                <w:b/>
                <w:color w:val="FFFFFF"/>
                <w:sz w:val="18"/>
              </w:rPr>
              <w:t>Control</w:t>
            </w:r>
          </w:p>
        </w:tc>
        <w:tc>
          <w:tcPr>
            <w:tcW w:type="dxa" w:w="7194"/>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8"/>
              </w:rPr>
            </w:r>
            <w:r>
              <w:rPr>
                <w:rFonts w:ascii="Calibri" w:hAnsi="Calibri"/>
                <w:b/>
                <w:color w:val="FFFFFF"/>
                <w:sz w:val="18"/>
              </w:rPr>
              <w:t>Value</w:t>
            </w:r>
          </w:p>
        </w:tc>
      </w:tr>
      <w:tr>
        <w:trPr>
          <w:cantSplit/>
        </w:trPr>
        <w:tc>
          <w:tcPr>
            <w:tcW w:type="dxa" w:w="2066"/>
            <w:tcMar>
              <w:top w:w="80" w:type="dxa"/>
              <w:start w:w="100" w:type="dxa"/>
              <w:bottom w:w="80" w:type="dxa"/>
              <w:end w:w="100" w:type="dxa"/>
            </w:tcMar>
            <w:vAlign w:val="center"/>
          </w:tcPr>
          <w:p>
            <w:pPr>
              <w:spacing w:after="20" w:line="240" w:lineRule="auto"/>
              <w:jc w:val="left"/>
            </w:pPr>
            <w:r>
              <w:rPr>
                <w:rFonts w:ascii="Calibri" w:hAnsi="Calibri"/>
                <w:b/>
                <w:color w:val="17365D"/>
                <w:sz w:val="18"/>
              </w:rPr>
            </w:r>
            <w:r>
              <w:rPr>
                <w:rFonts w:ascii="Calibri" w:hAnsi="Calibri"/>
                <w:b w:val="0"/>
                <w:sz w:val="18"/>
              </w:rPr>
              <w:t>Document ID</w:t>
            </w:r>
          </w:p>
        </w:tc>
        <w:tc>
          <w:tcPr>
            <w:tcW w:type="dxa" w:w="7194"/>
            <w:tcMar>
              <w:top w:w="80" w:type="dxa"/>
              <w:start w:w="100" w:type="dxa"/>
              <w:bottom w:w="80" w:type="dxa"/>
              <w:end w:w="100" w:type="dxa"/>
            </w:tcMar>
            <w:vAlign w:val="center"/>
          </w:tcPr>
          <w:p>
            <w:pPr>
              <w:spacing w:after="20" w:line="240" w:lineRule="auto"/>
              <w:jc w:val="left"/>
            </w:pPr>
            <w:r>
              <w:rPr>
                <w:rFonts w:ascii="Calibri" w:hAnsi="Calibri"/>
                <w:sz w:val="18"/>
              </w:rPr>
            </w:r>
            <w:r>
              <w:rPr>
                <w:rFonts w:ascii="Calibri" w:hAnsi="Calibri"/>
                <w:b w:val="0"/>
                <w:sz w:val="18"/>
              </w:rPr>
              <w:t>AEGIS-OT-SRS-001</w:t>
            </w:r>
          </w:p>
        </w:tc>
      </w:tr>
      <w:tr>
        <w:trPr>
          <w:cantSplit/>
        </w:trPr>
        <w:tc>
          <w:tcPr>
            <w:tcW w:type="dxa" w:w="2066"/>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8"/>
              </w:rPr>
            </w:r>
            <w:r>
              <w:rPr>
                <w:rFonts w:ascii="Calibri" w:hAnsi="Calibri"/>
                <w:b w:val="0"/>
                <w:sz w:val="18"/>
              </w:rPr>
              <w:t>Revision</w:t>
            </w:r>
          </w:p>
        </w:tc>
        <w:tc>
          <w:tcPr>
            <w:tcW w:type="dxa" w:w="7194"/>
            <w:shd w:fill="F2F2F2"/>
            <w:tcMar>
              <w:top w:w="80" w:type="dxa"/>
              <w:start w:w="100" w:type="dxa"/>
              <w:bottom w:w="80" w:type="dxa"/>
              <w:end w:w="100" w:type="dxa"/>
            </w:tcMar>
            <w:vAlign w:val="center"/>
          </w:tcPr>
          <w:p>
            <w:pPr>
              <w:spacing w:after="20" w:line="240" w:lineRule="auto"/>
              <w:jc w:val="left"/>
            </w:pPr>
            <w:r>
              <w:rPr>
                <w:rFonts w:ascii="Calibri" w:hAnsi="Calibri"/>
                <w:sz w:val="18"/>
              </w:rPr>
            </w:r>
            <w:r>
              <w:rPr>
                <w:rFonts w:ascii="Calibri" w:hAnsi="Calibri"/>
                <w:b w:val="0"/>
                <w:sz w:val="18"/>
              </w:rPr>
              <w:t>1.0</w:t>
            </w:r>
          </w:p>
        </w:tc>
      </w:tr>
      <w:tr>
        <w:trPr>
          <w:cantSplit/>
        </w:trPr>
        <w:tc>
          <w:tcPr>
            <w:tcW w:type="dxa" w:w="2066"/>
            <w:tcMar>
              <w:top w:w="80" w:type="dxa"/>
              <w:start w:w="100" w:type="dxa"/>
              <w:bottom w:w="80" w:type="dxa"/>
              <w:end w:w="100" w:type="dxa"/>
            </w:tcMar>
            <w:vAlign w:val="center"/>
          </w:tcPr>
          <w:p>
            <w:pPr>
              <w:spacing w:after="20" w:line="240" w:lineRule="auto"/>
              <w:jc w:val="left"/>
            </w:pPr>
            <w:r>
              <w:rPr>
                <w:rFonts w:ascii="Calibri" w:hAnsi="Calibri"/>
                <w:b/>
                <w:color w:val="17365D"/>
                <w:sz w:val="18"/>
              </w:rPr>
            </w:r>
            <w:r>
              <w:rPr>
                <w:rFonts w:ascii="Calibri" w:hAnsi="Calibri"/>
                <w:b w:val="0"/>
                <w:sz w:val="18"/>
              </w:rPr>
              <w:t>Baseline date</w:t>
            </w:r>
          </w:p>
        </w:tc>
        <w:tc>
          <w:tcPr>
            <w:tcW w:type="dxa" w:w="7194"/>
            <w:tcMar>
              <w:top w:w="80" w:type="dxa"/>
              <w:start w:w="100" w:type="dxa"/>
              <w:bottom w:w="80" w:type="dxa"/>
              <w:end w:w="100" w:type="dxa"/>
            </w:tcMar>
            <w:vAlign w:val="center"/>
          </w:tcPr>
          <w:p>
            <w:pPr>
              <w:spacing w:after="20" w:line="240" w:lineRule="auto"/>
              <w:jc w:val="left"/>
            </w:pPr>
            <w:r>
              <w:rPr>
                <w:rFonts w:ascii="Calibri" w:hAnsi="Calibri"/>
                <w:sz w:val="18"/>
              </w:rPr>
            </w:r>
            <w:r>
              <w:rPr>
                <w:rFonts w:ascii="Calibri" w:hAnsi="Calibri"/>
                <w:b w:val="0"/>
                <w:sz w:val="18"/>
              </w:rPr>
              <w:t>25 August 2026</w:t>
            </w:r>
          </w:p>
        </w:tc>
      </w:tr>
      <w:tr>
        <w:trPr>
          <w:cantSplit/>
        </w:trPr>
        <w:tc>
          <w:tcPr>
            <w:tcW w:type="dxa" w:w="2066"/>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8"/>
              </w:rPr>
            </w:r>
            <w:r>
              <w:rPr>
                <w:rFonts w:ascii="Calibri" w:hAnsi="Calibri"/>
                <w:b w:val="0"/>
                <w:sz w:val="18"/>
              </w:rPr>
              <w:t>Status</w:t>
            </w:r>
          </w:p>
        </w:tc>
        <w:tc>
          <w:tcPr>
            <w:tcW w:type="dxa" w:w="7194"/>
            <w:shd w:fill="F2F2F2"/>
            <w:tcMar>
              <w:top w:w="80" w:type="dxa"/>
              <w:start w:w="100" w:type="dxa"/>
              <w:bottom w:w="80" w:type="dxa"/>
              <w:end w:w="100" w:type="dxa"/>
            </w:tcMar>
            <w:vAlign w:val="center"/>
          </w:tcPr>
          <w:p>
            <w:pPr>
              <w:spacing w:after="20" w:line="240" w:lineRule="auto"/>
              <w:jc w:val="left"/>
            </w:pPr>
            <w:r>
              <w:rPr>
                <w:rFonts w:ascii="Calibri" w:hAnsi="Calibri"/>
                <w:sz w:val="18"/>
              </w:rPr>
            </w:r>
            <w:r>
              <w:rPr>
                <w:rFonts w:ascii="Calibri" w:hAnsi="Calibri"/>
                <w:b w:val="0"/>
                <w:sz w:val="18"/>
              </w:rPr>
              <w:t>Proposed end-state baseline — not approved</w:t>
            </w:r>
          </w:p>
        </w:tc>
      </w:tr>
      <w:tr>
        <w:trPr>
          <w:cantSplit/>
        </w:trPr>
        <w:tc>
          <w:tcPr>
            <w:tcW w:type="dxa" w:w="2066"/>
            <w:tcMar>
              <w:top w:w="80" w:type="dxa"/>
              <w:start w:w="100" w:type="dxa"/>
              <w:bottom w:w="80" w:type="dxa"/>
              <w:end w:w="100" w:type="dxa"/>
            </w:tcMar>
            <w:vAlign w:val="center"/>
          </w:tcPr>
          <w:p>
            <w:pPr>
              <w:spacing w:after="20" w:line="240" w:lineRule="auto"/>
              <w:jc w:val="left"/>
            </w:pPr>
            <w:r>
              <w:rPr>
                <w:rFonts w:ascii="Calibri" w:hAnsi="Calibri"/>
                <w:b/>
                <w:color w:val="17365D"/>
                <w:sz w:val="18"/>
              </w:rPr>
            </w:r>
            <w:r>
              <w:rPr>
                <w:rFonts w:ascii="Calibri" w:hAnsi="Calibri"/>
                <w:b w:val="0"/>
                <w:sz w:val="18"/>
              </w:rPr>
              <w:t>Author and creator</w:t>
            </w:r>
          </w:p>
        </w:tc>
        <w:tc>
          <w:tcPr>
            <w:tcW w:type="dxa" w:w="7194"/>
            <w:tcMar>
              <w:top w:w="80" w:type="dxa"/>
              <w:start w:w="100" w:type="dxa"/>
              <w:bottom w:w="80" w:type="dxa"/>
              <w:end w:w="100" w:type="dxa"/>
            </w:tcMar>
            <w:vAlign w:val="center"/>
          </w:tcPr>
          <w:p>
            <w:pPr>
              <w:spacing w:after="20" w:line="240" w:lineRule="auto"/>
              <w:jc w:val="left"/>
            </w:pPr>
            <w:r>
              <w:rPr>
                <w:rFonts w:ascii="Calibri" w:hAnsi="Calibri"/>
                <w:sz w:val="18"/>
              </w:rPr>
            </w:r>
            <w:r>
              <w:rPr>
                <w:rFonts w:ascii="Calibri" w:hAnsi="Calibri"/>
                <w:b w:val="0"/>
                <w:sz w:val="18"/>
              </w:rPr>
              <w:t>Angelis Pseftis</w:t>
            </w:r>
          </w:p>
        </w:tc>
      </w:tr>
      <w:tr>
        <w:trPr>
          <w:cantSplit/>
        </w:trPr>
        <w:tc>
          <w:tcPr>
            <w:tcW w:type="dxa" w:w="2066"/>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8"/>
              </w:rPr>
            </w:r>
            <w:r>
              <w:rPr>
                <w:rFonts w:ascii="Calibri" w:hAnsi="Calibri"/>
                <w:b w:val="0"/>
                <w:sz w:val="18"/>
              </w:rPr>
              <w:t>Source baseline</w:t>
            </w:r>
          </w:p>
        </w:tc>
        <w:tc>
          <w:tcPr>
            <w:tcW w:type="dxa" w:w="7194"/>
            <w:shd w:fill="F2F2F2"/>
            <w:tcMar>
              <w:top w:w="80" w:type="dxa"/>
              <w:start w:w="100" w:type="dxa"/>
              <w:bottom w:w="80" w:type="dxa"/>
              <w:end w:w="100" w:type="dxa"/>
            </w:tcMar>
            <w:vAlign w:val="center"/>
          </w:tcPr>
          <w:p>
            <w:pPr>
              <w:spacing w:after="20" w:line="240" w:lineRule="auto"/>
              <w:jc w:val="left"/>
            </w:pPr>
            <w:r>
              <w:rPr>
                <w:rFonts w:ascii="Calibri" w:hAnsi="Calibri"/>
                <w:sz w:val="18"/>
              </w:rPr>
            </w:r>
            <w:r>
              <w:rPr>
                <w:rFonts w:ascii="Calibri" w:hAnsi="Calibri"/>
                <w:b w:val="0"/>
                <w:sz w:val="18"/>
              </w:rPr>
              <w:t>Repository history examined through Git main d6f996f on 25 August 2026, plus separately identified evolving working-tree context; uncommitted content and diagnostic runs are not accepted release evidence.</w:t>
            </w:r>
          </w:p>
        </w:tc>
      </w:tr>
      <w:tr>
        <w:trPr>
          <w:cantSplit/>
        </w:trPr>
        <w:tc>
          <w:tcPr>
            <w:tcW w:type="dxa" w:w="2066"/>
            <w:tcMar>
              <w:top w:w="80" w:type="dxa"/>
              <w:start w:w="100" w:type="dxa"/>
              <w:bottom w:w="80" w:type="dxa"/>
              <w:end w:w="100" w:type="dxa"/>
            </w:tcMar>
            <w:vAlign w:val="center"/>
          </w:tcPr>
          <w:p>
            <w:pPr>
              <w:spacing w:after="20" w:line="240" w:lineRule="auto"/>
              <w:jc w:val="left"/>
            </w:pPr>
            <w:r>
              <w:rPr>
                <w:rFonts w:ascii="Calibri" w:hAnsi="Calibri"/>
                <w:b/>
                <w:color w:val="17365D"/>
                <w:sz w:val="18"/>
              </w:rPr>
            </w:r>
            <w:r>
              <w:rPr>
                <w:rFonts w:ascii="Calibri" w:hAnsi="Calibri"/>
                <w:b w:val="0"/>
                <w:sz w:val="18"/>
              </w:rPr>
              <w:t>Intended audience</w:t>
            </w:r>
          </w:p>
        </w:tc>
        <w:tc>
          <w:tcPr>
            <w:tcW w:type="dxa" w:w="7194"/>
            <w:tcMar>
              <w:top w:w="80" w:type="dxa"/>
              <w:start w:w="100" w:type="dxa"/>
              <w:bottom w:w="80" w:type="dxa"/>
              <w:end w:w="100" w:type="dxa"/>
            </w:tcMar>
            <w:vAlign w:val="center"/>
          </w:tcPr>
          <w:p>
            <w:pPr>
              <w:spacing w:after="20" w:line="240" w:lineRule="auto"/>
              <w:jc w:val="left"/>
            </w:pPr>
            <w:r>
              <w:rPr>
                <w:rFonts w:ascii="Calibri" w:hAnsi="Calibri"/>
                <w:sz w:val="18"/>
              </w:rPr>
            </w:r>
            <w:r>
              <w:rPr>
                <w:rFonts w:ascii="Calibri" w:hAnsi="Calibri"/>
                <w:b w:val="0"/>
                <w:sz w:val="18"/>
              </w:rPr>
              <w:t>Chief architects, system and software engineers, safety and cybersecurity authorities, test authorities, operators, program leaders, and asset owners.</w:t>
            </w:r>
          </w:p>
        </w:tc>
      </w:tr>
    </w:tbl>
    <w:p/>
    <w:p>
      <w:pPr>
        <w:jc w:val="center"/>
      </w:pPr>
      <w:r>
        <w:rPr>
          <w:b/>
          <w:color w:val="17365D"/>
          <w:sz w:val="22"/>
        </w:rPr>
        <w:t>Prepared by Angelis Pseftis</w:t>
      </w:r>
    </w:p>
    <w:p>
      <w:pPr>
        <w:jc w:val="center"/>
      </w:pPr>
      <w:r>
        <w:rPr>
          <w:i/>
          <w:color w:val="404040"/>
          <w:sz w:val="18"/>
        </w:rPr>
        <w:t>Research and engineering baseline — use subject to configuration control</w:t>
      </w:r>
    </w:p>
    <w:p>
      <w:r>
        <w:br w:type="page"/>
      </w:r>
    </w:p>
    <w:p>
      <w:pPr>
        <w:pStyle w:val="Heading1"/>
        <w:keepNext/>
        <w:pageBreakBefore/>
      </w:pPr>
      <w:r>
        <w:t>Document control</w:t>
      </w:r>
    </w:p>
    <w:p>
      <w:r>
        <w:t>This document is the single authoritative end-state requirements artifact created for this baseline. Future revision should occur in this same physical file so that document continuity and authorship metadata are preserved.</w:t>
      </w:r>
    </w:p>
    <w:p>
      <w:pPr>
        <w:pStyle w:val="Heading2"/>
        <w:keepNext/>
        <w:pageBreakBefore w:val="0"/>
      </w:pPr>
      <w:r>
        <w:t>Revision record</w:t>
      </w:r>
    </w:p>
    <w:tbl>
      <w:tblPr>
        <w:tblStyle w:val="TableGrid"/>
        <w:tblW w:type="dxa" w:w="9260"/>
        <w:jc w:val="center"/>
        <w:tblLayout w:type="fixed"/>
        <w:tblLook w:firstColumn="1" w:firstRow="1" w:lastColumn="0" w:lastRow="0" w:noHBand="0" w:noVBand="1" w:val="04A0"/>
        <w:tblInd w:w="100" w:type="dxa"/>
      </w:tblPr>
      <w:tblGrid>
        <w:gridCol w:w="997"/>
        <w:gridCol w:w="1496"/>
        <w:gridCol w:w="1140"/>
        <w:gridCol w:w="4060"/>
        <w:gridCol w:w="1567"/>
      </w:tblGrid>
      <w:tr>
        <w:trPr>
          <w:tblHeader w:val="true"/>
          <w:cantSplit/>
        </w:trPr>
        <w:tc>
          <w:tcPr>
            <w:tcW w:type="dxa" w:w="997"/>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7"/>
              </w:rPr>
            </w:r>
            <w:r>
              <w:rPr>
                <w:rFonts w:ascii="Calibri" w:hAnsi="Calibri"/>
                <w:b/>
                <w:color w:val="FFFFFF"/>
                <w:sz w:val="17"/>
              </w:rPr>
              <w:t>Revision</w:t>
            </w:r>
          </w:p>
        </w:tc>
        <w:tc>
          <w:tcPr>
            <w:tcW w:type="dxa" w:w="1496"/>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7"/>
              </w:rPr>
            </w:r>
            <w:r>
              <w:rPr>
                <w:rFonts w:ascii="Calibri" w:hAnsi="Calibri"/>
                <w:b/>
                <w:color w:val="FFFFFF"/>
                <w:sz w:val="17"/>
              </w:rPr>
              <w:t>Date</w:t>
            </w:r>
          </w:p>
        </w:tc>
        <w:tc>
          <w:tcPr>
            <w:tcW w:type="dxa" w:w="1140"/>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7"/>
              </w:rPr>
            </w:r>
            <w:r>
              <w:rPr>
                <w:rFonts w:ascii="Calibri" w:hAnsi="Calibri"/>
                <w:b/>
                <w:color w:val="FFFFFF"/>
                <w:sz w:val="17"/>
              </w:rPr>
              <w:t>Status</w:t>
            </w:r>
          </w:p>
        </w:tc>
        <w:tc>
          <w:tcPr>
            <w:tcW w:type="dxa" w:w="4060"/>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7"/>
              </w:rPr>
            </w:r>
            <w:r>
              <w:rPr>
                <w:rFonts w:ascii="Calibri" w:hAnsi="Calibri"/>
                <w:b/>
                <w:color w:val="FFFFFF"/>
                <w:sz w:val="17"/>
              </w:rPr>
              <w:t>Description</w:t>
            </w:r>
          </w:p>
        </w:tc>
        <w:tc>
          <w:tcPr>
            <w:tcW w:type="dxa" w:w="1567"/>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7"/>
              </w:rPr>
            </w:r>
            <w:r>
              <w:rPr>
                <w:rFonts w:ascii="Calibri" w:hAnsi="Calibri"/>
                <w:b/>
                <w:color w:val="FFFFFF"/>
                <w:sz w:val="17"/>
              </w:rPr>
              <w:t>Author</w:t>
            </w:r>
          </w:p>
        </w:tc>
      </w:tr>
      <w:tr>
        <w:trPr>
          <w:cantSplit/>
        </w:trPr>
        <w:tc>
          <w:tcPr>
            <w:tcW w:type="dxa" w:w="997"/>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1.0</w:t>
            </w:r>
          </w:p>
        </w:tc>
        <w:tc>
          <w:tcPr>
            <w:tcW w:type="dxa" w:w="1496"/>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25 August 2026</w:t>
            </w:r>
          </w:p>
        </w:tc>
        <w:tc>
          <w:tcPr>
            <w:tcW w:type="dxa" w:w="1140"/>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Proposed</w:t>
            </w:r>
          </w:p>
        </w:tc>
        <w:tc>
          <w:tcPr>
            <w:tcW w:type="dxa" w:w="4060"/>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Initial comprehensive end-state system requirements baseline.</w:t>
            </w:r>
          </w:p>
        </w:tc>
        <w:tc>
          <w:tcPr>
            <w:tcW w:type="dxa" w:w="1567"/>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Angelis Pseftis</w:t>
            </w:r>
          </w:p>
        </w:tc>
      </w:tr>
    </w:tbl>
    <w:p>
      <w:pPr>
        <w:pStyle w:val="Heading2"/>
        <w:keepNext/>
        <w:pageBreakBefore w:val="0"/>
      </w:pPr>
      <w:r>
        <w:t>Approval state</w:t>
      </w:r>
    </w:p>
    <w:tbl>
      <w:tblPr>
        <w:tblStyle w:val="TableGrid"/>
        <w:tblW w:type="dxa" w:w="9260"/>
        <w:jc w:val="center"/>
        <w:tblLayout w:type="fixed"/>
        <w:tblLook w:firstColumn="1" w:firstRow="1" w:lastColumn="0" w:lastRow="0" w:noHBand="0" w:noVBand="1" w:val="04A0"/>
        <w:tblInd w:w="100" w:type="dxa"/>
      </w:tblPr>
      <w:tblGrid>
        <w:gridCol w:w="2849"/>
        <w:gridCol w:w="4131"/>
        <w:gridCol w:w="2280"/>
      </w:tblGrid>
      <w:tr>
        <w:trPr>
          <w:tblHeader w:val="true"/>
          <w:cantSplit/>
        </w:trPr>
        <w:tc>
          <w:tcPr>
            <w:tcW w:type="dxa" w:w="2849"/>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7"/>
              </w:rPr>
            </w:r>
            <w:r>
              <w:rPr>
                <w:rFonts w:ascii="Calibri" w:hAnsi="Calibri"/>
                <w:b/>
                <w:color w:val="FFFFFF"/>
                <w:sz w:val="17"/>
              </w:rPr>
              <w:t>Authority</w:t>
            </w:r>
          </w:p>
        </w:tc>
        <w:tc>
          <w:tcPr>
            <w:tcW w:type="dxa" w:w="4131"/>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7"/>
              </w:rPr>
            </w:r>
            <w:r>
              <w:rPr>
                <w:rFonts w:ascii="Calibri" w:hAnsi="Calibri"/>
                <w:b/>
                <w:color w:val="FFFFFF"/>
                <w:sz w:val="17"/>
              </w:rPr>
              <w:t>Required disposition</w:t>
            </w:r>
          </w:p>
        </w:tc>
        <w:tc>
          <w:tcPr>
            <w:tcW w:type="dxa" w:w="2280"/>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7"/>
              </w:rPr>
            </w:r>
            <w:r>
              <w:rPr>
                <w:rFonts w:ascii="Calibri" w:hAnsi="Calibri"/>
                <w:b/>
                <w:color w:val="FFFFFF"/>
                <w:sz w:val="17"/>
              </w:rPr>
              <w:t>Current state</w:t>
            </w:r>
          </w:p>
        </w:tc>
      </w:tr>
      <w:tr>
        <w:trPr>
          <w:cantSplit/>
        </w:trPr>
        <w:tc>
          <w:tcPr>
            <w:tcW w:type="dxa" w:w="2849"/>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Program technical authority</w:t>
            </w:r>
          </w:p>
        </w:tc>
        <w:tc>
          <w:tcPr>
            <w:tcW w:type="dxa" w:w="4131"/>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Approve or return with findings</w:t>
            </w:r>
          </w:p>
        </w:tc>
        <w:tc>
          <w:tcPr>
            <w:tcW w:type="dxa" w:w="2280"/>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Not recorded</w:t>
            </w:r>
          </w:p>
        </w:tc>
      </w:tr>
      <w:tr>
        <w:trPr>
          <w:cantSplit/>
        </w:trPr>
        <w:tc>
          <w:tcPr>
            <w:tcW w:type="dxa" w:w="2849"/>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Safety authority</w:t>
            </w:r>
          </w:p>
        </w:tc>
        <w:tc>
          <w:tcPr>
            <w:tcW w:type="dxa" w:w="4131"/>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Accept safety allocation and qualification basis</w:t>
            </w:r>
          </w:p>
        </w:tc>
        <w:tc>
          <w:tcPr>
            <w:tcW w:type="dxa" w:w="2280"/>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Not recorded</w:t>
            </w:r>
          </w:p>
        </w:tc>
      </w:tr>
      <w:tr>
        <w:trPr>
          <w:cantSplit/>
        </w:trPr>
        <w:tc>
          <w:tcPr>
            <w:tcW w:type="dxa" w:w="2849"/>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Cybersecurity authority</w:t>
            </w:r>
          </w:p>
        </w:tc>
        <w:tc>
          <w:tcPr>
            <w:tcW w:type="dxa" w:w="4131"/>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Accept security architecture and residual risk process</w:t>
            </w:r>
          </w:p>
        </w:tc>
        <w:tc>
          <w:tcPr>
            <w:tcW w:type="dxa" w:w="2280"/>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Not recorded</w:t>
            </w:r>
          </w:p>
        </w:tc>
      </w:tr>
      <w:tr>
        <w:trPr>
          <w:cantSplit/>
        </w:trPr>
        <w:tc>
          <w:tcPr>
            <w:tcW w:type="dxa" w:w="2849"/>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Independent test authority</w:t>
            </w:r>
          </w:p>
        </w:tc>
        <w:tc>
          <w:tcPr>
            <w:tcW w:type="dxa" w:w="4131"/>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Accept verification and evidence plan</w:t>
            </w:r>
          </w:p>
        </w:tc>
        <w:tc>
          <w:tcPr>
            <w:tcW w:type="dxa" w:w="2280"/>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Not recorded</w:t>
            </w:r>
          </w:p>
        </w:tc>
      </w:tr>
      <w:tr>
        <w:trPr>
          <w:cantSplit/>
        </w:trPr>
        <w:tc>
          <w:tcPr>
            <w:tcW w:type="dxa" w:w="2849"/>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Asset owner / operational authority</w:t>
            </w:r>
          </w:p>
        </w:tc>
        <w:tc>
          <w:tcPr>
            <w:tcW w:type="dxa" w:w="4131"/>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Authorize deployment-specific use</w:t>
            </w:r>
          </w:p>
        </w:tc>
        <w:tc>
          <w:tcPr>
            <w:tcW w:type="dxa" w:w="2280"/>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Not applicable until G7</w:t>
            </w:r>
          </w:p>
        </w:tc>
      </w:tr>
    </w:tbl>
    <w:tbl>
      <w:tblPr>
        <w:tblStyle w:val="TableGrid"/>
        <w:tblW w:type="dxa" w:w="9200"/>
        <w:jc w:val="center"/>
        <w:tblLayout w:type="fixed"/>
        <w:tblLook w:firstColumn="1" w:firstRow="1" w:lastColumn="0" w:lastRow="0" w:noHBand="0" w:noVBand="1" w:val="04A0"/>
        <w:tblInd w:w="160" w:type="dxa"/>
      </w:tblPr>
      <w:tblGrid>
        <w:gridCol w:w="9200"/>
      </w:tblGrid>
      <w:tr>
        <w:trPr>
          <w:cantSplit/>
          <w:tblHeader w:val="true"/>
        </w:trPr>
        <w:tc>
          <w:tcPr>
            <w:tcW w:type="dxa" w:w="9200"/>
            <w:tcMar>
              <w:top w:w="140" w:type="dxa"/>
              <w:start w:w="160" w:type="dxa"/>
              <w:bottom w:w="140" w:type="dxa"/>
              <w:end w:w="160" w:type="dxa"/>
            </w:tcMar>
            <w:shd w:fill="FCE4D6"/>
          </w:tcPr>
          <w:p>
            <w:pPr>
              <w:spacing w:after="0"/>
            </w:pPr>
            <w:r>
              <w:rPr>
                <w:b/>
                <w:color w:val="17365D"/>
              </w:rPr>
              <w:t xml:space="preserve">Control rule: </w:t>
            </w:r>
            <w:r>
              <w:rPr>
                <w:color w:val="404040"/>
              </w:rPr>
              <w:t>No approval is implied by the existence of this document. A recorded authority disposition and accepted evidence are required at each gate.</w:t>
            </w:r>
          </w:p>
        </w:tc>
      </w:tr>
    </w:tbl>
    <w:p>
      <w:pPr>
        <w:pStyle w:val="Heading1"/>
        <w:keepNext/>
        <w:pageBreakBefore/>
      </w:pPr>
      <w:r>
        <w:t>Contents</w:t>
      </w:r>
    </w:p>
    <w:tbl>
      <w:tblPr>
        <w:tblStyle w:val="TableGrid"/>
        <w:tblW w:type="dxa" w:w="9260"/>
        <w:jc w:val="center"/>
        <w:tblLayout w:type="fixed"/>
        <w:tblLook w:firstColumn="1" w:firstRow="1" w:lastColumn="0" w:lastRow="0" w:noHBand="0" w:noVBand="1" w:val="04A0"/>
        <w:tblInd w:w="100" w:type="dxa"/>
      </w:tblPr>
      <w:tblGrid>
        <w:gridCol w:w="8405"/>
        <w:gridCol w:w="855"/>
      </w:tblGrid>
      <w:tr>
        <w:trPr>
          <w:tblHeader w:val="true"/>
          <w:cantSplit/>
        </w:trPr>
        <w:tc>
          <w:tcPr>
            <w:tcW w:type="dxa" w:w="8405"/>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6"/>
              </w:rPr>
            </w:r>
            <w:r>
              <w:rPr>
                <w:rFonts w:ascii="Calibri" w:hAnsi="Calibri"/>
                <w:b/>
                <w:color w:val="FFFFFF"/>
                <w:sz w:val="16"/>
              </w:rPr>
              <w:t>Section</w:t>
            </w:r>
          </w:p>
        </w:tc>
        <w:tc>
          <w:tcPr>
            <w:tcW w:type="dxa" w:w="855"/>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6"/>
              </w:rPr>
            </w:r>
            <w:r>
              <w:rPr>
                <w:rFonts w:ascii="Calibri" w:hAnsi="Calibri"/>
                <w:b/>
                <w:color w:val="FFFFFF"/>
                <w:sz w:val="16"/>
              </w:rPr>
              <w:t>Page</w:t>
            </w:r>
          </w:p>
        </w:tc>
      </w:tr>
      <w:tr>
        <w:trPr>
          <w:cantSplit/>
        </w:trPr>
        <w:tc>
          <w:tcPr>
            <w:tcW w:type="dxa" w:w="8405"/>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Document control</w:t>
            </w:r>
          </w:p>
        </w:tc>
        <w:tc>
          <w:tcPr>
            <w:tcW w:type="dxa" w:w="855"/>
            <w:tcMar>
              <w:top w:w="80" w:type="dxa"/>
              <w:start w:w="100" w:type="dxa"/>
              <w:bottom w:w="80" w:type="dxa"/>
              <w:end w:w="100" w:type="dxa"/>
            </w:tcMar>
            <w:vAlign w:val="center"/>
          </w:tcPr>
          <w:p>
            <w:pPr>
              <w:spacing w:after="20" w:line="240" w:lineRule="auto"/>
              <w:jc w:val="right"/>
            </w:pPr>
            <w:r>
              <w:rPr>
                <w:rFonts w:ascii="Calibri" w:hAnsi="Calibri"/>
                <w:sz w:val="16"/>
              </w:rPr>
            </w:r>
            <w:r>
              <w:rPr>
                <w:rFonts w:ascii="Calibri" w:hAnsi="Calibri"/>
                <w:b w:val="0"/>
                <w:sz w:val="16"/>
              </w:rPr>
              <w:t>2</w:t>
            </w:r>
          </w:p>
        </w:tc>
      </w:tr>
      <w:tr>
        <w:trPr>
          <w:cantSplit/>
        </w:trPr>
        <w:tc>
          <w:tcPr>
            <w:tcW w:type="dxa" w:w="8405"/>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1  Purpose and scope</w:t>
            </w:r>
          </w:p>
        </w:tc>
        <w:tc>
          <w:tcPr>
            <w:tcW w:type="dxa" w:w="855"/>
            <w:shd w:fill="F2F2F2"/>
            <w:tcMar>
              <w:top w:w="80" w:type="dxa"/>
              <w:start w:w="100" w:type="dxa"/>
              <w:bottom w:w="80" w:type="dxa"/>
              <w:end w:w="100" w:type="dxa"/>
            </w:tcMar>
            <w:vAlign w:val="center"/>
          </w:tcPr>
          <w:p>
            <w:pPr>
              <w:spacing w:after="20" w:line="240" w:lineRule="auto"/>
              <w:jc w:val="right"/>
            </w:pPr>
            <w:r>
              <w:rPr>
                <w:rFonts w:ascii="Calibri" w:hAnsi="Calibri"/>
                <w:sz w:val="16"/>
              </w:rPr>
            </w:r>
            <w:r>
              <w:rPr>
                <w:rFonts w:ascii="Calibri" w:hAnsi="Calibri"/>
                <w:b w:val="0"/>
                <w:sz w:val="16"/>
              </w:rPr>
              <w:t>4</w:t>
            </w:r>
          </w:p>
        </w:tc>
      </w:tr>
      <w:tr>
        <w:trPr>
          <w:cantSplit/>
        </w:trPr>
        <w:tc>
          <w:tcPr>
            <w:tcW w:type="dxa" w:w="8405"/>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2  System context and operational concept</w:t>
            </w:r>
          </w:p>
        </w:tc>
        <w:tc>
          <w:tcPr>
            <w:tcW w:type="dxa" w:w="855"/>
            <w:tcMar>
              <w:top w:w="80" w:type="dxa"/>
              <w:start w:w="100" w:type="dxa"/>
              <w:bottom w:w="80" w:type="dxa"/>
              <w:end w:w="100" w:type="dxa"/>
            </w:tcMar>
            <w:vAlign w:val="center"/>
          </w:tcPr>
          <w:p>
            <w:pPr>
              <w:spacing w:after="20" w:line="240" w:lineRule="auto"/>
              <w:jc w:val="right"/>
            </w:pPr>
            <w:r>
              <w:rPr>
                <w:rFonts w:ascii="Calibri" w:hAnsi="Calibri"/>
                <w:sz w:val="16"/>
              </w:rPr>
            </w:r>
            <w:r>
              <w:rPr>
                <w:rFonts w:ascii="Calibri" w:hAnsi="Calibri"/>
                <w:b w:val="0"/>
                <w:sz w:val="16"/>
              </w:rPr>
              <w:t>5</w:t>
            </w:r>
          </w:p>
        </w:tc>
      </w:tr>
      <w:tr>
        <w:trPr>
          <w:cantSplit/>
        </w:trPr>
        <w:tc>
          <w:tcPr>
            <w:tcW w:type="dxa" w:w="8405"/>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3  Assessed baseline and evidence boundary</w:t>
            </w:r>
          </w:p>
        </w:tc>
        <w:tc>
          <w:tcPr>
            <w:tcW w:type="dxa" w:w="855"/>
            <w:shd w:fill="F2F2F2"/>
            <w:tcMar>
              <w:top w:w="80" w:type="dxa"/>
              <w:start w:w="100" w:type="dxa"/>
              <w:bottom w:w="80" w:type="dxa"/>
              <w:end w:w="100" w:type="dxa"/>
            </w:tcMar>
            <w:vAlign w:val="center"/>
          </w:tcPr>
          <w:p>
            <w:pPr>
              <w:spacing w:after="20" w:line="240" w:lineRule="auto"/>
              <w:jc w:val="right"/>
            </w:pPr>
            <w:r>
              <w:rPr>
                <w:rFonts w:ascii="Calibri" w:hAnsi="Calibri"/>
                <w:sz w:val="16"/>
              </w:rPr>
            </w:r>
            <w:r>
              <w:rPr>
                <w:rFonts w:ascii="Calibri" w:hAnsi="Calibri"/>
                <w:b w:val="0"/>
                <w:sz w:val="16"/>
              </w:rPr>
              <w:t>7</w:t>
            </w:r>
          </w:p>
        </w:tc>
      </w:tr>
      <w:tr>
        <w:trPr>
          <w:cantSplit/>
        </w:trPr>
        <w:tc>
          <w:tcPr>
            <w:tcW w:type="dxa" w:w="8405"/>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4  Requirements conventions and applicability</w:t>
            </w:r>
          </w:p>
        </w:tc>
        <w:tc>
          <w:tcPr>
            <w:tcW w:type="dxa" w:w="855"/>
            <w:tcMar>
              <w:top w:w="80" w:type="dxa"/>
              <w:start w:w="100" w:type="dxa"/>
              <w:bottom w:w="80" w:type="dxa"/>
              <w:end w:w="100" w:type="dxa"/>
            </w:tcMar>
            <w:vAlign w:val="center"/>
          </w:tcPr>
          <w:p>
            <w:pPr>
              <w:spacing w:after="20" w:line="240" w:lineRule="auto"/>
              <w:jc w:val="right"/>
            </w:pPr>
            <w:r>
              <w:rPr>
                <w:rFonts w:ascii="Calibri" w:hAnsi="Calibri"/>
                <w:sz w:val="16"/>
              </w:rPr>
            </w:r>
            <w:r>
              <w:rPr>
                <w:rFonts w:ascii="Calibri" w:hAnsi="Calibri"/>
                <w:b w:val="0"/>
                <w:sz w:val="16"/>
              </w:rPr>
              <w:t>9</w:t>
            </w:r>
          </w:p>
        </w:tc>
      </w:tr>
      <w:tr>
        <w:trPr>
          <w:cantSplit/>
        </w:trPr>
        <w:tc>
          <w:tcPr>
            <w:tcW w:type="dxa" w:w="8405"/>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5  Normative end-state requirements</w:t>
            </w:r>
          </w:p>
        </w:tc>
        <w:tc>
          <w:tcPr>
            <w:tcW w:type="dxa" w:w="855"/>
            <w:shd w:fill="F2F2F2"/>
            <w:tcMar>
              <w:top w:w="80" w:type="dxa"/>
              <w:start w:w="100" w:type="dxa"/>
              <w:bottom w:w="80" w:type="dxa"/>
              <w:end w:w="100" w:type="dxa"/>
            </w:tcMar>
            <w:vAlign w:val="center"/>
          </w:tcPr>
          <w:p>
            <w:pPr>
              <w:spacing w:after="20" w:line="240" w:lineRule="auto"/>
              <w:jc w:val="right"/>
            </w:pPr>
            <w:r>
              <w:rPr>
                <w:rFonts w:ascii="Calibri" w:hAnsi="Calibri"/>
                <w:sz w:val="16"/>
              </w:rPr>
            </w:r>
            <w:r>
              <w:rPr>
                <w:rFonts w:ascii="Calibri" w:hAnsi="Calibri"/>
                <w:b w:val="0"/>
                <w:sz w:val="16"/>
              </w:rPr>
              <w:t>11</w:t>
            </w:r>
          </w:p>
        </w:tc>
      </w:tr>
      <w:tr>
        <w:trPr>
          <w:cantSplit/>
        </w:trPr>
        <w:tc>
          <w:tcPr>
            <w:tcW w:type="dxa" w:w="8405"/>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6  Verification and maturity gates</w:t>
            </w:r>
          </w:p>
        </w:tc>
        <w:tc>
          <w:tcPr>
            <w:tcW w:type="dxa" w:w="855"/>
            <w:tcMar>
              <w:top w:w="80" w:type="dxa"/>
              <w:start w:w="100" w:type="dxa"/>
              <w:bottom w:w="80" w:type="dxa"/>
              <w:end w:w="100" w:type="dxa"/>
            </w:tcMar>
            <w:vAlign w:val="center"/>
          </w:tcPr>
          <w:p>
            <w:pPr>
              <w:spacing w:after="20" w:line="240" w:lineRule="auto"/>
              <w:jc w:val="right"/>
            </w:pPr>
            <w:r>
              <w:rPr>
                <w:rFonts w:ascii="Calibri" w:hAnsi="Calibri"/>
                <w:sz w:val="16"/>
              </w:rPr>
            </w:r>
            <w:r>
              <w:rPr>
                <w:rFonts w:ascii="Calibri" w:hAnsi="Calibri"/>
                <w:b w:val="0"/>
                <w:sz w:val="16"/>
              </w:rPr>
              <w:t>26</w:t>
            </w:r>
          </w:p>
        </w:tc>
      </w:tr>
      <w:tr>
        <w:trPr>
          <w:cantSplit/>
        </w:trPr>
        <w:tc>
          <w:tcPr>
            <w:tcW w:type="dxa" w:w="8405"/>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7  Traceability and source crosswalk</w:t>
            </w:r>
          </w:p>
        </w:tc>
        <w:tc>
          <w:tcPr>
            <w:tcW w:type="dxa" w:w="855"/>
            <w:shd w:fill="F2F2F2"/>
            <w:tcMar>
              <w:top w:w="80" w:type="dxa"/>
              <w:start w:w="100" w:type="dxa"/>
              <w:bottom w:w="80" w:type="dxa"/>
              <w:end w:w="100" w:type="dxa"/>
            </w:tcMar>
            <w:vAlign w:val="center"/>
          </w:tcPr>
          <w:p>
            <w:pPr>
              <w:spacing w:after="20" w:line="240" w:lineRule="auto"/>
              <w:jc w:val="right"/>
            </w:pPr>
            <w:r>
              <w:rPr>
                <w:rFonts w:ascii="Calibri" w:hAnsi="Calibri"/>
                <w:sz w:val="16"/>
              </w:rPr>
            </w:r>
            <w:r>
              <w:rPr>
                <w:rFonts w:ascii="Calibri" w:hAnsi="Calibri"/>
                <w:b w:val="0"/>
                <w:sz w:val="16"/>
              </w:rPr>
              <w:t>28</w:t>
            </w:r>
          </w:p>
        </w:tc>
      </w:tr>
      <w:tr>
        <w:trPr>
          <w:cantSplit/>
        </w:trPr>
        <w:tc>
          <w:tcPr>
            <w:tcW w:type="dxa" w:w="8405"/>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8  To-be-resolved register</w:t>
            </w:r>
          </w:p>
        </w:tc>
        <w:tc>
          <w:tcPr>
            <w:tcW w:type="dxa" w:w="855"/>
            <w:tcMar>
              <w:top w:w="80" w:type="dxa"/>
              <w:start w:w="100" w:type="dxa"/>
              <w:bottom w:w="80" w:type="dxa"/>
              <w:end w:w="100" w:type="dxa"/>
            </w:tcMar>
            <w:vAlign w:val="center"/>
          </w:tcPr>
          <w:p>
            <w:pPr>
              <w:spacing w:after="20" w:line="240" w:lineRule="auto"/>
              <w:jc w:val="right"/>
            </w:pPr>
            <w:r>
              <w:rPr>
                <w:rFonts w:ascii="Calibri" w:hAnsi="Calibri"/>
                <w:sz w:val="16"/>
              </w:rPr>
            </w:r>
            <w:r>
              <w:rPr>
                <w:rFonts w:ascii="Calibri" w:hAnsi="Calibri"/>
                <w:b w:val="0"/>
                <w:sz w:val="16"/>
              </w:rPr>
              <w:t>30</w:t>
            </w:r>
          </w:p>
        </w:tc>
      </w:tr>
      <w:tr>
        <w:trPr>
          <w:cantSplit/>
        </w:trPr>
        <w:tc>
          <w:tcPr>
            <w:tcW w:type="dxa" w:w="8405"/>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9  Requirements management and change control</w:t>
            </w:r>
          </w:p>
        </w:tc>
        <w:tc>
          <w:tcPr>
            <w:tcW w:type="dxa" w:w="855"/>
            <w:shd w:fill="F2F2F2"/>
            <w:tcMar>
              <w:top w:w="80" w:type="dxa"/>
              <w:start w:w="100" w:type="dxa"/>
              <w:bottom w:w="80" w:type="dxa"/>
              <w:end w:w="100" w:type="dxa"/>
            </w:tcMar>
            <w:vAlign w:val="center"/>
          </w:tcPr>
          <w:p>
            <w:pPr>
              <w:spacing w:after="20" w:line="240" w:lineRule="auto"/>
              <w:jc w:val="right"/>
            </w:pPr>
            <w:r>
              <w:rPr>
                <w:rFonts w:ascii="Calibri" w:hAnsi="Calibri"/>
                <w:sz w:val="16"/>
              </w:rPr>
            </w:r>
            <w:r>
              <w:rPr>
                <w:rFonts w:ascii="Calibri" w:hAnsi="Calibri"/>
                <w:b w:val="0"/>
                <w:sz w:val="16"/>
              </w:rPr>
              <w:t>32</w:t>
            </w:r>
          </w:p>
        </w:tc>
      </w:tr>
      <w:tr>
        <w:trPr>
          <w:cantSplit/>
        </w:trPr>
        <w:tc>
          <w:tcPr>
            <w:tcW w:type="dxa" w:w="8405"/>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Appendix A  Requirement inventory</w:t>
            </w:r>
          </w:p>
        </w:tc>
        <w:tc>
          <w:tcPr>
            <w:tcW w:type="dxa" w:w="855"/>
            <w:tcMar>
              <w:top w:w="80" w:type="dxa"/>
              <w:start w:w="100" w:type="dxa"/>
              <w:bottom w:w="80" w:type="dxa"/>
              <w:end w:w="100" w:type="dxa"/>
            </w:tcMar>
            <w:vAlign w:val="center"/>
          </w:tcPr>
          <w:p>
            <w:pPr>
              <w:spacing w:after="20" w:line="240" w:lineRule="auto"/>
              <w:jc w:val="right"/>
            </w:pPr>
            <w:r>
              <w:rPr>
                <w:rFonts w:ascii="Calibri" w:hAnsi="Calibri"/>
                <w:sz w:val="16"/>
              </w:rPr>
            </w:r>
            <w:r>
              <w:rPr>
                <w:rFonts w:ascii="Calibri" w:hAnsi="Calibri"/>
                <w:b w:val="0"/>
                <w:sz w:val="16"/>
              </w:rPr>
              <w:t>33</w:t>
            </w:r>
          </w:p>
        </w:tc>
      </w:tr>
      <w:tr>
        <w:trPr>
          <w:cantSplit/>
        </w:trPr>
        <w:tc>
          <w:tcPr>
            <w:tcW w:type="dxa" w:w="8405"/>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Appendix B  Definitions</w:t>
            </w:r>
          </w:p>
        </w:tc>
        <w:tc>
          <w:tcPr>
            <w:tcW w:type="dxa" w:w="855"/>
            <w:shd w:fill="F2F2F2"/>
            <w:tcMar>
              <w:top w:w="80" w:type="dxa"/>
              <w:start w:w="100" w:type="dxa"/>
              <w:bottom w:w="80" w:type="dxa"/>
              <w:end w:w="100" w:type="dxa"/>
            </w:tcMar>
            <w:vAlign w:val="center"/>
          </w:tcPr>
          <w:p>
            <w:pPr>
              <w:spacing w:after="20" w:line="240" w:lineRule="auto"/>
              <w:jc w:val="right"/>
            </w:pPr>
            <w:r>
              <w:rPr>
                <w:rFonts w:ascii="Calibri" w:hAnsi="Calibri"/>
                <w:sz w:val="16"/>
              </w:rPr>
            </w:r>
            <w:r>
              <w:rPr>
                <w:rFonts w:ascii="Calibri" w:hAnsi="Calibri"/>
                <w:b w:val="0"/>
                <w:sz w:val="16"/>
              </w:rPr>
              <w:t>34</w:t>
            </w:r>
          </w:p>
        </w:tc>
      </w:tr>
      <w:tr>
        <w:trPr>
          <w:cantSplit/>
        </w:trPr>
        <w:tc>
          <w:tcPr>
            <w:tcW w:type="dxa" w:w="8405"/>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Appendix C  Final quality and release checklist</w:t>
            </w:r>
          </w:p>
        </w:tc>
        <w:tc>
          <w:tcPr>
            <w:tcW w:type="dxa" w:w="855"/>
            <w:tcMar>
              <w:top w:w="80" w:type="dxa"/>
              <w:start w:w="100" w:type="dxa"/>
              <w:bottom w:w="80" w:type="dxa"/>
              <w:end w:w="100" w:type="dxa"/>
            </w:tcMar>
            <w:vAlign w:val="center"/>
          </w:tcPr>
          <w:p>
            <w:pPr>
              <w:spacing w:after="20" w:line="240" w:lineRule="auto"/>
              <w:jc w:val="right"/>
            </w:pPr>
            <w:r>
              <w:rPr>
                <w:rFonts w:ascii="Calibri" w:hAnsi="Calibri"/>
                <w:sz w:val="16"/>
              </w:rPr>
            </w:r>
            <w:r>
              <w:rPr>
                <w:rFonts w:ascii="Calibri" w:hAnsi="Calibri"/>
                <w:b w:val="0"/>
                <w:sz w:val="16"/>
              </w:rPr>
              <w:t>35</w:t>
            </w:r>
          </w:p>
        </w:tc>
      </w:tr>
    </w:tbl>
    <w:p>
      <w:pPr>
        <w:spacing w:before="140" w:after="80"/>
      </w:pPr>
      <w:r>
        <w:rPr>
          <w:b/>
          <w:color w:val="2E74B5"/>
          <w:sz w:val="22"/>
        </w:rPr>
        <w:t>Requirement domain index</w:t>
      </w:r>
    </w:p>
    <w:tbl>
      <w:tblPr>
        <w:tblStyle w:val="TableGrid"/>
        <w:tblW w:type="dxa" w:w="9260"/>
        <w:jc w:val="center"/>
        <w:tblLayout w:type="fixed"/>
        <w:tblLook w:firstColumn="1" w:firstRow="1" w:lastColumn="0" w:lastRow="0" w:noHBand="0" w:noVBand="1" w:val="04A0"/>
        <w:tblInd w:w="100" w:type="dxa"/>
      </w:tblPr>
      <w:tblGrid>
        <w:gridCol w:w="3633"/>
        <w:gridCol w:w="784"/>
        <w:gridCol w:w="4060"/>
        <w:gridCol w:w="783"/>
      </w:tblGrid>
      <w:tr>
        <w:trPr>
          <w:tblHeader w:val="true"/>
          <w:cantSplit/>
        </w:trPr>
        <w:tc>
          <w:tcPr>
            <w:tcW w:type="dxa" w:w="3633"/>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6"/>
              </w:rPr>
            </w:r>
            <w:r>
              <w:rPr>
                <w:rFonts w:ascii="Calibri" w:hAnsi="Calibri"/>
                <w:b/>
                <w:color w:val="FFFFFF"/>
                <w:sz w:val="16"/>
              </w:rPr>
              <w:t>Domain</w:t>
            </w:r>
          </w:p>
        </w:tc>
        <w:tc>
          <w:tcPr>
            <w:tcW w:type="dxa" w:w="784"/>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6"/>
              </w:rPr>
            </w:r>
            <w:r>
              <w:rPr>
                <w:rFonts w:ascii="Calibri" w:hAnsi="Calibri"/>
                <w:b/>
                <w:color w:val="FFFFFF"/>
                <w:sz w:val="16"/>
              </w:rPr>
              <w:t>Page</w:t>
            </w:r>
          </w:p>
        </w:tc>
        <w:tc>
          <w:tcPr>
            <w:tcW w:type="dxa" w:w="4060"/>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6"/>
              </w:rPr>
            </w:r>
            <w:r>
              <w:rPr>
                <w:rFonts w:ascii="Calibri" w:hAnsi="Calibri"/>
                <w:b/>
                <w:color w:val="FFFFFF"/>
                <w:sz w:val="16"/>
              </w:rPr>
              <w:t>Domain</w:t>
            </w:r>
          </w:p>
        </w:tc>
        <w:tc>
          <w:tcPr>
            <w:tcW w:type="dxa" w:w="783"/>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6"/>
              </w:rPr>
            </w:r>
            <w:r>
              <w:rPr>
                <w:rFonts w:ascii="Calibri" w:hAnsi="Calibri"/>
                <w:b/>
                <w:color w:val="FFFFFF"/>
                <w:sz w:val="16"/>
              </w:rPr>
              <w:t>Page</w:t>
            </w:r>
          </w:p>
        </w:tc>
      </w:tr>
      <w:tr>
        <w:trPr>
          <w:cantSplit/>
        </w:trPr>
        <w:tc>
          <w:tcPr>
            <w:tcW w:type="dxa" w:w="3633"/>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5.1  SYS</w:t>
            </w:r>
          </w:p>
        </w:tc>
        <w:tc>
          <w:tcPr>
            <w:tcW w:type="dxa" w:w="784"/>
            <w:tcMar>
              <w:top w:w="80" w:type="dxa"/>
              <w:start w:w="100" w:type="dxa"/>
              <w:bottom w:w="80" w:type="dxa"/>
              <w:end w:w="100" w:type="dxa"/>
            </w:tcMar>
            <w:vAlign w:val="center"/>
          </w:tcPr>
          <w:p>
            <w:pPr>
              <w:spacing w:after="20" w:line="240" w:lineRule="auto"/>
              <w:jc w:val="right"/>
            </w:pPr>
            <w:r>
              <w:rPr>
                <w:rFonts w:ascii="Calibri" w:hAnsi="Calibri"/>
                <w:sz w:val="16"/>
              </w:rPr>
            </w:r>
            <w:r>
              <w:rPr>
                <w:rFonts w:ascii="Calibri" w:hAnsi="Calibri"/>
                <w:b w:val="0"/>
                <w:sz w:val="16"/>
              </w:rPr>
              <w:t>11</w:t>
            </w:r>
          </w:p>
        </w:tc>
        <w:tc>
          <w:tcPr>
            <w:tcW w:type="dxa" w:w="4060"/>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5.11  RES</w:t>
            </w:r>
          </w:p>
        </w:tc>
        <w:tc>
          <w:tcPr>
            <w:tcW w:type="dxa" w:w="783"/>
            <w:tcMar>
              <w:top w:w="80" w:type="dxa"/>
              <w:start w:w="100" w:type="dxa"/>
              <w:bottom w:w="80" w:type="dxa"/>
              <w:end w:w="100" w:type="dxa"/>
            </w:tcMar>
            <w:vAlign w:val="center"/>
          </w:tcPr>
          <w:p>
            <w:pPr>
              <w:spacing w:after="20" w:line="240" w:lineRule="auto"/>
              <w:jc w:val="right"/>
            </w:pPr>
            <w:r>
              <w:rPr>
                <w:rFonts w:ascii="Calibri" w:hAnsi="Calibri"/>
                <w:sz w:val="16"/>
              </w:rPr>
            </w:r>
            <w:r>
              <w:rPr>
                <w:rFonts w:ascii="Calibri" w:hAnsi="Calibri"/>
                <w:b w:val="0"/>
                <w:sz w:val="16"/>
              </w:rPr>
              <w:t>18</w:t>
            </w:r>
          </w:p>
        </w:tc>
      </w:tr>
      <w:tr>
        <w:trPr>
          <w:cantSplit/>
        </w:trPr>
        <w:tc>
          <w:tcPr>
            <w:tcW w:type="dxa" w:w="3633"/>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5.2  ARCH</w:t>
            </w:r>
          </w:p>
        </w:tc>
        <w:tc>
          <w:tcPr>
            <w:tcW w:type="dxa" w:w="784"/>
            <w:shd w:fill="F2F2F2"/>
            <w:tcMar>
              <w:top w:w="80" w:type="dxa"/>
              <w:start w:w="100" w:type="dxa"/>
              <w:bottom w:w="80" w:type="dxa"/>
              <w:end w:w="100" w:type="dxa"/>
            </w:tcMar>
            <w:vAlign w:val="center"/>
          </w:tcPr>
          <w:p>
            <w:pPr>
              <w:spacing w:after="20" w:line="240" w:lineRule="auto"/>
              <w:jc w:val="right"/>
            </w:pPr>
            <w:r>
              <w:rPr>
                <w:rFonts w:ascii="Calibri" w:hAnsi="Calibri"/>
                <w:sz w:val="16"/>
              </w:rPr>
            </w:r>
            <w:r>
              <w:rPr>
                <w:rFonts w:ascii="Calibri" w:hAnsi="Calibri"/>
                <w:b w:val="0"/>
                <w:sz w:val="16"/>
              </w:rPr>
              <w:t>11</w:t>
            </w:r>
          </w:p>
        </w:tc>
        <w:tc>
          <w:tcPr>
            <w:tcW w:type="dxa" w:w="4060"/>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5.12  EVID</w:t>
            </w:r>
          </w:p>
        </w:tc>
        <w:tc>
          <w:tcPr>
            <w:tcW w:type="dxa" w:w="783"/>
            <w:shd w:fill="F2F2F2"/>
            <w:tcMar>
              <w:top w:w="80" w:type="dxa"/>
              <w:start w:w="100" w:type="dxa"/>
              <w:bottom w:w="80" w:type="dxa"/>
              <w:end w:w="100" w:type="dxa"/>
            </w:tcMar>
            <w:vAlign w:val="center"/>
          </w:tcPr>
          <w:p>
            <w:pPr>
              <w:spacing w:after="20" w:line="240" w:lineRule="auto"/>
              <w:jc w:val="right"/>
            </w:pPr>
            <w:r>
              <w:rPr>
                <w:rFonts w:ascii="Calibri" w:hAnsi="Calibri"/>
                <w:sz w:val="16"/>
              </w:rPr>
            </w:r>
            <w:r>
              <w:rPr>
                <w:rFonts w:ascii="Calibri" w:hAnsi="Calibri"/>
                <w:b w:val="0"/>
                <w:sz w:val="16"/>
              </w:rPr>
              <w:t>19</w:t>
            </w:r>
          </w:p>
        </w:tc>
      </w:tr>
      <w:tr>
        <w:trPr>
          <w:cantSplit/>
        </w:trPr>
        <w:tc>
          <w:tcPr>
            <w:tcW w:type="dxa" w:w="3633"/>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5.3  AUTH</w:t>
            </w:r>
          </w:p>
        </w:tc>
        <w:tc>
          <w:tcPr>
            <w:tcW w:type="dxa" w:w="784"/>
            <w:tcMar>
              <w:top w:w="80" w:type="dxa"/>
              <w:start w:w="100" w:type="dxa"/>
              <w:bottom w:w="80" w:type="dxa"/>
              <w:end w:w="100" w:type="dxa"/>
            </w:tcMar>
            <w:vAlign w:val="center"/>
          </w:tcPr>
          <w:p>
            <w:pPr>
              <w:spacing w:after="20" w:line="240" w:lineRule="auto"/>
              <w:jc w:val="right"/>
            </w:pPr>
            <w:r>
              <w:rPr>
                <w:rFonts w:ascii="Calibri" w:hAnsi="Calibri"/>
                <w:sz w:val="16"/>
              </w:rPr>
            </w:r>
            <w:r>
              <w:rPr>
                <w:rFonts w:ascii="Calibri" w:hAnsi="Calibri"/>
                <w:b w:val="0"/>
                <w:sz w:val="16"/>
              </w:rPr>
              <w:t>12</w:t>
            </w:r>
          </w:p>
        </w:tc>
        <w:tc>
          <w:tcPr>
            <w:tcW w:type="dxa" w:w="4060"/>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5.13  IF</w:t>
            </w:r>
          </w:p>
        </w:tc>
        <w:tc>
          <w:tcPr>
            <w:tcW w:type="dxa" w:w="783"/>
            <w:tcMar>
              <w:top w:w="80" w:type="dxa"/>
              <w:start w:w="100" w:type="dxa"/>
              <w:bottom w:w="80" w:type="dxa"/>
              <w:end w:w="100" w:type="dxa"/>
            </w:tcMar>
            <w:vAlign w:val="center"/>
          </w:tcPr>
          <w:p>
            <w:pPr>
              <w:spacing w:after="20" w:line="240" w:lineRule="auto"/>
              <w:jc w:val="right"/>
            </w:pPr>
            <w:r>
              <w:rPr>
                <w:rFonts w:ascii="Calibri" w:hAnsi="Calibri"/>
                <w:sz w:val="16"/>
              </w:rPr>
            </w:r>
            <w:r>
              <w:rPr>
                <w:rFonts w:ascii="Calibri" w:hAnsi="Calibri"/>
                <w:b w:val="0"/>
                <w:sz w:val="16"/>
              </w:rPr>
              <w:t>19</w:t>
            </w:r>
          </w:p>
        </w:tc>
      </w:tr>
      <w:tr>
        <w:trPr>
          <w:cantSplit/>
        </w:trPr>
        <w:tc>
          <w:tcPr>
            <w:tcW w:type="dxa" w:w="3633"/>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5.4  DELG</w:t>
            </w:r>
          </w:p>
        </w:tc>
        <w:tc>
          <w:tcPr>
            <w:tcW w:type="dxa" w:w="784"/>
            <w:shd w:fill="F2F2F2"/>
            <w:tcMar>
              <w:top w:w="80" w:type="dxa"/>
              <w:start w:w="100" w:type="dxa"/>
              <w:bottom w:w="80" w:type="dxa"/>
              <w:end w:w="100" w:type="dxa"/>
            </w:tcMar>
            <w:vAlign w:val="center"/>
          </w:tcPr>
          <w:p>
            <w:pPr>
              <w:spacing w:after="20" w:line="240" w:lineRule="auto"/>
              <w:jc w:val="right"/>
            </w:pPr>
            <w:r>
              <w:rPr>
                <w:rFonts w:ascii="Calibri" w:hAnsi="Calibri"/>
                <w:sz w:val="16"/>
              </w:rPr>
            </w:r>
            <w:r>
              <w:rPr>
                <w:rFonts w:ascii="Calibri" w:hAnsi="Calibri"/>
                <w:b w:val="0"/>
                <w:sz w:val="16"/>
              </w:rPr>
              <w:t>13</w:t>
            </w:r>
          </w:p>
        </w:tc>
        <w:tc>
          <w:tcPr>
            <w:tcW w:type="dxa" w:w="4060"/>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5.14  PHY</w:t>
            </w:r>
          </w:p>
        </w:tc>
        <w:tc>
          <w:tcPr>
            <w:tcW w:type="dxa" w:w="783"/>
            <w:shd w:fill="F2F2F2"/>
            <w:tcMar>
              <w:top w:w="80" w:type="dxa"/>
              <w:start w:w="100" w:type="dxa"/>
              <w:bottom w:w="80" w:type="dxa"/>
              <w:end w:w="100" w:type="dxa"/>
            </w:tcMar>
            <w:vAlign w:val="center"/>
          </w:tcPr>
          <w:p>
            <w:pPr>
              <w:spacing w:after="20" w:line="240" w:lineRule="auto"/>
              <w:jc w:val="right"/>
            </w:pPr>
            <w:r>
              <w:rPr>
                <w:rFonts w:ascii="Calibri" w:hAnsi="Calibri"/>
                <w:sz w:val="16"/>
              </w:rPr>
            </w:r>
            <w:r>
              <w:rPr>
                <w:rFonts w:ascii="Calibri" w:hAnsi="Calibri"/>
                <w:b w:val="0"/>
                <w:sz w:val="16"/>
              </w:rPr>
              <w:t>20</w:t>
            </w:r>
          </w:p>
        </w:tc>
      </w:tr>
      <w:tr>
        <w:trPr>
          <w:cantSplit/>
        </w:trPr>
        <w:tc>
          <w:tcPr>
            <w:tcW w:type="dxa" w:w="3633"/>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5.5  POL</w:t>
            </w:r>
          </w:p>
        </w:tc>
        <w:tc>
          <w:tcPr>
            <w:tcW w:type="dxa" w:w="784"/>
            <w:tcMar>
              <w:top w:w="80" w:type="dxa"/>
              <w:start w:w="100" w:type="dxa"/>
              <w:bottom w:w="80" w:type="dxa"/>
              <w:end w:w="100" w:type="dxa"/>
            </w:tcMar>
            <w:vAlign w:val="center"/>
          </w:tcPr>
          <w:p>
            <w:pPr>
              <w:spacing w:after="20" w:line="240" w:lineRule="auto"/>
              <w:jc w:val="right"/>
            </w:pPr>
            <w:r>
              <w:rPr>
                <w:rFonts w:ascii="Calibri" w:hAnsi="Calibri"/>
                <w:sz w:val="16"/>
              </w:rPr>
            </w:r>
            <w:r>
              <w:rPr>
                <w:rFonts w:ascii="Calibri" w:hAnsi="Calibri"/>
                <w:b w:val="0"/>
                <w:sz w:val="16"/>
              </w:rPr>
              <w:t>13</w:t>
            </w:r>
          </w:p>
        </w:tc>
        <w:tc>
          <w:tcPr>
            <w:tcW w:type="dxa" w:w="4060"/>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5.15  HMI</w:t>
            </w:r>
          </w:p>
        </w:tc>
        <w:tc>
          <w:tcPr>
            <w:tcW w:type="dxa" w:w="783"/>
            <w:tcMar>
              <w:top w:w="80" w:type="dxa"/>
              <w:start w:w="100" w:type="dxa"/>
              <w:bottom w:w="80" w:type="dxa"/>
              <w:end w:w="100" w:type="dxa"/>
            </w:tcMar>
            <w:vAlign w:val="center"/>
          </w:tcPr>
          <w:p>
            <w:pPr>
              <w:spacing w:after="20" w:line="240" w:lineRule="auto"/>
              <w:jc w:val="right"/>
            </w:pPr>
            <w:r>
              <w:rPr>
                <w:rFonts w:ascii="Calibri" w:hAnsi="Calibri"/>
                <w:sz w:val="16"/>
              </w:rPr>
            </w:r>
            <w:r>
              <w:rPr>
                <w:rFonts w:ascii="Calibri" w:hAnsi="Calibri"/>
                <w:b w:val="0"/>
                <w:sz w:val="16"/>
              </w:rPr>
              <w:t>21</w:t>
            </w:r>
          </w:p>
        </w:tc>
      </w:tr>
      <w:tr>
        <w:trPr>
          <w:cantSplit/>
        </w:trPr>
        <w:tc>
          <w:tcPr>
            <w:tcW w:type="dxa" w:w="3633"/>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5.6  OBS</w:t>
            </w:r>
          </w:p>
        </w:tc>
        <w:tc>
          <w:tcPr>
            <w:tcW w:type="dxa" w:w="784"/>
            <w:shd w:fill="F2F2F2"/>
            <w:tcMar>
              <w:top w:w="80" w:type="dxa"/>
              <w:start w:w="100" w:type="dxa"/>
              <w:bottom w:w="80" w:type="dxa"/>
              <w:end w:w="100" w:type="dxa"/>
            </w:tcMar>
            <w:vAlign w:val="center"/>
          </w:tcPr>
          <w:p>
            <w:pPr>
              <w:spacing w:after="20" w:line="240" w:lineRule="auto"/>
              <w:jc w:val="right"/>
            </w:pPr>
            <w:r>
              <w:rPr>
                <w:rFonts w:ascii="Calibri" w:hAnsi="Calibri"/>
                <w:sz w:val="16"/>
              </w:rPr>
            </w:r>
            <w:r>
              <w:rPr>
                <w:rFonts w:ascii="Calibri" w:hAnsi="Calibri"/>
                <w:b w:val="0"/>
                <w:sz w:val="16"/>
              </w:rPr>
              <w:t>14</w:t>
            </w:r>
          </w:p>
        </w:tc>
        <w:tc>
          <w:tcPr>
            <w:tcW w:type="dxa" w:w="4060"/>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5.16  PERF</w:t>
            </w:r>
          </w:p>
        </w:tc>
        <w:tc>
          <w:tcPr>
            <w:tcW w:type="dxa" w:w="783"/>
            <w:shd w:fill="F2F2F2"/>
            <w:tcMar>
              <w:top w:w="80" w:type="dxa"/>
              <w:start w:w="100" w:type="dxa"/>
              <w:bottom w:w="80" w:type="dxa"/>
              <w:end w:w="100" w:type="dxa"/>
            </w:tcMar>
            <w:vAlign w:val="center"/>
          </w:tcPr>
          <w:p>
            <w:pPr>
              <w:spacing w:after="20" w:line="240" w:lineRule="auto"/>
              <w:jc w:val="right"/>
            </w:pPr>
            <w:r>
              <w:rPr>
                <w:rFonts w:ascii="Calibri" w:hAnsi="Calibri"/>
                <w:sz w:val="16"/>
              </w:rPr>
            </w:r>
            <w:r>
              <w:rPr>
                <w:rFonts w:ascii="Calibri" w:hAnsi="Calibri"/>
                <w:b w:val="0"/>
                <w:sz w:val="16"/>
              </w:rPr>
              <w:t>21</w:t>
            </w:r>
          </w:p>
        </w:tc>
      </w:tr>
      <w:tr>
        <w:trPr>
          <w:cantSplit/>
        </w:trPr>
        <w:tc>
          <w:tcPr>
            <w:tcW w:type="dxa" w:w="3633"/>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5.7  SAFE</w:t>
            </w:r>
          </w:p>
        </w:tc>
        <w:tc>
          <w:tcPr>
            <w:tcW w:type="dxa" w:w="784"/>
            <w:tcMar>
              <w:top w:w="80" w:type="dxa"/>
              <w:start w:w="100" w:type="dxa"/>
              <w:bottom w:w="80" w:type="dxa"/>
              <w:end w:w="100" w:type="dxa"/>
            </w:tcMar>
            <w:vAlign w:val="center"/>
          </w:tcPr>
          <w:p>
            <w:pPr>
              <w:spacing w:after="20" w:line="240" w:lineRule="auto"/>
              <w:jc w:val="right"/>
            </w:pPr>
            <w:r>
              <w:rPr>
                <w:rFonts w:ascii="Calibri" w:hAnsi="Calibri"/>
                <w:sz w:val="16"/>
              </w:rPr>
            </w:r>
            <w:r>
              <w:rPr>
                <w:rFonts w:ascii="Calibri" w:hAnsi="Calibri"/>
                <w:b w:val="0"/>
                <w:sz w:val="16"/>
              </w:rPr>
              <w:t>15</w:t>
            </w:r>
          </w:p>
        </w:tc>
        <w:tc>
          <w:tcPr>
            <w:tcW w:type="dxa" w:w="4060"/>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5.17  SEC</w:t>
            </w:r>
          </w:p>
        </w:tc>
        <w:tc>
          <w:tcPr>
            <w:tcW w:type="dxa" w:w="783"/>
            <w:tcMar>
              <w:top w:w="80" w:type="dxa"/>
              <w:start w:w="100" w:type="dxa"/>
              <w:bottom w:w="80" w:type="dxa"/>
              <w:end w:w="100" w:type="dxa"/>
            </w:tcMar>
            <w:vAlign w:val="center"/>
          </w:tcPr>
          <w:p>
            <w:pPr>
              <w:spacing w:after="20" w:line="240" w:lineRule="auto"/>
              <w:jc w:val="right"/>
            </w:pPr>
            <w:r>
              <w:rPr>
                <w:rFonts w:ascii="Calibri" w:hAnsi="Calibri"/>
                <w:sz w:val="16"/>
              </w:rPr>
            </w:r>
            <w:r>
              <w:rPr>
                <w:rFonts w:ascii="Calibri" w:hAnsi="Calibri"/>
                <w:b w:val="0"/>
                <w:sz w:val="16"/>
              </w:rPr>
              <w:t>22</w:t>
            </w:r>
          </w:p>
        </w:tc>
      </w:tr>
      <w:tr>
        <w:trPr>
          <w:cantSplit/>
        </w:trPr>
        <w:tc>
          <w:tcPr>
            <w:tcW w:type="dxa" w:w="3633"/>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5.8  EXEC</w:t>
            </w:r>
          </w:p>
        </w:tc>
        <w:tc>
          <w:tcPr>
            <w:tcW w:type="dxa" w:w="784"/>
            <w:shd w:fill="F2F2F2"/>
            <w:tcMar>
              <w:top w:w="80" w:type="dxa"/>
              <w:start w:w="100" w:type="dxa"/>
              <w:bottom w:w="80" w:type="dxa"/>
              <w:end w:w="100" w:type="dxa"/>
            </w:tcMar>
            <w:vAlign w:val="center"/>
          </w:tcPr>
          <w:p>
            <w:pPr>
              <w:spacing w:after="20" w:line="240" w:lineRule="auto"/>
              <w:jc w:val="right"/>
            </w:pPr>
            <w:r>
              <w:rPr>
                <w:rFonts w:ascii="Calibri" w:hAnsi="Calibri"/>
                <w:sz w:val="16"/>
              </w:rPr>
            </w:r>
            <w:r>
              <w:rPr>
                <w:rFonts w:ascii="Calibri" w:hAnsi="Calibri"/>
                <w:b w:val="0"/>
                <w:sz w:val="16"/>
              </w:rPr>
              <w:t>15</w:t>
            </w:r>
          </w:p>
        </w:tc>
        <w:tc>
          <w:tcPr>
            <w:tcW w:type="dxa" w:w="4060"/>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5.18  OPS</w:t>
            </w:r>
          </w:p>
        </w:tc>
        <w:tc>
          <w:tcPr>
            <w:tcW w:type="dxa" w:w="783"/>
            <w:shd w:fill="F2F2F2"/>
            <w:tcMar>
              <w:top w:w="80" w:type="dxa"/>
              <w:start w:w="100" w:type="dxa"/>
              <w:bottom w:w="80" w:type="dxa"/>
              <w:end w:w="100" w:type="dxa"/>
            </w:tcMar>
            <w:vAlign w:val="center"/>
          </w:tcPr>
          <w:p>
            <w:pPr>
              <w:spacing w:after="20" w:line="240" w:lineRule="auto"/>
              <w:jc w:val="right"/>
            </w:pPr>
            <w:r>
              <w:rPr>
                <w:rFonts w:ascii="Calibri" w:hAnsi="Calibri"/>
                <w:sz w:val="16"/>
              </w:rPr>
            </w:r>
            <w:r>
              <w:rPr>
                <w:rFonts w:ascii="Calibri" w:hAnsi="Calibri"/>
                <w:b w:val="0"/>
                <w:sz w:val="16"/>
              </w:rPr>
              <w:t>23</w:t>
            </w:r>
          </w:p>
        </w:tc>
      </w:tr>
      <w:tr>
        <w:trPr>
          <w:cantSplit/>
        </w:trPr>
        <w:tc>
          <w:tcPr>
            <w:tcW w:type="dxa" w:w="3633"/>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5.9  COORD</w:t>
            </w:r>
          </w:p>
        </w:tc>
        <w:tc>
          <w:tcPr>
            <w:tcW w:type="dxa" w:w="784"/>
            <w:tcMar>
              <w:top w:w="80" w:type="dxa"/>
              <w:start w:w="100" w:type="dxa"/>
              <w:bottom w:w="80" w:type="dxa"/>
              <w:end w:w="100" w:type="dxa"/>
            </w:tcMar>
            <w:vAlign w:val="center"/>
          </w:tcPr>
          <w:p>
            <w:pPr>
              <w:spacing w:after="20" w:line="240" w:lineRule="auto"/>
              <w:jc w:val="right"/>
            </w:pPr>
            <w:r>
              <w:rPr>
                <w:rFonts w:ascii="Calibri" w:hAnsi="Calibri"/>
                <w:sz w:val="16"/>
              </w:rPr>
            </w:r>
            <w:r>
              <w:rPr>
                <w:rFonts w:ascii="Calibri" w:hAnsi="Calibri"/>
                <w:b w:val="0"/>
                <w:sz w:val="16"/>
              </w:rPr>
              <w:t>16</w:t>
            </w:r>
          </w:p>
        </w:tc>
        <w:tc>
          <w:tcPr>
            <w:tcW w:type="dxa" w:w="4060"/>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5.19  VV</w:t>
            </w:r>
          </w:p>
        </w:tc>
        <w:tc>
          <w:tcPr>
            <w:tcW w:type="dxa" w:w="783"/>
            <w:tcMar>
              <w:top w:w="80" w:type="dxa"/>
              <w:start w:w="100" w:type="dxa"/>
              <w:bottom w:w="80" w:type="dxa"/>
              <w:end w:w="100" w:type="dxa"/>
            </w:tcMar>
            <w:vAlign w:val="center"/>
          </w:tcPr>
          <w:p>
            <w:pPr>
              <w:spacing w:after="20" w:line="240" w:lineRule="auto"/>
              <w:jc w:val="right"/>
            </w:pPr>
            <w:r>
              <w:rPr>
                <w:rFonts w:ascii="Calibri" w:hAnsi="Calibri"/>
                <w:sz w:val="16"/>
              </w:rPr>
            </w:r>
            <w:r>
              <w:rPr>
                <w:rFonts w:ascii="Calibri" w:hAnsi="Calibri"/>
                <w:b w:val="0"/>
                <w:sz w:val="16"/>
              </w:rPr>
              <w:t>23</w:t>
            </w:r>
          </w:p>
        </w:tc>
      </w:tr>
      <w:tr>
        <w:trPr>
          <w:cantSplit/>
        </w:trPr>
        <w:tc>
          <w:tcPr>
            <w:tcW w:type="dxa" w:w="3633"/>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5.10  NET</w:t>
            </w:r>
          </w:p>
        </w:tc>
        <w:tc>
          <w:tcPr>
            <w:tcW w:type="dxa" w:w="784"/>
            <w:shd w:fill="F2F2F2"/>
            <w:tcMar>
              <w:top w:w="80" w:type="dxa"/>
              <w:start w:w="100" w:type="dxa"/>
              <w:bottom w:w="80" w:type="dxa"/>
              <w:end w:w="100" w:type="dxa"/>
            </w:tcMar>
            <w:vAlign w:val="center"/>
          </w:tcPr>
          <w:p>
            <w:pPr>
              <w:spacing w:after="20" w:line="240" w:lineRule="auto"/>
              <w:jc w:val="right"/>
            </w:pPr>
            <w:r>
              <w:rPr>
                <w:rFonts w:ascii="Calibri" w:hAnsi="Calibri"/>
                <w:sz w:val="16"/>
              </w:rPr>
            </w:r>
            <w:r>
              <w:rPr>
                <w:rFonts w:ascii="Calibri" w:hAnsi="Calibri"/>
                <w:b w:val="0"/>
                <w:sz w:val="16"/>
              </w:rPr>
              <w:t>17</w:t>
            </w:r>
          </w:p>
        </w:tc>
        <w:tc>
          <w:tcPr>
            <w:tcW w:type="dxa" w:w="4060"/>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5.20  GOV</w:t>
            </w:r>
          </w:p>
        </w:tc>
        <w:tc>
          <w:tcPr>
            <w:tcW w:type="dxa" w:w="783"/>
            <w:shd w:fill="F2F2F2"/>
            <w:tcMar>
              <w:top w:w="80" w:type="dxa"/>
              <w:start w:w="100" w:type="dxa"/>
              <w:bottom w:w="80" w:type="dxa"/>
              <w:end w:w="100" w:type="dxa"/>
            </w:tcMar>
            <w:vAlign w:val="center"/>
          </w:tcPr>
          <w:p>
            <w:pPr>
              <w:spacing w:after="20" w:line="240" w:lineRule="auto"/>
              <w:jc w:val="right"/>
            </w:pPr>
            <w:r>
              <w:rPr>
                <w:rFonts w:ascii="Calibri" w:hAnsi="Calibri"/>
                <w:sz w:val="16"/>
              </w:rPr>
            </w:r>
            <w:r>
              <w:rPr>
                <w:rFonts w:ascii="Calibri" w:hAnsi="Calibri"/>
                <w:b w:val="0"/>
                <w:sz w:val="16"/>
              </w:rPr>
              <w:t>24</w:t>
            </w:r>
          </w:p>
        </w:tc>
      </w:tr>
    </w:tbl>
    <w:p>
      <w:r>
        <w:br w:type="page"/>
      </w:r>
    </w:p>
    <w:p>
      <w:pPr>
        <w:pStyle w:val="Heading1"/>
        <w:keepNext/>
        <w:pageBreakBefore/>
      </w:pPr>
      <w:r>
        <w:t>1  Purpose and scope</w:t>
      </w:r>
    </w:p>
    <w:p>
      <w:r>
        <w:t>This specification defines the complete target requirement baseline for Aegis-OT from research architecture through independently qualified, deployment-specific authorization. It establishes the system boundary, required assurance behaviors, interfaces, operational qualities, verification gates, and decision records needed to reach that end state.</w:t>
      </w:r>
    </w:p>
    <w:p>
      <w:pPr>
        <w:pStyle w:val="Heading2"/>
        <w:keepNext/>
        <w:pageBreakBefore w:val="0"/>
      </w:pPr>
      <w:r>
        <w:t>1.1  Intended end state</w:t>
      </w:r>
    </w:p>
    <w:p>
      <w:r>
        <w:t>Aegis-OT is intended to be an independently deployable runtime-assurance control plane positioned between AI-enabled decision services and consequential OT interfaces. An agent may propose an action but never owns execution authority. A separately administered path establishes whether one bounded effect is eligible using authenticated identity, attenuated delegation, current policy, fresh state, modeled consequence, human approval when required, replay and coordination state, and evidence continuity. Enforcement occurs as close as practical to actuation, and completion is based on authenticated acknowledgment plus independent readback rather than command transmission alone.</w:t>
      </w:r>
    </w:p>
    <w:p>
      <w:pPr>
        <w:pStyle w:val="Heading2"/>
        <w:keepNext/>
        <w:pageBreakBefore w:val="0"/>
      </w:pPr>
      <w:r>
        <w:t>1.2  Success condition</w:t>
      </w:r>
    </w:p>
    <w:p>
      <w:r>
        <w:t>The end state is reached only when every mandatory requirement applicable to the deployment is satisfied, every TBR that affects acceptance is closed, every gate through G7 is accepted by its designated authority, and deployment-specific residual risk is recorded. The technical objective is to reduce unsafe or unauthorized execution without exceeding approved mission, latency, availability, evidence, operator-workload, or affordability limits.</w:t>
      </w:r>
    </w:p>
    <w:p>
      <w:pPr>
        <w:pStyle w:val="Heading2"/>
        <w:keepNext/>
        <w:pageBreakBefore w:val="0"/>
      </w:pPr>
      <w:r>
        <w:t>1.3  In scope</w:t>
      </w:r>
    </w:p>
    <w:p>
      <w:pPr>
        <w:pStyle w:val="ListBullet"/>
      </w:pPr>
      <w:r>
        <w:t>Agent-originated proposals for registered consequential OT operations.</w:t>
      </w:r>
    </w:p>
    <w:p>
      <w:pPr>
        <w:pStyle w:val="ListBullet"/>
      </w:pPr>
      <w:r>
        <w:t>Identity, delegation, policy, approval, consequence evaluation, permit issuance, near-actuation enforcement, effect coordination, and evidence.</w:t>
      </w:r>
    </w:p>
    <w:p>
      <w:pPr>
        <w:pStyle w:val="ListBullet"/>
      </w:pPr>
      <w:r>
        <w:t>Representative multi-host deployment, workload identity, network isolation, physical/OT interfaces, operator interaction, lifecycle operations, and independent qualification.</w:t>
      </w:r>
    </w:p>
    <w:p>
      <w:pPr>
        <w:pStyle w:val="ListBullet"/>
      </w:pPr>
      <w:r>
        <w:t>Security, safety, resilience, performance, scale, supply chain, records, governance, and authorization requirements needed for a deployable product baseline.</w:t>
      </w:r>
    </w:p>
    <w:p>
      <w:pPr>
        <w:pStyle w:val="Heading2"/>
        <w:keepNext/>
        <w:pageBreakBefore w:val="0"/>
      </w:pPr>
      <w:r>
        <w:t>1.4  Out of scope unless separately baselined</w:t>
      </w:r>
    </w:p>
    <w:p>
      <w:pPr>
        <w:pStyle w:val="ListBullet"/>
      </w:pPr>
      <w:r>
        <w:t>Autonomous authority to choose mission objectives or expand delegated scope.</w:t>
      </w:r>
    </w:p>
    <w:p>
      <w:pPr>
        <w:pStyle w:val="ListBullet"/>
      </w:pPr>
      <w:r>
        <w:t>Direct connection to a production OT environment before deployment-specific authorization.</w:t>
      </w:r>
    </w:p>
    <w:p>
      <w:pPr>
        <w:pStyle w:val="ListBullet"/>
      </w:pPr>
      <w:r>
        <w:t>A universal process model or universal safety envelope independent of sector and site context.</w:t>
      </w:r>
    </w:p>
    <w:p>
      <w:pPr>
        <w:pStyle w:val="ListBullet"/>
      </w:pPr>
      <w:r>
        <w:t>A claim of exactly-once physical effects without a defined failure model and separate qualification evidence.</w:t>
      </w:r>
    </w:p>
    <w:p>
      <w:pPr>
        <w:pStyle w:val="ListBullet"/>
      </w:pPr>
      <w:r>
        <w:t>Certification to NIST, ISA/IEC 62443, or any regulatory regime solely because those sources informed the design.</w:t>
      </w:r>
    </w:p>
    <w:p>
      <w:pPr>
        <w:pStyle w:val="Heading1"/>
        <w:keepNext/>
        <w:pageBreakBefore/>
      </w:pPr>
      <w:r>
        <w:t>2  System context and operational concept</w:t>
      </w:r>
    </w:p>
    <w:tbl>
      <w:tblPr>
        <w:tblStyle w:val="TableGrid"/>
        <w:tblW w:type="dxa" w:w="9260"/>
        <w:jc w:val="center"/>
        <w:tblLayout w:type="fixed"/>
        <w:tblLook w:firstColumn="1" w:firstRow="1" w:lastColumn="0" w:lastRow="0" w:noHBand="0" w:noVBand="1" w:val="04A0"/>
        <w:tblInd w:w="100" w:type="dxa"/>
      </w:tblPr>
      <w:tblGrid>
        <w:gridCol w:w="2422"/>
        <w:gridCol w:w="4488"/>
        <w:gridCol w:w="2350"/>
      </w:tblGrid>
      <w:tr>
        <w:trPr>
          <w:tblHeader w:val="true"/>
          <w:cantSplit/>
        </w:trPr>
        <w:tc>
          <w:tcPr>
            <w:tcW w:type="dxa" w:w="2422"/>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6"/>
              </w:rPr>
            </w:r>
            <w:r>
              <w:rPr>
                <w:rFonts w:ascii="Calibri" w:hAnsi="Calibri"/>
                <w:b/>
                <w:color w:val="FFFFFF"/>
                <w:sz w:val="16"/>
              </w:rPr>
              <w:t>Untrusted proposal domain</w:t>
            </w:r>
          </w:p>
        </w:tc>
        <w:tc>
          <w:tcPr>
            <w:tcW w:type="dxa" w:w="448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6"/>
              </w:rPr>
            </w:r>
            <w:r>
              <w:rPr>
                <w:rFonts w:ascii="Calibri" w:hAnsi="Calibri"/>
                <w:b/>
                <w:color w:val="FFFFFF"/>
                <w:sz w:val="16"/>
              </w:rPr>
              <w:t>Independently administered assurance control plane</w:t>
            </w:r>
          </w:p>
        </w:tc>
        <w:tc>
          <w:tcPr>
            <w:tcW w:type="dxa" w:w="2350"/>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6"/>
              </w:rPr>
            </w:r>
            <w:r>
              <w:rPr>
                <w:rFonts w:ascii="Calibri" w:hAnsi="Calibri"/>
                <w:b/>
                <w:color w:val="FFFFFF"/>
                <w:sz w:val="16"/>
              </w:rPr>
              <w:t>Consequential OT domain</w:t>
            </w:r>
          </w:p>
        </w:tc>
      </w:tr>
      <w:tr>
        <w:trPr>
          <w:cantSplit/>
        </w:trPr>
        <w:tc>
          <w:tcPr>
            <w:tcW w:type="dxa" w:w="2422"/>
            <w:tcMar>
              <w:top w:w="80" w:type="dxa"/>
              <w:start w:w="100" w:type="dxa"/>
              <w:bottom w:w="80" w:type="dxa"/>
              <w:end w:w="100" w:type="dxa"/>
            </w:tcMar>
            <w:vAlign w:val="center"/>
            <w:shd w:fill="D9EAF7"/>
          </w:tcPr>
          <w:p>
            <w:pPr>
              <w:spacing w:after="20" w:line="240" w:lineRule="auto"/>
              <w:jc w:val="left"/>
            </w:pPr>
            <w:r>
              <w:rPr>
                <w:rFonts w:ascii="Calibri" w:hAnsi="Calibri"/>
                <w:sz w:val="16"/>
              </w:rPr>
            </w:r>
            <w:r>
              <w:rPr>
                <w:rFonts w:ascii="Calibri" w:hAnsi="Calibri"/>
                <w:b w:val="0"/>
                <w:sz w:val="16"/>
              </w:rPr>
              <w:t>AI agent or automated workload</w:t>
              <w:br/>
              <w:br/>
              <w:t>May propose and receive status; has no plant-apply capability.</w:t>
            </w:r>
          </w:p>
        </w:tc>
        <w:tc>
          <w:tcPr>
            <w:tcW w:type="dxa" w:w="4488"/>
            <w:tcMar>
              <w:top w:w="80" w:type="dxa"/>
              <w:start w:w="100" w:type="dxa"/>
              <w:bottom w:w="80" w:type="dxa"/>
              <w:end w:w="100" w:type="dxa"/>
            </w:tcMar>
            <w:vAlign w:val="center"/>
            <w:shd w:fill="D9EAF7"/>
          </w:tcPr>
          <w:p>
            <w:pPr>
              <w:spacing w:after="20" w:line="240" w:lineRule="auto"/>
              <w:jc w:val="left"/>
            </w:pPr>
            <w:r>
              <w:rPr>
                <w:rFonts w:ascii="Calibri" w:hAnsi="Calibri"/>
                <w:sz w:val="16"/>
              </w:rPr>
            </w:r>
            <w:r>
              <w:rPr>
                <w:rFonts w:ascii="Calibri" w:hAnsi="Calibri"/>
                <w:b w:val="0"/>
                <w:sz w:val="16"/>
              </w:rPr>
              <w:t>Workload identity and delegation</w:t>
              <w:br/>
              <w:t>Policy and signed approval</w:t>
              <w:br/>
              <w:t>Fresh signed observation and consequence evaluation</w:t>
              <w:br/>
              <w:t>Gateway, one-use permit, replay and effect coordination</w:t>
              <w:br/>
              <w:t>Durable evidence and external anchor</w:t>
            </w:r>
          </w:p>
        </w:tc>
        <w:tc>
          <w:tcPr>
            <w:tcW w:type="dxa" w:w="2350"/>
            <w:tcMar>
              <w:top w:w="80" w:type="dxa"/>
              <w:start w:w="100" w:type="dxa"/>
              <w:bottom w:w="80" w:type="dxa"/>
              <w:end w:w="100" w:type="dxa"/>
            </w:tcMar>
            <w:vAlign w:val="center"/>
            <w:shd w:fill="D9EAF7"/>
          </w:tcPr>
          <w:p>
            <w:pPr>
              <w:spacing w:after="20" w:line="240" w:lineRule="auto"/>
              <w:jc w:val="left"/>
            </w:pPr>
            <w:r>
              <w:rPr>
                <w:rFonts w:ascii="Calibri" w:hAnsi="Calibri"/>
                <w:sz w:val="16"/>
              </w:rPr>
            </w:r>
            <w:r>
              <w:rPr>
                <w:rFonts w:ascii="Calibri" w:hAnsi="Calibri"/>
                <w:b w:val="0"/>
                <w:sz w:val="16"/>
              </w:rPr>
              <w:t>Near-actuation adapter or PLC enforcement</w:t>
              <w:br/>
              <w:t>Physical process</w:t>
              <w:br/>
              <w:t>Independent post-effect observation</w:t>
            </w:r>
          </w:p>
        </w:tc>
      </w:tr>
    </w:tbl>
    <w:tbl>
      <w:tblPr>
        <w:tblStyle w:val="TableGrid"/>
        <w:tblW w:type="dxa" w:w="9200"/>
        <w:jc w:val="center"/>
        <w:tblLayout w:type="fixed"/>
        <w:tblLook w:firstColumn="1" w:firstRow="1" w:lastColumn="0" w:lastRow="0" w:noHBand="0" w:noVBand="1" w:val="04A0"/>
        <w:tblInd w:w="160" w:type="dxa"/>
      </w:tblPr>
      <w:tblGrid>
        <w:gridCol w:w="9200"/>
      </w:tblGrid>
      <w:tr>
        <w:trPr>
          <w:cantSplit/>
          <w:tblHeader w:val="true"/>
        </w:trPr>
        <w:tc>
          <w:tcPr>
            <w:tcW w:type="dxa" w:w="9200"/>
            <w:tcMar>
              <w:top w:w="140" w:type="dxa"/>
              <w:start w:w="160" w:type="dxa"/>
              <w:bottom w:w="140" w:type="dxa"/>
              <w:end w:w="160" w:type="dxa"/>
            </w:tcMar>
            <w:shd w:fill="D9EAF7"/>
          </w:tcPr>
          <w:p>
            <w:pPr>
              <w:spacing w:after="0"/>
            </w:pPr>
            <w:r>
              <w:rPr>
                <w:b/>
                <w:color w:val="17365D"/>
              </w:rPr>
              <w:t xml:space="preserve">Consequence path: </w:t>
            </w:r>
            <w:r>
              <w:rPr>
                <w:color w:val="404040"/>
              </w:rPr>
              <w:t>Proposal → identity and delegation → policy and approval → state and consequence → one-use permit → at-most-one dispatch → signed acknowledgment and independent readback → evidence and reconciliation.</w:t>
            </w:r>
          </w:p>
        </w:tc>
      </w:tr>
    </w:tbl>
    <w:p>
      <w:pPr>
        <w:jc w:val="center"/>
      </w:pPr>
      <w:r>
        <w:rPr>
          <w:i/>
          <w:sz w:val="18"/>
        </w:rPr>
        <w:t>Figure 1. Target logical assurance architecture — specification, not a deployment claim</w:t>
      </w:r>
    </w:p>
    <w:p>
      <w:pPr>
        <w:pStyle w:val="Heading2"/>
        <w:keepNext/>
        <w:pageBreakBefore w:val="0"/>
      </w:pPr>
      <w:r>
        <w:t>2.1  Principal actors and components</w:t>
      </w:r>
    </w:p>
    <w:tbl>
      <w:tblPr>
        <w:tblStyle w:val="TableGrid"/>
        <w:tblW w:type="dxa" w:w="9260"/>
        <w:jc w:val="center"/>
        <w:tblLayout w:type="fixed"/>
        <w:tblLook w:firstColumn="1" w:firstRow="1" w:lastColumn="0" w:lastRow="0" w:noHBand="0" w:noVBand="1" w:val="04A0"/>
        <w:tblInd w:w="100" w:type="dxa"/>
      </w:tblPr>
      <w:tblGrid>
        <w:gridCol w:w="2992"/>
        <w:gridCol w:w="6268"/>
      </w:tblGrid>
      <w:tr>
        <w:trPr>
          <w:tblHeader w:val="true"/>
          <w:cantSplit/>
        </w:trPr>
        <w:tc>
          <w:tcPr>
            <w:tcW w:type="dxa" w:w="2992"/>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7"/>
              </w:rPr>
            </w:r>
            <w:r>
              <w:rPr>
                <w:rFonts w:ascii="Calibri" w:hAnsi="Calibri"/>
                <w:b/>
                <w:color w:val="FFFFFF"/>
                <w:sz w:val="17"/>
              </w:rPr>
              <w:t>Actor or component</w:t>
            </w:r>
          </w:p>
        </w:tc>
        <w:tc>
          <w:tcPr>
            <w:tcW w:type="dxa" w:w="626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7"/>
              </w:rPr>
            </w:r>
            <w:r>
              <w:rPr>
                <w:rFonts w:ascii="Calibri" w:hAnsi="Calibri"/>
                <w:b/>
                <w:color w:val="FFFFFF"/>
                <w:sz w:val="17"/>
              </w:rPr>
              <w:t>End-state responsibility</w:t>
            </w:r>
          </w:p>
        </w:tc>
      </w:tr>
      <w:tr>
        <w:trPr>
          <w:cantSplit/>
        </w:trPr>
        <w:tc>
          <w:tcPr>
            <w:tcW w:type="dxa" w:w="299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AI agent / workload</w:t>
            </w:r>
          </w:p>
        </w:tc>
        <w:tc>
          <w:tcPr>
            <w:tcW w:type="dxa" w:w="6268"/>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Proposes an action; holds no direct plant capability.</w:t>
            </w:r>
          </w:p>
        </w:tc>
      </w:tr>
      <w:tr>
        <w:trPr>
          <w:cantSplit/>
        </w:trPr>
        <w:tc>
          <w:tcPr>
            <w:tcW w:type="dxa" w:w="2992"/>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Authorization gateway</w:t>
            </w:r>
          </w:p>
        </w:tc>
        <w:tc>
          <w:tcPr>
            <w:tcW w:type="dxa" w:w="6268"/>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Authenticates workload and actor context; evaluates authorization inputs; issues one-use permits; coordinates and records the transaction.</w:t>
            </w:r>
          </w:p>
        </w:tc>
      </w:tr>
      <w:tr>
        <w:trPr>
          <w:cantSplit/>
        </w:trPr>
        <w:tc>
          <w:tcPr>
            <w:tcW w:type="dxa" w:w="299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Identity and trust authority</w:t>
            </w:r>
          </w:p>
        </w:tc>
        <w:tc>
          <w:tcPr>
            <w:tcW w:type="dxa" w:w="6268"/>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Issues, rotates, expires, and revokes workload identity and trust material.</w:t>
            </w:r>
          </w:p>
        </w:tc>
      </w:tr>
      <w:tr>
        <w:trPr>
          <w:cantSplit/>
        </w:trPr>
        <w:tc>
          <w:tcPr>
            <w:tcW w:type="dxa" w:w="2992"/>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Delegation authority</w:t>
            </w:r>
          </w:p>
        </w:tc>
        <w:tc>
          <w:tcPr>
            <w:tcW w:type="dxa" w:w="6268"/>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Issues attenuated grants and maintains authoritative revocation state.</w:t>
            </w:r>
          </w:p>
        </w:tc>
      </w:tr>
      <w:tr>
        <w:trPr>
          <w:cantSplit/>
        </w:trPr>
        <w:tc>
          <w:tcPr>
            <w:tcW w:type="dxa" w:w="299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Policy / approval authority</w:t>
            </w:r>
          </w:p>
        </w:tc>
        <w:tc>
          <w:tcPr>
            <w:tcW w:type="dxa" w:w="6268"/>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Operates policy, defines risk bands, and issues or validates human approvals.</w:t>
            </w:r>
          </w:p>
        </w:tc>
      </w:tr>
      <w:tr>
        <w:trPr>
          <w:cantSplit/>
        </w:trPr>
        <w:tc>
          <w:tcPr>
            <w:tcW w:type="dxa" w:w="2992"/>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Observer</w:t>
            </w:r>
          </w:p>
        </w:tc>
        <w:tc>
          <w:tcPr>
            <w:tcW w:type="dxa" w:w="6268"/>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Produces signed, freshness-bound pre- and post-state observations.</w:t>
            </w:r>
          </w:p>
        </w:tc>
      </w:tr>
      <w:tr>
        <w:trPr>
          <w:cantSplit/>
        </w:trPr>
        <w:tc>
          <w:tcPr>
            <w:tcW w:type="dxa" w:w="299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Consequence evaluator</w:t>
            </w:r>
          </w:p>
        </w:tc>
        <w:tc>
          <w:tcPr>
            <w:tcW w:type="dxa" w:w="6268"/>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Evaluates the exact proposed transition outside agent reasoning using approved models and constraints.</w:t>
            </w:r>
          </w:p>
        </w:tc>
      </w:tr>
      <w:tr>
        <w:trPr>
          <w:cantSplit/>
        </w:trPr>
        <w:tc>
          <w:tcPr>
            <w:tcW w:type="dxa" w:w="2992"/>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OT adapter / PLC enforcement role</w:t>
            </w:r>
          </w:p>
        </w:tc>
        <w:tc>
          <w:tcPr>
            <w:tcW w:type="dxa" w:w="6268"/>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Validates the exact permit and current bindings immediately before the sole consequential plant-apply operation.</w:t>
            </w:r>
          </w:p>
        </w:tc>
      </w:tr>
      <w:tr>
        <w:trPr>
          <w:cantSplit/>
        </w:trPr>
        <w:tc>
          <w:tcPr>
            <w:tcW w:type="dxa" w:w="299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Coordination and replay services</w:t>
            </w:r>
          </w:p>
        </w:tc>
        <w:tc>
          <w:tcPr>
            <w:tcW w:type="dxa" w:w="6268"/>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Preserve at-most-once admission, explicit unknown-effect state, and query-only reconciliation under the approved failure model.</w:t>
            </w:r>
          </w:p>
        </w:tc>
      </w:tr>
      <w:tr>
        <w:trPr>
          <w:cantSplit/>
        </w:trPr>
        <w:tc>
          <w:tcPr>
            <w:tcW w:type="dxa" w:w="2992"/>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Evidence service / external anchor</w:t>
            </w:r>
          </w:p>
        </w:tc>
        <w:tc>
          <w:tcPr>
            <w:tcW w:type="dxa" w:w="6268"/>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Retains correlated tamper-evident evidence and anchors custody outside the producing host or domain.</w:t>
            </w:r>
          </w:p>
        </w:tc>
      </w:tr>
      <w:tr>
        <w:trPr>
          <w:cantSplit/>
        </w:trPr>
        <w:tc>
          <w:tcPr>
            <w:tcW w:type="dxa" w:w="299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Operator</w:t>
            </w:r>
          </w:p>
        </w:tc>
        <w:tc>
          <w:tcPr>
            <w:tcW w:type="dxa" w:w="6268"/>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Approves, monitors, quarantines, or performs recovery only within separately delegated authority.</w:t>
            </w:r>
          </w:p>
        </w:tc>
      </w:tr>
      <w:tr>
        <w:trPr>
          <w:cantSplit/>
        </w:trPr>
        <w:tc>
          <w:tcPr>
            <w:tcW w:type="dxa" w:w="2992"/>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Independent assessor</w:t>
            </w:r>
          </w:p>
        </w:tc>
        <w:tc>
          <w:tcPr>
            <w:tcW w:type="dxa" w:w="6268"/>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Validates requirements, evidence custody, security and safety behavior, and claim boundaries without implementation custody.</w:t>
            </w:r>
          </w:p>
        </w:tc>
      </w:tr>
    </w:tbl>
    <w:p>
      <w:pPr>
        <w:pStyle w:val="Heading2"/>
        <w:keepNext/>
        <w:pageBreakBefore w:val="0"/>
      </w:pPr>
      <w:r>
        <w:t>2.2  Nominal action transaction</w:t>
      </w:r>
    </w:p>
    <w:p>
      <w:pPr>
        <w:pStyle w:val="ListNumber"/>
      </w:pPr>
      <w:r>
        <w:t>The agent requests a challenged pre-observation and submits a closed, signed proposal.</w:t>
      </w:r>
    </w:p>
    <w:p>
      <w:pPr>
        <w:pStyle w:val="ListNumber"/>
      </w:pPr>
      <w:r>
        <w:t>The gateway authenticates the submitting workload and binds it to the asserted actor and delegation subject.</w:t>
      </w:r>
    </w:p>
    <w:p>
      <w:pPr>
        <w:pStyle w:val="ListNumber"/>
      </w:pPr>
      <w:r>
        <w:t>The complete delegation chain, revocation state, policy, risk band, and approval artifact when required are validated.</w:t>
      </w:r>
    </w:p>
    <w:p>
      <w:pPr>
        <w:pStyle w:val="ListNumber"/>
      </w:pPr>
      <w:r>
        <w:t>The observer and consequence evaluator establish the exact current state and predicted bounded result under approved models.</w:t>
      </w:r>
    </w:p>
    <w:p>
      <w:pPr>
        <w:pStyle w:val="ListNumber"/>
      </w:pPr>
      <w:r>
        <w:t>The gateway issues a short-lived, one-use permit binding the full authorization and predicted-consequence chain.</w:t>
      </w:r>
    </w:p>
    <w:p>
      <w:pPr>
        <w:pStyle w:val="ListNumber"/>
      </w:pPr>
      <w:r>
        <w:t>The OT adapter atomically admits the permit, revalidates current bindings, and makes at most one consequential dispatch under the approved failure model.</w:t>
      </w:r>
    </w:p>
    <w:p>
      <w:pPr>
        <w:pStyle w:val="ListNumber"/>
      </w:pPr>
      <w:r>
        <w:t>The system obtains a signed acknowledgment and a separately signed post-observation, classifies the effect, and anchors the complete evidence chain.</w:t>
      </w:r>
    </w:p>
    <w:p>
      <w:pPr>
        <w:pStyle w:val="ListNumber"/>
      </w:pPr>
      <w:r>
        <w:t>If effect is uncertain, the system reports unknown effect, blocks conflicts, and performs authorized query-only reconciliation without automatic redispatch.</w:t>
      </w:r>
    </w:p>
    <w:p>
      <w:pPr>
        <w:pStyle w:val="Heading2"/>
        <w:keepNext/>
        <w:pageBreakBefore w:val="0"/>
      </w:pPr>
      <w:r>
        <w:t>2.3  Required layered state model</w:t>
      </w:r>
    </w:p>
    <w:tbl>
      <w:tblPr>
        <w:tblStyle w:val="TableGrid"/>
        <w:tblW w:type="dxa" w:w="9200"/>
        <w:jc w:val="center"/>
        <w:tblLayout w:type="fixed"/>
        <w:tblLook w:firstColumn="1" w:firstRow="1" w:lastColumn="0" w:lastRow="0" w:noHBand="0" w:noVBand="1" w:val="04A0"/>
        <w:tblInd w:w="160" w:type="dxa"/>
      </w:tblPr>
      <w:tblGrid>
        <w:gridCol w:w="9200"/>
      </w:tblGrid>
      <w:tr>
        <w:trPr>
          <w:cantSplit/>
          <w:tblHeader w:val="true"/>
        </w:trPr>
        <w:tc>
          <w:tcPr>
            <w:tcW w:type="dxa" w:w="9200"/>
            <w:tcMar>
              <w:top w:w="140" w:type="dxa"/>
              <w:start w:w="160" w:type="dxa"/>
              <w:bottom w:w="140" w:type="dxa"/>
              <w:end w:w="160" w:type="dxa"/>
            </w:tcMar>
            <w:shd w:fill="FCE4D6"/>
          </w:tcPr>
          <w:p>
            <w:pPr>
              <w:spacing w:after="0"/>
            </w:pPr>
            <w:r>
              <w:rPr>
                <w:b/>
                <w:color w:val="17365D"/>
              </w:rPr>
              <w:t xml:space="preserve">State mapping rules: </w:t>
            </w:r>
            <w:r>
              <w:rPr>
                <w:color w:val="404040"/>
              </w:rPr>
              <w:t>APPLIED is not COMPLETED until the required independent signed post-observation succeeds. A recovery-process state is never proof of physical effect. UNKNOWN_EFFECT may resolve only from authoritative signed evidence that establishes APPLIED or REJECTED; communications success, timeout, restart, or operator expectation is insufficient.</w:t>
            </w:r>
          </w:p>
        </w:tc>
      </w:tr>
    </w:tbl>
    <w:p>
      <w:pPr>
        <w:spacing w:before="0" w:after="20"/>
      </w:pPr>
      <w:r>
        <w:rPr>
          <w:sz w:val="2"/>
        </w:rPr>
      </w:r>
    </w:p>
    <w:tbl>
      <w:tblPr>
        <w:tblStyle w:val="TableGrid"/>
        <w:tblW w:type="dxa" w:w="9260"/>
        <w:jc w:val="center"/>
        <w:tblLayout w:type="fixed"/>
        <w:tblLook w:firstColumn="1" w:firstRow="1" w:lastColumn="0" w:lastRow="0" w:noHBand="0" w:noVBand="1" w:val="04A0"/>
        <w:tblInd w:w="100" w:type="dxa"/>
      </w:tblPr>
      <w:tblGrid>
        <w:gridCol w:w="2066"/>
        <w:gridCol w:w="7194"/>
      </w:tblGrid>
      <w:tr>
        <w:trPr>
          <w:tblHeader w:val="true"/>
          <w:cantSplit/>
        </w:trPr>
        <w:tc>
          <w:tcPr>
            <w:tcW w:type="dxa" w:w="2066"/>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4"/>
              </w:rPr>
            </w:r>
            <w:r>
              <w:rPr>
                <w:rFonts w:ascii="Calibri" w:hAnsi="Calibri"/>
                <w:b/>
                <w:color w:val="FFFFFF"/>
                <w:sz w:val="14"/>
              </w:rPr>
              <w:t>Layer</w:t>
            </w:r>
          </w:p>
        </w:tc>
        <w:tc>
          <w:tcPr>
            <w:tcW w:type="dxa" w:w="7194"/>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4"/>
              </w:rPr>
            </w:r>
            <w:r>
              <w:rPr>
                <w:rFonts w:ascii="Calibri" w:hAnsi="Calibri"/>
                <w:b/>
                <w:color w:val="FFFFFF"/>
                <w:sz w:val="14"/>
              </w:rPr>
              <w:t>Required states and meanings</w:t>
            </w:r>
          </w:p>
        </w:tc>
      </w:tr>
      <w:tr>
        <w:trPr>
          <w:cantSplit/>
        </w:trPr>
        <w:tc>
          <w:tcPr>
            <w:tcW w:type="dxa" w:w="2066"/>
            <w:tcMar>
              <w:top w:w="80" w:type="dxa"/>
              <w:start w:w="100" w:type="dxa"/>
              <w:bottom w:w="80" w:type="dxa"/>
              <w:end w:w="100" w:type="dxa"/>
            </w:tcMar>
            <w:vAlign w:val="center"/>
          </w:tcPr>
          <w:p>
            <w:pPr>
              <w:spacing w:after="20" w:line="240" w:lineRule="auto"/>
              <w:jc w:val="left"/>
            </w:pPr>
            <w:r>
              <w:rPr>
                <w:rFonts w:ascii="Calibri" w:hAnsi="Calibri"/>
                <w:sz w:val="14"/>
              </w:rPr>
            </w:r>
            <w:r>
              <w:rPr>
                <w:rFonts w:ascii="Calibri" w:hAnsi="Calibri"/>
                <w:b w:val="0"/>
                <w:sz w:val="14"/>
              </w:rPr>
              <w:t>Authorization</w:t>
            </w:r>
          </w:p>
        </w:tc>
        <w:tc>
          <w:tcPr>
            <w:tcW w:type="dxa" w:w="7194"/>
            <w:tcMar>
              <w:top w:w="80" w:type="dxa"/>
              <w:start w:w="100" w:type="dxa"/>
              <w:bottom w:w="80" w:type="dxa"/>
              <w:end w:w="100" w:type="dxa"/>
            </w:tcMar>
            <w:vAlign w:val="center"/>
          </w:tcPr>
          <w:p>
            <w:pPr>
              <w:spacing w:after="20" w:line="240" w:lineRule="auto"/>
              <w:jc w:val="left"/>
            </w:pPr>
            <w:r>
              <w:rPr>
                <w:rFonts w:ascii="Calibri" w:hAnsi="Calibri"/>
                <w:sz w:val="14"/>
              </w:rPr>
            </w:r>
            <w:r>
              <w:rPr>
                <w:rFonts w:ascii="Calibri" w:hAnsi="Calibri"/>
                <w:b w:val="0"/>
                <w:sz w:val="14"/>
              </w:rPr>
              <w:t>DENIED — authorization did not complete; no permit or consequential dispatch.</w:t>
              <w:br/>
              <w:t>QUARANTINED — separately authorized containment blocks the affected subject, resource, transaction, or zone.</w:t>
              <w:br/>
              <w:t>DEFERRED — no dispatch; a required condition or authority is unsatisfied.</w:t>
              <w:br/>
              <w:t>AUTHORIZED — all controls passed for the exact bounded action; this is not proof of dispatch or effect.</w:t>
            </w:r>
          </w:p>
        </w:tc>
      </w:tr>
      <w:tr>
        <w:trPr>
          <w:cantSplit/>
        </w:trPr>
        <w:tc>
          <w:tcPr>
            <w:tcW w:type="dxa" w:w="2066"/>
            <w:shd w:fill="F2F2F2"/>
            <w:tcMar>
              <w:top w:w="80" w:type="dxa"/>
              <w:start w:w="100" w:type="dxa"/>
              <w:bottom w:w="80" w:type="dxa"/>
              <w:end w:w="100" w:type="dxa"/>
            </w:tcMar>
            <w:vAlign w:val="center"/>
          </w:tcPr>
          <w:p>
            <w:pPr>
              <w:spacing w:after="20" w:line="240" w:lineRule="auto"/>
              <w:jc w:val="left"/>
            </w:pPr>
            <w:r>
              <w:rPr>
                <w:rFonts w:ascii="Calibri" w:hAnsi="Calibri"/>
                <w:sz w:val="14"/>
              </w:rPr>
            </w:r>
            <w:r>
              <w:rPr>
                <w:rFonts w:ascii="Calibri" w:hAnsi="Calibri"/>
                <w:b w:val="0"/>
                <w:sz w:val="14"/>
              </w:rPr>
              <w:t>Capability transaction</w:t>
            </w:r>
          </w:p>
        </w:tc>
        <w:tc>
          <w:tcPr>
            <w:tcW w:type="dxa" w:w="7194"/>
            <w:shd w:fill="F2F2F2"/>
            <w:tcMar>
              <w:top w:w="80" w:type="dxa"/>
              <w:start w:w="100" w:type="dxa"/>
              <w:bottom w:w="80" w:type="dxa"/>
              <w:end w:w="100" w:type="dxa"/>
            </w:tcMar>
            <w:vAlign w:val="center"/>
          </w:tcPr>
          <w:p>
            <w:pPr>
              <w:spacing w:after="20" w:line="240" w:lineRule="auto"/>
              <w:jc w:val="left"/>
            </w:pPr>
            <w:r>
              <w:rPr>
                <w:rFonts w:ascii="Calibri" w:hAnsi="Calibri"/>
                <w:sz w:val="14"/>
              </w:rPr>
            </w:r>
            <w:r>
              <w:rPr>
                <w:rFonts w:ascii="Calibri" w:hAnsi="Calibri"/>
                <w:b w:val="0"/>
                <w:sz w:val="14"/>
              </w:rPr>
              <w:t>NOT_DISPATCHED — processing ended before a consequential attempt.</w:t>
              <w:br/>
              <w:t>CANDIDATE_REJECTED — consequence evaluation rejected the candidate or its bindings.</w:t>
              <w:br/>
              <w:t>PLC_REJECTED — signed evidence establishes a known no-effect rejection at the actuation boundary.</w:t>
              <w:br/>
              <w:t>PENDING — a coordinated effect remains in progress and is not terminal.</w:t>
              <w:br/>
              <w:t>UNKNOWN_EFFECT — a consequential attempt may have occurred, but available evidence cannot establish the effect.</w:t>
              <w:br/>
              <w:t>OBSERVATION_DIVERGED — valid post-observation contradicts the authorized or acknowledged expected state.</w:t>
              <w:br/>
              <w:t>COMPLETED — a valid APPLIED acknowledgment and independent signed post-observation agree with the authorized expected state.</w:t>
            </w:r>
          </w:p>
        </w:tc>
      </w:tr>
      <w:tr>
        <w:trPr>
          <w:cantSplit/>
        </w:trPr>
        <w:tc>
          <w:tcPr>
            <w:tcW w:type="dxa" w:w="2066"/>
            <w:tcMar>
              <w:top w:w="80" w:type="dxa"/>
              <w:start w:w="100" w:type="dxa"/>
              <w:bottom w:w="80" w:type="dxa"/>
              <w:end w:w="100" w:type="dxa"/>
            </w:tcMar>
            <w:vAlign w:val="center"/>
          </w:tcPr>
          <w:p>
            <w:pPr>
              <w:spacing w:after="20" w:line="240" w:lineRule="auto"/>
              <w:jc w:val="left"/>
            </w:pPr>
            <w:r>
              <w:rPr>
                <w:rFonts w:ascii="Calibri" w:hAnsi="Calibri"/>
                <w:sz w:val="14"/>
              </w:rPr>
            </w:r>
            <w:r>
              <w:rPr>
                <w:rFonts w:ascii="Calibri" w:hAnsi="Calibri"/>
                <w:b w:val="0"/>
                <w:sz w:val="14"/>
              </w:rPr>
              <w:t>Effect coordination</w:t>
            </w:r>
          </w:p>
        </w:tc>
        <w:tc>
          <w:tcPr>
            <w:tcW w:type="dxa" w:w="7194"/>
            <w:tcMar>
              <w:top w:w="80" w:type="dxa"/>
              <w:start w:w="100" w:type="dxa"/>
              <w:bottom w:w="80" w:type="dxa"/>
              <w:end w:w="100" w:type="dxa"/>
            </w:tcMar>
            <w:vAlign w:val="center"/>
          </w:tcPr>
          <w:p>
            <w:pPr>
              <w:spacing w:after="20" w:line="240" w:lineRule="auto"/>
              <w:jc w:val="left"/>
            </w:pPr>
            <w:r>
              <w:rPr>
                <w:rFonts w:ascii="Calibri" w:hAnsi="Calibri"/>
                <w:sz w:val="14"/>
              </w:rPr>
            </w:r>
            <w:r>
              <w:rPr>
                <w:rFonts w:ascii="Calibri" w:hAnsi="Calibri"/>
                <w:b w:val="0"/>
                <w:sz w:val="14"/>
              </w:rPr>
              <w:t>RECEIVED / PREPARED — the effect is registered or prepared; no physical-effect claim is permitted.</w:t>
              <w:br/>
              <w:t>COMMIT_ACCEPTED — commit intent is durable; subsequent handling is query-only and cannot presume effect.</w:t>
              <w:br/>
              <w:t>APPLIED — authoritative signed evidence records application; completion still requires independent post-observation.</w:t>
              <w:br/>
              <w:t>REJECTED — authoritative signed evidence establishes rejection and known no effect for the registered command.</w:t>
              <w:br/>
              <w:t>UNKNOWN_EFFECT — terminal effect evidence is unavailable or inconclusive; no retry or inferred disposition is allowed.</w:t>
            </w:r>
          </w:p>
        </w:tc>
      </w:tr>
      <w:tr>
        <w:trPr>
          <w:cantSplit/>
        </w:trPr>
        <w:tc>
          <w:tcPr>
            <w:tcW w:type="dxa" w:w="2066"/>
            <w:shd w:fill="F2F2F2"/>
            <w:tcMar>
              <w:top w:w="80" w:type="dxa"/>
              <w:start w:w="100" w:type="dxa"/>
              <w:bottom w:w="80" w:type="dxa"/>
              <w:end w:w="100" w:type="dxa"/>
            </w:tcMar>
            <w:vAlign w:val="center"/>
          </w:tcPr>
          <w:p>
            <w:pPr>
              <w:spacing w:after="20" w:line="240" w:lineRule="auto"/>
              <w:jc w:val="left"/>
            </w:pPr>
            <w:r>
              <w:rPr>
                <w:rFonts w:ascii="Calibri" w:hAnsi="Calibri"/>
                <w:sz w:val="14"/>
              </w:rPr>
            </w:r>
            <w:r>
              <w:rPr>
                <w:rFonts w:ascii="Calibri" w:hAnsi="Calibri"/>
                <w:b w:val="0"/>
                <w:sz w:val="14"/>
              </w:rPr>
              <w:t>Recovery process</w:t>
            </w:r>
          </w:p>
        </w:tc>
        <w:tc>
          <w:tcPr>
            <w:tcW w:type="dxa" w:w="7194"/>
            <w:shd w:fill="F2F2F2"/>
            <w:tcMar>
              <w:top w:w="80" w:type="dxa"/>
              <w:start w:w="100" w:type="dxa"/>
              <w:bottom w:w="80" w:type="dxa"/>
              <w:end w:w="100" w:type="dxa"/>
            </w:tcMar>
            <w:vAlign w:val="center"/>
          </w:tcPr>
          <w:p>
            <w:pPr>
              <w:spacing w:after="20" w:line="240" w:lineRule="auto"/>
              <w:jc w:val="left"/>
            </w:pPr>
            <w:r>
              <w:rPr>
                <w:rFonts w:ascii="Calibri" w:hAnsi="Calibri"/>
                <w:sz w:val="14"/>
              </w:rPr>
            </w:r>
            <w:r>
              <w:rPr>
                <w:rFonts w:ascii="Calibri" w:hAnsi="Calibri"/>
                <w:b w:val="0"/>
                <w:sz w:val="14"/>
              </w:rPr>
              <w:t>RECOVERY_PENDING — authorized reconciliation or recovery is in progress; the effect remains governed by its effect-layer state.</w:t>
              <w:br/>
              <w:t>RECONCILED — the workflow recorded a terminal disposition supported by authoritative evidence; the status itself is not effect proof.</w:t>
              <w:br/>
              <w:t>RECOVERY_FAILED — the workflow could not establish or restore required state; unresolved-effect controls remain active.</w:t>
            </w:r>
          </w:p>
        </w:tc>
      </w:tr>
    </w:tbl>
    <w:p>
      <w:pPr>
        <w:pStyle w:val="Heading1"/>
        <w:keepNext/>
        <w:pageBreakBefore/>
      </w:pPr>
      <w:r>
        <w:t>3  Assessed baseline and evidence boundary</w:t>
      </w:r>
    </w:p>
    <w:tbl>
      <w:tblPr>
        <w:tblStyle w:val="TableGrid"/>
        <w:tblW w:type="dxa" w:w="9200"/>
        <w:jc w:val="center"/>
        <w:tblLayout w:type="fixed"/>
        <w:tblLook w:firstColumn="1" w:firstRow="1" w:lastColumn="0" w:lastRow="0" w:noHBand="0" w:noVBand="1" w:val="04A0"/>
        <w:tblInd w:w="160" w:type="dxa"/>
      </w:tblPr>
      <w:tblGrid>
        <w:gridCol w:w="9200"/>
      </w:tblGrid>
      <w:tr>
        <w:trPr>
          <w:cantSplit/>
          <w:tblHeader w:val="true"/>
        </w:trPr>
        <w:tc>
          <w:tcPr>
            <w:tcW w:type="dxa" w:w="9200"/>
            <w:tcMar>
              <w:top w:w="140" w:type="dxa"/>
              <w:start w:w="160" w:type="dxa"/>
              <w:bottom w:w="140" w:type="dxa"/>
              <w:end w:w="160" w:type="dxa"/>
            </w:tcMar>
            <w:shd w:fill="D9EAF7"/>
          </w:tcPr>
          <w:p>
            <w:pPr>
              <w:spacing w:after="0"/>
            </w:pPr>
            <w:r>
              <w:rPr>
                <w:b/>
                <w:color w:val="17365D"/>
              </w:rPr>
              <w:t xml:space="preserve">Assessment boundary: </w:t>
            </w:r>
            <w:r>
              <w:rPr>
                <w:color w:val="404040"/>
              </w:rPr>
              <w:t>This dated assessment examined repository history through main commit d6f996f and an evolving dirty working tree on 25 August 2026. Source advanced during review and local testing, so the diagnostic results are not bound to a stable commit or accepted campaign. Repository-declared experiment acceptance remains bounded by each retained package. Nothing below establishes independent validation, deployment, production readiness, or operational effectiveness.</w:t>
            </w:r>
          </w:p>
        </w:tc>
      </w:tr>
    </w:tbl>
    <w:p>
      <w:pPr>
        <w:pStyle w:val="Heading2"/>
        <w:keepNext/>
        <w:pageBreakBefore w:val="0"/>
      </w:pPr>
      <w:r>
        <w:t>3.1  Evidence snapshot</w:t>
      </w:r>
    </w:p>
    <w:tbl>
      <w:tblPr>
        <w:tblStyle w:val="TableGrid"/>
        <w:tblW w:type="dxa" w:w="9260"/>
        <w:jc w:val="center"/>
        <w:tblLayout w:type="fixed"/>
        <w:tblLook w:firstColumn="1" w:firstRow="1" w:lastColumn="0" w:lastRow="0" w:noHBand="0" w:noVBand="1" w:val="04A0"/>
        <w:tblInd w:w="100" w:type="dxa"/>
      </w:tblPr>
      <w:tblGrid>
        <w:gridCol w:w="1140"/>
        <w:gridCol w:w="2208"/>
        <w:gridCol w:w="2920"/>
        <w:gridCol w:w="2992"/>
      </w:tblGrid>
      <w:tr>
        <w:trPr>
          <w:tblHeader w:val="true"/>
          <w:cantSplit/>
        </w:trPr>
        <w:tc>
          <w:tcPr>
            <w:tcW w:type="dxa" w:w="1140"/>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Area</w:t>
            </w:r>
          </w:p>
        </w:tc>
        <w:tc>
          <w:tcPr>
            <w:tcW w:type="dxa" w:w="220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Observed state</w:t>
            </w:r>
          </w:p>
        </w:tc>
        <w:tc>
          <w:tcPr>
            <w:tcW w:type="dxa" w:w="2920"/>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Evidence available</w:t>
            </w:r>
          </w:p>
        </w:tc>
        <w:tc>
          <w:tcPr>
            <w:tcW w:type="dxa" w:w="2992"/>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Unclosed boundary</w:t>
            </w:r>
          </w:p>
        </w:tc>
      </w:tr>
      <w:tr>
        <w:trPr>
          <w:cantSplit/>
        </w:trPr>
        <w:tc>
          <w:tcPr>
            <w:tcW w:type="dxa" w:w="1140"/>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M1</w:t>
            </w:r>
          </w:p>
        </w:tc>
        <w:tc>
          <w:tcPr>
            <w:tcW w:type="dxa" w:w="220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Bounded formal authorization model</w:t>
            </w:r>
          </w:p>
        </w:tc>
        <w:tc>
          <w:tcPr>
            <w:tcW w:type="dxa" w:w="2920"/>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Repository records bounded state exploration and expected weakened-model counterexamples.</w:t>
            </w:r>
          </w:p>
        </w:tc>
        <w:tc>
          <w:tcPr>
            <w:tcW w:type="dxa" w:w="299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Does not establish runtime, distributed, or physical behavior.</w:t>
            </w:r>
          </w:p>
        </w:tc>
      </w:tr>
      <w:tr>
        <w:trPr>
          <w:cantSplit/>
        </w:trPr>
        <w:tc>
          <w:tcPr>
            <w:tcW w:type="dxa" w:w="1140"/>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M2</w:t>
            </w:r>
          </w:p>
        </w:tc>
        <w:tc>
          <w:tcPr>
            <w:tcW w:type="dxa" w:w="220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Synthetic independent-oracle experiment</w:t>
            </w:r>
          </w:p>
        </w:tc>
        <w:tc>
          <w:tcPr>
            <w:tcW w:type="dxa" w:w="2920"/>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Repository contains the 8,640-trial campaign; current retained files are modified in the working tree.</w:t>
            </w:r>
          </w:p>
        </w:tc>
        <w:tc>
          <w:tcPr>
            <w:tcW w:type="dxa" w:w="2992"/>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Requires source/evidence reconciliation before reuse as an immutable accepted checkpoint.</w:t>
            </w:r>
          </w:p>
        </w:tc>
      </w:tr>
      <w:tr>
        <w:trPr>
          <w:cantSplit/>
        </w:trPr>
        <w:tc>
          <w:tcPr>
            <w:tcW w:type="dxa" w:w="1140"/>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M3</w:t>
            </w:r>
          </w:p>
        </w:tc>
        <w:tc>
          <w:tcPr>
            <w:tcW w:type="dxa" w:w="220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Local simulated Modbus/pandapower closed loop</w:t>
            </w:r>
          </w:p>
        </w:tc>
        <w:tc>
          <w:tcPr>
            <w:tcW w:type="dxa" w:w="2920"/>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Retained primary and reproduction packages exist.</w:t>
            </w:r>
          </w:p>
        </w:tc>
        <w:tc>
          <w:tcPr>
            <w:tcW w:type="dxa" w:w="299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Same-host synthetic evidence; not segmented, OpenPLC, HIL, field, or independent validation.</w:t>
            </w:r>
          </w:p>
        </w:tc>
      </w:tr>
      <w:tr>
        <w:trPr>
          <w:cantSplit/>
        </w:trPr>
        <w:tc>
          <w:tcPr>
            <w:tcW w:type="dxa" w:w="1140"/>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M4b</w:t>
            </w:r>
          </w:p>
        </w:tc>
        <w:tc>
          <w:tcPr>
            <w:tcW w:type="dxa" w:w="220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Root-signed capability evidence package</w:t>
            </w:r>
          </w:p>
        </w:tc>
        <w:tc>
          <w:tcPr>
            <w:tcW w:type="dxa" w:w="2920"/>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Historical manifests record repository-declared acceptance, but both retained package directories currently fail strict closed-inventory verification because of added cache files.</w:t>
            </w:r>
          </w:p>
        </w:tc>
        <w:tc>
          <w:tcPr>
            <w:tcW w:type="dxa" w:w="2992"/>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Current package validity is not established; replacement evidence must use a new immutable path and preserve the historical record.</w:t>
            </w:r>
          </w:p>
        </w:tc>
      </w:tr>
      <w:tr>
        <w:trPr>
          <w:cantSplit/>
        </w:trPr>
        <w:tc>
          <w:tcPr>
            <w:tcW w:type="dxa" w:w="1140"/>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M4c–M4f</w:t>
            </w:r>
          </w:p>
        </w:tc>
        <w:tc>
          <w:tcPr>
            <w:tcW w:type="dxa" w:w="220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Fault, segmented, authenticated-message, and durable admission campaigns</w:t>
            </w:r>
          </w:p>
        </w:tc>
        <w:tc>
          <w:tcPr>
            <w:tcW w:type="dxa" w:w="2920"/>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Repository-declared accepted local campaigns exist.</w:t>
            </w:r>
          </w:p>
        </w:tc>
        <w:tc>
          <w:tcPr>
            <w:tcW w:type="dxa" w:w="299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Bounded same-host evidence; M4f is not proof of exactly-once physical effect.</w:t>
            </w:r>
          </w:p>
        </w:tc>
      </w:tr>
      <w:tr>
        <w:trPr>
          <w:cantSplit/>
        </w:trPr>
        <w:tc>
          <w:tcPr>
            <w:tcW w:type="dxa" w:w="1140"/>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M4g</w:t>
            </w:r>
          </w:p>
        </w:tc>
        <w:tc>
          <w:tcPr>
            <w:tcW w:type="dxa" w:w="220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Application workload-identity campaign</w:t>
            </w:r>
          </w:p>
        </w:tc>
        <w:tc>
          <w:tcPr>
            <w:tcW w:type="dxa" w:w="2920"/>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One retained repository-declared accepted campaign covers rotation, revocation, and stable-subject replay.</w:t>
            </w:r>
          </w:p>
        </w:tc>
        <w:tc>
          <w:tcPr>
            <w:tcW w:type="dxa" w:w="2992"/>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Not retained SPIFFE/mTLS, hostile-host, production, or independent evidence.</w:t>
            </w:r>
          </w:p>
        </w:tc>
      </w:tr>
      <w:tr>
        <w:trPr>
          <w:cantSplit/>
        </w:trPr>
        <w:tc>
          <w:tcPr>
            <w:tcW w:type="dxa" w:w="1140"/>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SPIRE/mTLS</w:t>
            </w:r>
          </w:p>
        </w:tc>
        <w:tc>
          <w:tcPr>
            <w:tcW w:type="dxa" w:w="220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Runner and configuration</w:t>
            </w:r>
          </w:p>
        </w:tc>
        <w:tc>
          <w:tcPr>
            <w:tcW w:type="dxa" w:w="2920"/>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Implementation and experiment runner are present.</w:t>
            </w:r>
          </w:p>
        </w:tc>
        <w:tc>
          <w:tcPr>
            <w:tcW w:type="dxa" w:w="299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No retained accepted campaign was found.</w:t>
            </w:r>
          </w:p>
        </w:tc>
      </w:tr>
      <w:tr>
        <w:trPr>
          <w:cantSplit/>
        </w:trPr>
        <w:tc>
          <w:tcPr>
            <w:tcW w:type="dxa" w:w="1140"/>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M4i</w:t>
            </w:r>
          </w:p>
        </w:tc>
        <w:tc>
          <w:tcPr>
            <w:tcW w:type="dxa" w:w="220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Effect coordination and recovery</w:t>
            </w:r>
          </w:p>
        </w:tc>
        <w:tc>
          <w:tcPr>
            <w:tcW w:type="dxa" w:w="2920"/>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Source examined through d6f996f contains prepare/commit/query coordination and recovery logic; all M4i tests passed in an unretained diagnostic run against an evolving dirty checkout.</w:t>
            </w:r>
          </w:p>
        </w:tc>
        <w:tc>
          <w:tcPr>
            <w:tcW w:type="dxa" w:w="2992"/>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No clean, immutable, source-bound, retained accepted M4i campaign was established.</w:t>
            </w:r>
          </w:p>
        </w:tc>
      </w:tr>
      <w:tr>
        <w:trPr>
          <w:cantSplit/>
        </w:trPr>
        <w:tc>
          <w:tcPr>
            <w:tcW w:type="dxa" w:w="1140"/>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M4j</w:t>
            </w:r>
          </w:p>
        </w:tc>
        <w:tc>
          <w:tcPr>
            <w:tcW w:type="dxa" w:w="220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Six-node topology</w:t>
            </w:r>
          </w:p>
        </w:tc>
        <w:tc>
          <w:tcPr>
            <w:tcW w:type="dxa" w:w="2920"/>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Topology and static validation/bundle work are present.</w:t>
            </w:r>
          </w:p>
        </w:tc>
        <w:tc>
          <w:tcPr>
            <w:tcW w:type="dxa" w:w="299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Configuration only; no live multi-host deployment or isolation evidence.</w:t>
            </w:r>
          </w:p>
        </w:tc>
      </w:tr>
      <w:tr>
        <w:trPr>
          <w:cantSplit/>
        </w:trPr>
        <w:tc>
          <w:tcPr>
            <w:tcW w:type="dxa" w:w="1140"/>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WP5–WP8</w:t>
            </w:r>
          </w:p>
        </w:tc>
        <w:tc>
          <w:tcPr>
            <w:tcW w:type="dxa" w:w="220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Compromise, fleet/economics, and independent validation</w:t>
            </w:r>
          </w:p>
        </w:tc>
        <w:tc>
          <w:tcPr>
            <w:tcW w:type="dxa" w:w="2920"/>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Planned end-state work packages.</w:t>
            </w:r>
          </w:p>
        </w:tc>
        <w:tc>
          <w:tcPr>
            <w:tcW w:type="dxa" w:w="2992"/>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No accepted end-state evidence found.</w:t>
            </w:r>
          </w:p>
        </w:tc>
      </w:tr>
    </w:tbl>
    <w:p>
      <w:pPr>
        <w:pStyle w:val="Heading2"/>
        <w:keepNext/>
        <w:pageBreakBefore w:val="0"/>
      </w:pPr>
      <w:r>
        <w:t>3.2  Verification snapshot on 25 August 2026</w:t>
      </w:r>
    </w:p>
    <w:p>
      <w:r>
        <w:t>A local diagnostic run against the evolving dirty checkout collected 1,291 tests with PYTHONPATH=src:.: 1,288 passed and three failed. All collected M4i tests passed. The three failures were confined to public-demo source/evidence binding: a retained source hash mismatch, M2 execution-commit registration mismatch affecting the tamper test's expected failure order, and the public-demo currency check. A separate invocation using PYTHONPATH=src stopped during collection because tests/test_public_demo.py could not import the repository-root scripts package. Because source changed during the assessment and no clean immutable run package was retained, these observations are diagnostic only.</w:t>
      </w:r>
    </w:p>
    <w:p>
      <w:pPr>
        <w:pStyle w:val="ListBullet"/>
      </w:pPr>
      <w:r>
        <w:t>This verification snapshot does not establish the 90 percent branch-coverage requirement, clean-checkout CI conformance, or release acceptance.</w:t>
      </w:r>
    </w:p>
    <w:p>
      <w:pPr>
        <w:pStyle w:val="ListBullet"/>
      </w:pPr>
      <w:r>
        <w:t>No retained M4i or SPIRE/mTLS acceptance result was found, and no live six-node or physical/HIL campaign was established.</w:t>
      </w:r>
    </w:p>
    <w:p>
      <w:pPr>
        <w:pStyle w:val="ListBullet"/>
      </w:pPr>
      <w:r>
        <w:t>Two retained M4b package directories contain extra ignored cache files that their strict closed-inventory verifier rejects; historical-source and current-checkout binding must be reported separately.</w:t>
      </w:r>
    </w:p>
    <w:p>
      <w:pPr>
        <w:pStyle w:val="Heading2"/>
        <w:keepNext/>
        <w:pageBreakBefore w:val="0"/>
      </w:pPr>
      <w:r>
        <w:t>3.3  Controlled documentation conflicts</w:t>
      </w:r>
    </w:p>
    <w:tbl>
      <w:tblPr>
        <w:tblStyle w:val="TableGrid"/>
        <w:tblW w:type="dxa" w:w="9260"/>
        <w:jc w:val="center"/>
        <w:tblLayout w:type="fixed"/>
        <w:tblLook w:firstColumn="1" w:firstRow="1" w:lastColumn="0" w:lastRow="0" w:noHBand="0" w:noVBand="1" w:val="04A0"/>
        <w:tblInd w:w="100" w:type="dxa"/>
      </w:tblPr>
      <w:tblGrid>
        <w:gridCol w:w="1425"/>
        <w:gridCol w:w="3989"/>
        <w:gridCol w:w="3846"/>
      </w:tblGrid>
      <w:tr>
        <w:trPr>
          <w:tblHeader w:val="true"/>
          <w:cantSplit/>
        </w:trPr>
        <w:tc>
          <w:tcPr>
            <w:tcW w:type="dxa" w:w="1425"/>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6"/>
              </w:rPr>
            </w:r>
            <w:r>
              <w:rPr>
                <w:rFonts w:ascii="Calibri" w:hAnsi="Calibri"/>
                <w:b/>
                <w:color w:val="FFFFFF"/>
                <w:sz w:val="16"/>
              </w:rPr>
              <w:t>Topic</w:t>
            </w:r>
          </w:p>
        </w:tc>
        <w:tc>
          <w:tcPr>
            <w:tcW w:type="dxa" w:w="3989"/>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6"/>
              </w:rPr>
            </w:r>
            <w:r>
              <w:rPr>
                <w:rFonts w:ascii="Calibri" w:hAnsi="Calibri"/>
                <w:b/>
                <w:color w:val="FFFFFF"/>
                <w:sz w:val="16"/>
              </w:rPr>
              <w:t>Conflict or gap</w:t>
            </w:r>
          </w:p>
        </w:tc>
        <w:tc>
          <w:tcPr>
            <w:tcW w:type="dxa" w:w="3846"/>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6"/>
              </w:rPr>
            </w:r>
            <w:r>
              <w:rPr>
                <w:rFonts w:ascii="Calibri" w:hAnsi="Calibri"/>
                <w:b/>
                <w:color w:val="FFFFFF"/>
                <w:sz w:val="16"/>
              </w:rPr>
              <w:t>Baseline treatment</w:t>
            </w:r>
          </w:p>
        </w:tc>
      </w:tr>
      <w:tr>
        <w:trPr>
          <w:cantSplit/>
        </w:trPr>
        <w:tc>
          <w:tcPr>
            <w:tcW w:type="dxa" w:w="1425"/>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Roadmap</w:t>
            </w:r>
          </w:p>
        </w:tc>
        <w:tc>
          <w:tcPr>
            <w:tcW w:type="dxa" w:w="3989"/>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PROJECT_PLAN.md substantively stops near M4f and lists identity work as open although later M4g and M4i source exists.</w:t>
            </w:r>
          </w:p>
        </w:tc>
        <w:tc>
          <w:tcPr>
            <w:tcW w:type="dxa" w:w="3846"/>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Treat the roadmap as historical intent until reconciled.</w:t>
            </w:r>
          </w:p>
        </w:tc>
      </w:tr>
      <w:tr>
        <w:trPr>
          <w:cantSplit/>
        </w:trPr>
        <w:tc>
          <w:tcPr>
            <w:tcW w:type="dxa" w:w="1425"/>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Architecture narrative</w:t>
            </w:r>
          </w:p>
        </w:tc>
        <w:tc>
          <w:tcPr>
            <w:tcW w:type="dxa" w:w="3989"/>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Some documentation says coordinated runtime is not integrated; current source selects the coordinated path when required.</w:t>
            </w:r>
          </w:p>
        </w:tc>
        <w:tc>
          <w:tcPr>
            <w:tcW w:type="dxa" w:w="3846"/>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Implementation presence does not replace retained M4i acceptance evidence.</w:t>
            </w:r>
          </w:p>
        </w:tc>
      </w:tr>
      <w:tr>
        <w:trPr>
          <w:cantSplit/>
        </w:trPr>
        <w:tc>
          <w:tcPr>
            <w:tcW w:type="dxa" w:w="1425"/>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Evidence inventory</w:t>
            </w:r>
          </w:p>
        </w:tc>
        <w:tc>
          <w:tcPr>
            <w:tcW w:type="dxa" w:w="3989"/>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Current M2 retained files are modified; M4b retained trees contain extra cache files.</w:t>
            </w:r>
          </w:p>
        </w:tc>
        <w:tc>
          <w:tcPr>
            <w:tcW w:type="dxa" w:w="3846"/>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Do not treat altered package bytes as immutable accepted evidence.</w:t>
            </w:r>
          </w:p>
        </w:tc>
      </w:tr>
      <w:tr>
        <w:trPr>
          <w:cantSplit/>
        </w:trPr>
        <w:tc>
          <w:tcPr>
            <w:tcW w:type="dxa" w:w="1425"/>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Deployment</w:t>
            </w:r>
          </w:p>
        </w:tc>
        <w:tc>
          <w:tcPr>
            <w:tcW w:type="dxa" w:w="3989"/>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M4j topology declares configuration-only; Ansible and inventory do not yet constitute a deployed system.</w:t>
            </w:r>
          </w:p>
        </w:tc>
        <w:tc>
          <w:tcPr>
            <w:tcW w:type="dxa" w:w="3846"/>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Require live observed multi-host evidence at G4.</w:t>
            </w:r>
          </w:p>
        </w:tc>
      </w:tr>
      <w:tr>
        <w:trPr>
          <w:cantSplit/>
        </w:trPr>
        <w:tc>
          <w:tcPr>
            <w:tcW w:type="dxa" w:w="1425"/>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Identity</w:t>
            </w:r>
          </w:p>
        </w:tc>
        <w:tc>
          <w:tcPr>
            <w:tcW w:type="dxa" w:w="3989"/>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Application credentials, optional SPIRE internal links, and unbound actor identity coexist.</w:t>
            </w:r>
          </w:p>
        </w:tc>
        <w:tc>
          <w:tcPr>
            <w:tcW w:type="dxa" w:w="3846"/>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Close the target end-to-end identity architecture in TBR-005.</w:t>
            </w:r>
          </w:p>
        </w:tc>
      </w:tr>
      <w:tr>
        <w:trPr>
          <w:cantSplit/>
        </w:trPr>
        <w:tc>
          <w:tcPr>
            <w:tcW w:type="dxa" w:w="1425"/>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Approval</w:t>
            </w:r>
          </w:p>
        </w:tc>
        <w:tc>
          <w:tcPr>
            <w:tcW w:type="dxa" w:w="3989"/>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The local policy treats a nonempty human_approval_id as sufficient for high-risk proposals, while the OPA-backed path queries only policy_permit and the current Rego permits only risk below the approval threshold. High-risk approval is therefore not an operative signed authority workflow, and local and OPA semantics differ.</w:t>
            </w:r>
          </w:p>
        </w:tc>
        <w:tc>
          <w:tcPr>
            <w:tcW w:type="dxa" w:w="3846"/>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Implement and verify AOT-POL-005 through AOT-POL-008 and policy-path conformance.</w:t>
            </w:r>
          </w:p>
        </w:tc>
      </w:tr>
      <w:tr>
        <w:trPr>
          <w:cantSplit/>
        </w:trPr>
        <w:tc>
          <w:tcPr>
            <w:tcW w:type="dxa" w:w="1425"/>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Security-policy boundary</w:t>
            </w:r>
          </w:p>
        </w:tc>
        <w:tc>
          <w:tcPr>
            <w:tcW w:type="dxa" w:w="3989"/>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SECURITY.md prohibits connection to production control systems, utility networks, third-party infrastructure, and real operational credentials, while this SRS defines a future deployable end state.</w:t>
            </w:r>
          </w:p>
        </w:tc>
        <w:tc>
          <w:tcPr>
            <w:tcW w:type="dxa" w:w="3846"/>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This SRS does not supersede SECURITY.md; close TBR-035 and obtain a separately approved production security-policy revision plus G7 deployment authorization.</w:t>
            </w:r>
          </w:p>
        </w:tc>
      </w:tr>
      <w:tr>
        <w:trPr>
          <w:cantSplit/>
        </w:trPr>
        <w:tc>
          <w:tcPr>
            <w:tcW w:type="dxa" w:w="1425"/>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Operation registry</w:t>
            </w:r>
          </w:p>
        </w:tc>
        <w:tc>
          <w:tcPr>
            <w:tcW w:type="dxa" w:w="3989"/>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The public proposal model declares shed_load while the physical translator rejects it.</w:t>
            </w:r>
          </w:p>
        </w:tc>
        <w:tc>
          <w:tcPr>
            <w:tcW w:type="dxa" w:w="3846"/>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Close the supported operation registry under TBR-002.</w:t>
            </w:r>
          </w:p>
        </w:tc>
      </w:tr>
    </w:tbl>
    <w:p>
      <w:pPr>
        <w:pStyle w:val="Heading1"/>
        <w:keepNext/>
        <w:pageBreakBefore/>
      </w:pPr>
      <w:r>
        <w:t>4  Requirements conventions and applicability</w:t>
      </w:r>
    </w:p>
    <w:p>
      <w:pPr>
        <w:pStyle w:val="Heading2"/>
        <w:keepNext/>
        <w:pageBreakBefore w:val="0"/>
      </w:pPr>
      <w:r>
        <w:t>4.1  Normative language</w:t>
      </w:r>
    </w:p>
    <w:p>
      <w:r>
        <w:t>‘Shall’ identifies a requirement. ‘Should’ and ‘may’ are informative and do not satisfy a shall statement. A requirement is mandatory (M) unless explicitly conditional (C). Conditional requirements become mandatory when their stated condition applies. Requirement identifiers are permanent; a retired identifier remains traceable and is not reassigned.</w:t>
      </w:r>
    </w:p>
    <w:p>
      <w:pPr>
        <w:pStyle w:val="Heading2"/>
        <w:keepNext/>
        <w:pageBreakBefore w:val="0"/>
      </w:pPr>
      <w:r>
        <w:t>4.2  Verification codes</w:t>
      </w:r>
    </w:p>
    <w:tbl>
      <w:tblPr>
        <w:tblStyle w:val="TableGrid"/>
        <w:tblW w:type="dxa" w:w="9260"/>
        <w:jc w:val="center"/>
        <w:tblLayout w:type="fixed"/>
        <w:tblLook w:firstColumn="1" w:firstRow="1" w:lastColumn="0" w:lastRow="0" w:noHBand="0" w:noVBand="1" w:val="04A0"/>
        <w:tblInd w:w="100" w:type="dxa"/>
      </w:tblPr>
      <w:tblGrid>
        <w:gridCol w:w="784"/>
        <w:gridCol w:w="1781"/>
        <w:gridCol w:w="6695"/>
      </w:tblGrid>
      <w:tr>
        <w:trPr>
          <w:tblHeader w:val="true"/>
          <w:cantSplit/>
        </w:trPr>
        <w:tc>
          <w:tcPr>
            <w:tcW w:type="dxa" w:w="784"/>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7"/>
              </w:rPr>
            </w:r>
            <w:r>
              <w:rPr>
                <w:rFonts w:ascii="Calibri" w:hAnsi="Calibri"/>
                <w:b/>
                <w:color w:val="FFFFFF"/>
                <w:sz w:val="17"/>
              </w:rPr>
              <w:t>Code</w:t>
            </w:r>
          </w:p>
        </w:tc>
        <w:tc>
          <w:tcPr>
            <w:tcW w:type="dxa" w:w="1781"/>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7"/>
              </w:rPr>
            </w:r>
            <w:r>
              <w:rPr>
                <w:rFonts w:ascii="Calibri" w:hAnsi="Calibri"/>
                <w:b/>
                <w:color w:val="FFFFFF"/>
                <w:sz w:val="17"/>
              </w:rPr>
              <w:t>Method</w:t>
            </w:r>
          </w:p>
        </w:tc>
        <w:tc>
          <w:tcPr>
            <w:tcW w:type="dxa" w:w="6695"/>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7"/>
              </w:rPr>
            </w:r>
            <w:r>
              <w:rPr>
                <w:rFonts w:ascii="Calibri" w:hAnsi="Calibri"/>
                <w:b/>
                <w:color w:val="FFFFFF"/>
                <w:sz w:val="17"/>
              </w:rPr>
              <w:t>Required evidence</w:t>
            </w:r>
          </w:p>
        </w:tc>
      </w:tr>
      <w:tr>
        <w:trPr>
          <w:cantSplit/>
        </w:trPr>
        <w:tc>
          <w:tcPr>
            <w:tcW w:type="dxa" w:w="784"/>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I</w:t>
            </w:r>
          </w:p>
        </w:tc>
        <w:tc>
          <w:tcPr>
            <w:tcW w:type="dxa" w:w="1781"/>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Inspection</w:t>
            </w:r>
          </w:p>
        </w:tc>
        <w:tc>
          <w:tcPr>
            <w:tcW w:type="dxa" w:w="6695"/>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Review controlled configuration, source, artifact, record, or physical installation.</w:t>
            </w:r>
          </w:p>
        </w:tc>
      </w:tr>
      <w:tr>
        <w:trPr>
          <w:cantSplit/>
        </w:trPr>
        <w:tc>
          <w:tcPr>
            <w:tcW w:type="dxa" w:w="784"/>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A</w:t>
            </w:r>
          </w:p>
        </w:tc>
        <w:tc>
          <w:tcPr>
            <w:tcW w:type="dxa" w:w="1781"/>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Analysis</w:t>
            </w:r>
          </w:p>
        </w:tc>
        <w:tc>
          <w:tcPr>
            <w:tcW w:type="dxa" w:w="6695"/>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Use calculation, modeling, statistical evaluation, or structured assurance argument.</w:t>
            </w:r>
          </w:p>
        </w:tc>
      </w:tr>
      <w:tr>
        <w:trPr>
          <w:cantSplit/>
        </w:trPr>
        <w:tc>
          <w:tcPr>
            <w:tcW w:type="dxa" w:w="784"/>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D</w:t>
            </w:r>
          </w:p>
        </w:tc>
        <w:tc>
          <w:tcPr>
            <w:tcW w:type="dxa" w:w="1781"/>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Demonstration</w:t>
            </w:r>
          </w:p>
        </w:tc>
        <w:tc>
          <w:tcPr>
            <w:tcW w:type="dxa" w:w="6695"/>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Show observable operation under controlled nominal conditions.</w:t>
            </w:r>
          </w:p>
        </w:tc>
      </w:tr>
      <w:tr>
        <w:trPr>
          <w:cantSplit/>
        </w:trPr>
        <w:tc>
          <w:tcPr>
            <w:tcW w:type="dxa" w:w="784"/>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T</w:t>
            </w:r>
          </w:p>
        </w:tc>
        <w:tc>
          <w:tcPr>
            <w:tcW w:type="dxa" w:w="1781"/>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Test</w:t>
            </w:r>
          </w:p>
        </w:tc>
        <w:tc>
          <w:tcPr>
            <w:tcW w:type="dxa" w:w="6695"/>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Execute objective positive, negative, fault, performance, or integration tests with retained results.</w:t>
            </w:r>
          </w:p>
        </w:tc>
      </w:tr>
      <w:tr>
        <w:trPr>
          <w:cantSplit/>
        </w:trPr>
        <w:tc>
          <w:tcPr>
            <w:tcW w:type="dxa" w:w="784"/>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F</w:t>
            </w:r>
          </w:p>
        </w:tc>
        <w:tc>
          <w:tcPr>
            <w:tcW w:type="dxa" w:w="1781"/>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Formal</w:t>
            </w:r>
          </w:p>
        </w:tc>
        <w:tc>
          <w:tcPr>
            <w:tcW w:type="dxa" w:w="6695"/>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Model-check, prove, or otherwise formally analyze the specified behavior and weakened cases.</w:t>
            </w:r>
          </w:p>
        </w:tc>
      </w:tr>
      <w:tr>
        <w:trPr>
          <w:cantSplit/>
        </w:trPr>
        <w:tc>
          <w:tcPr>
            <w:tcW w:type="dxa" w:w="784"/>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U</w:t>
            </w:r>
          </w:p>
        </w:tc>
        <w:tc>
          <w:tcPr>
            <w:tcW w:type="dxa" w:w="1781"/>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User evaluation</w:t>
            </w:r>
          </w:p>
        </w:tc>
        <w:tc>
          <w:tcPr>
            <w:tcW w:type="dxa" w:w="6695"/>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Evaluate representative operators against approved human-performance criteria.</w:t>
            </w:r>
          </w:p>
        </w:tc>
      </w:tr>
      <w:tr>
        <w:trPr>
          <w:cantSplit/>
        </w:trPr>
        <w:tc>
          <w:tcPr>
            <w:tcW w:type="dxa" w:w="784"/>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X</w:t>
            </w:r>
          </w:p>
        </w:tc>
        <w:tc>
          <w:tcPr>
            <w:tcW w:type="dxa" w:w="1781"/>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Independent evaluation</w:t>
            </w:r>
          </w:p>
        </w:tc>
        <w:tc>
          <w:tcPr>
            <w:tcW w:type="dxa" w:w="6695"/>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Verification performed or reproduced without implementation custody.</w:t>
            </w:r>
          </w:p>
        </w:tc>
      </w:tr>
    </w:tbl>
    <w:p>
      <w:pPr>
        <w:pStyle w:val="Heading2"/>
        <w:keepNext/>
        <w:pageBreakBefore w:val="0"/>
      </w:pPr>
      <w:r>
        <w:t>4.3  Requirement record interpretation</w:t>
      </w:r>
    </w:p>
    <w:p>
      <w:pPr>
        <w:pStyle w:val="ListBullet"/>
      </w:pPr>
      <w:r>
        <w:t>Class identifies mandatory or conditional applicability.</w:t>
      </w:r>
    </w:p>
    <w:p>
      <w:pPr>
        <w:pStyle w:val="ListBullet"/>
      </w:pPr>
      <w:r>
        <w:t>Verification lists the minimum methods; the verification plan shall add test identifiers, conditions, data, responsible organization, and acceptance thresholds.</w:t>
      </w:r>
    </w:p>
    <w:p>
      <w:pPr>
        <w:pStyle w:val="ListBullet"/>
      </w:pPr>
      <w:r>
        <w:t>Gate identifies the latest gate at which objective acceptance evidence is required. Earlier implementation does not waive the gate evidence.</w:t>
      </w:r>
    </w:p>
    <w:p>
      <w:pPr>
        <w:pStyle w:val="ListBullet"/>
      </w:pPr>
      <w:r>
        <w:t>TBR identifies an unresolved value or decision. A dash means the requirement can be verified without a current TBR.</w:t>
      </w:r>
    </w:p>
    <w:p>
      <w:pPr>
        <w:pStyle w:val="ListBullet"/>
      </w:pPr>
      <w:r>
        <w:t>All requirements apply to the end-state-assurance profile unless a narrower scope is stated. Research profiles shall retain their own explicit claim boundary.</w:t>
      </w:r>
    </w:p>
    <w:p>
      <w:pPr>
        <w:pStyle w:val="Heading2"/>
        <w:keepNext/>
        <w:pageBreakBefore w:val="0"/>
      </w:pPr>
      <w:r>
        <w:t>4.4  Claim-state model</w:t>
      </w:r>
    </w:p>
    <w:tbl>
      <w:tblPr>
        <w:tblStyle w:val="TableGrid"/>
        <w:tblW w:type="dxa" w:w="9260"/>
        <w:jc w:val="center"/>
        <w:tblLayout w:type="fixed"/>
        <w:tblLook w:firstColumn="1" w:firstRow="1" w:lastColumn="0" w:lastRow="0" w:noHBand="0" w:noVBand="1" w:val="04A0"/>
        <w:tblInd w:w="100" w:type="dxa"/>
      </w:tblPr>
      <w:tblGrid>
        <w:gridCol w:w="784"/>
        <w:gridCol w:w="2422"/>
        <w:gridCol w:w="6054"/>
      </w:tblGrid>
      <w:tr>
        <w:trPr>
          <w:tblHeader w:val="true"/>
          <w:cantSplit/>
        </w:trPr>
        <w:tc>
          <w:tcPr>
            <w:tcW w:type="dxa" w:w="784"/>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7"/>
              </w:rPr>
            </w:r>
            <w:r>
              <w:rPr>
                <w:rFonts w:ascii="Calibri" w:hAnsi="Calibri"/>
                <w:b/>
                <w:color w:val="FFFFFF"/>
                <w:sz w:val="17"/>
              </w:rPr>
              <w:t>Level</w:t>
            </w:r>
          </w:p>
        </w:tc>
        <w:tc>
          <w:tcPr>
            <w:tcW w:type="dxa" w:w="2422"/>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7"/>
              </w:rPr>
            </w:r>
            <w:r>
              <w:rPr>
                <w:rFonts w:ascii="Calibri" w:hAnsi="Calibri"/>
                <w:b/>
                <w:color w:val="FFFFFF"/>
                <w:sz w:val="17"/>
              </w:rPr>
              <w:t>State</w:t>
            </w:r>
          </w:p>
        </w:tc>
        <w:tc>
          <w:tcPr>
            <w:tcW w:type="dxa" w:w="6054"/>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7"/>
              </w:rPr>
            </w:r>
            <w:r>
              <w:rPr>
                <w:rFonts w:ascii="Calibri" w:hAnsi="Calibri"/>
                <w:b/>
                <w:color w:val="FFFFFF"/>
                <w:sz w:val="17"/>
              </w:rPr>
              <w:t>Evidence boundary</w:t>
            </w:r>
          </w:p>
        </w:tc>
      </w:tr>
      <w:tr>
        <w:trPr>
          <w:cantSplit/>
        </w:trPr>
        <w:tc>
          <w:tcPr>
            <w:tcW w:type="dxa" w:w="784"/>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C0</w:t>
            </w:r>
          </w:p>
        </w:tc>
        <w:tc>
          <w:tcPr>
            <w:tcW w:type="dxa" w:w="242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Specified</w:t>
            </w:r>
          </w:p>
        </w:tc>
        <w:tc>
          <w:tcPr>
            <w:tcW w:type="dxa" w:w="6054"/>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Requirement or design intent is documented; no implementation claim.</w:t>
            </w:r>
          </w:p>
        </w:tc>
      </w:tr>
      <w:tr>
        <w:trPr>
          <w:cantSplit/>
        </w:trPr>
        <w:tc>
          <w:tcPr>
            <w:tcW w:type="dxa" w:w="784"/>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C1</w:t>
            </w:r>
          </w:p>
        </w:tc>
        <w:tc>
          <w:tcPr>
            <w:tcW w:type="dxa" w:w="2422"/>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Implemented</w:t>
            </w:r>
          </w:p>
        </w:tc>
        <w:tc>
          <w:tcPr>
            <w:tcW w:type="dxa" w:w="6054"/>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Mechanism is present in an identified source state.</w:t>
            </w:r>
          </w:p>
        </w:tc>
      </w:tr>
      <w:tr>
        <w:trPr>
          <w:cantSplit/>
        </w:trPr>
        <w:tc>
          <w:tcPr>
            <w:tcW w:type="dxa" w:w="784"/>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C2</w:t>
            </w:r>
          </w:p>
        </w:tc>
        <w:tc>
          <w:tcPr>
            <w:tcW w:type="dxa" w:w="242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Locally tested</w:t>
            </w:r>
          </w:p>
        </w:tc>
        <w:tc>
          <w:tcPr>
            <w:tcW w:type="dxa" w:w="6054"/>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Relevant tests passed in a stated local environment.</w:t>
            </w:r>
          </w:p>
        </w:tc>
      </w:tr>
      <w:tr>
        <w:trPr>
          <w:cantSplit/>
        </w:trPr>
        <w:tc>
          <w:tcPr>
            <w:tcW w:type="dxa" w:w="784"/>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C3</w:t>
            </w:r>
          </w:p>
        </w:tc>
        <w:tc>
          <w:tcPr>
            <w:tcW w:type="dxa" w:w="2422"/>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Retained evidence accepted</w:t>
            </w:r>
          </w:p>
        </w:tc>
        <w:tc>
          <w:tcPr>
            <w:tcW w:type="dxa" w:w="6054"/>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A clean, source-bound campaign passed preregistered criteria and is retained.</w:t>
            </w:r>
          </w:p>
        </w:tc>
      </w:tr>
      <w:tr>
        <w:trPr>
          <w:cantSplit/>
        </w:trPr>
        <w:tc>
          <w:tcPr>
            <w:tcW w:type="dxa" w:w="784"/>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C4</w:t>
            </w:r>
          </w:p>
        </w:tc>
        <w:tc>
          <w:tcPr>
            <w:tcW w:type="dxa" w:w="242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Independently reproduced</w:t>
            </w:r>
          </w:p>
        </w:tc>
        <w:tc>
          <w:tcPr>
            <w:tcW w:type="dxa" w:w="6054"/>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A distinct operator/environment reproduced the defined result with independent custody.</w:t>
            </w:r>
          </w:p>
        </w:tc>
      </w:tr>
      <w:tr>
        <w:trPr>
          <w:cantSplit/>
        </w:trPr>
        <w:tc>
          <w:tcPr>
            <w:tcW w:type="dxa" w:w="784"/>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C5</w:t>
            </w:r>
          </w:p>
        </w:tc>
        <w:tc>
          <w:tcPr>
            <w:tcW w:type="dxa" w:w="2422"/>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Representative multi-host/HIL validated</w:t>
            </w:r>
          </w:p>
        </w:tc>
        <w:tc>
          <w:tcPr>
            <w:tcW w:type="dxa" w:w="6054"/>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The mechanism passed in the approved representative topology and OT integration environment.</w:t>
            </w:r>
          </w:p>
        </w:tc>
      </w:tr>
      <w:tr>
        <w:trPr>
          <w:cantSplit/>
        </w:trPr>
        <w:tc>
          <w:tcPr>
            <w:tcW w:type="dxa" w:w="784"/>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C6</w:t>
            </w:r>
          </w:p>
        </w:tc>
        <w:tc>
          <w:tcPr>
            <w:tcW w:type="dxa" w:w="242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Externally qualified and authorized</w:t>
            </w:r>
          </w:p>
        </w:tc>
        <w:tc>
          <w:tcPr>
            <w:tcW w:type="dxa" w:w="6054"/>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Independent assessors and named authorities accepted deployment-specific evidence and residual risk.</w:t>
            </w:r>
          </w:p>
        </w:tc>
      </w:tr>
      <w:tr>
        <w:trPr>
          <w:cantSplit/>
        </w:trPr>
        <w:tc>
          <w:tcPr>
            <w:tcW w:type="dxa" w:w="784"/>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C7</w:t>
            </w:r>
          </w:p>
        </w:tc>
        <w:tc>
          <w:tcPr>
            <w:tcW w:type="dxa" w:w="2422"/>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Deployed</w:t>
            </w:r>
          </w:p>
        </w:tc>
        <w:tc>
          <w:tcPr>
            <w:tcW w:type="dxa" w:w="6054"/>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The approved system is installed and operating in the identified environment.</w:t>
            </w:r>
          </w:p>
        </w:tc>
      </w:tr>
      <w:tr>
        <w:trPr>
          <w:cantSplit/>
        </w:trPr>
        <w:tc>
          <w:tcPr>
            <w:tcW w:type="dxa" w:w="784"/>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C8</w:t>
            </w:r>
          </w:p>
        </w:tc>
        <w:tc>
          <w:tcPr>
            <w:tcW w:type="dxa" w:w="242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Operationally effective</w:t>
            </w:r>
          </w:p>
        </w:tc>
        <w:tc>
          <w:tcPr>
            <w:tcW w:type="dxa" w:w="6054"/>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Direct observation over the approved period demonstrates the specified mission effect and risk outcome.</w:t>
            </w:r>
          </w:p>
        </w:tc>
      </w:tr>
    </w:tbl>
    <w:p>
      <w:pPr>
        <w:pStyle w:val="Heading1"/>
        <w:keepNext/>
        <w:pageBreakBefore/>
      </w:pPr>
      <w:r>
        <w:t>5  Normative end-state requirements</w:t>
      </w:r>
    </w:p>
    <w:p>
      <w:r>
        <w:t>This section is the normative requirement catalog. Requirements are prospective until this baseline is approved and are not statements of current implementation or acceptance. Gate definitions appear in Section 6; unresolved values appear in Section 8.</w:t>
      </w:r>
    </w:p>
    <w:p>
      <w:pPr>
        <w:pStyle w:val="Heading2"/>
        <w:keepNext/>
        <w:pageBreakBefore w:val="0"/>
      </w:pPr>
      <w:r>
        <w:t>5.1  Mission, scope, and assurance profiles (SYS)</w:t>
      </w:r>
    </w:p>
    <w:p>
      <w:pPr>
        <w:pStyle w:val="RequirementDomainIntro"/>
      </w:pPr>
      <w:r>
        <w:t>Allocation: Program technical authority; system engineering.  Source basis: Project objective, current safety restrictions, end-state product definition, AI RMF, CSF 2.0.</w:t>
      </w:r>
    </w:p>
    <w:tbl>
      <w:tblPr>
        <w:tblStyle w:val="TableGrid"/>
        <w:tblW w:type="dxa" w:w="9260"/>
        <w:jc w:val="center"/>
        <w:tblLayout w:type="fixed"/>
        <w:tblLook w:firstColumn="1" w:firstRow="1" w:lastColumn="0" w:lastRow="0" w:noHBand="0" w:noVBand="1" w:val="04A0"/>
        <w:tblInd w:w="100" w:type="dxa"/>
      </w:tblPr>
      <w:tblGrid>
        <w:gridCol w:w="1168"/>
        <w:gridCol w:w="598"/>
        <w:gridCol w:w="4958"/>
        <w:gridCol w:w="883"/>
        <w:gridCol w:w="684"/>
        <w:gridCol w:w="969"/>
      </w:tblGrid>
      <w:tr>
        <w:trPr>
          <w:tblHeader w:val="true"/>
          <w:cantSplit/>
        </w:trPr>
        <w:tc>
          <w:tcPr>
            <w:tcW w:type="dxa" w:w="116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ID</w:t>
            </w:r>
          </w:p>
        </w:tc>
        <w:tc>
          <w:tcPr>
            <w:tcW w:type="dxa" w:w="59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Class</w:t>
            </w:r>
          </w:p>
        </w:tc>
        <w:tc>
          <w:tcPr>
            <w:tcW w:type="dxa" w:w="495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Normative requirement</w:t>
            </w:r>
          </w:p>
        </w:tc>
        <w:tc>
          <w:tcPr>
            <w:tcW w:type="dxa" w:w="883"/>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V&amp;V</w:t>
            </w:r>
          </w:p>
        </w:tc>
        <w:tc>
          <w:tcPr>
            <w:tcW w:type="dxa" w:w="684"/>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Gate</w:t>
            </w:r>
          </w:p>
        </w:tc>
        <w:tc>
          <w:tcPr>
            <w:tcW w:type="dxa" w:w="969"/>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TBR</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AOT-SYS-001</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system shall interpose an independently administered assurance control plane between every AI decision service and every consequential OT interface in the declared deployment scope.</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I,D,T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G4</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TBR-001</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AOT-SYS-002</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system shall treat every agent-generated action as an untrusted proposal until all required authorization and consequence controls have completed successfully.</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G1</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AOT-SYS-003</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system shall prevent an agent, agent credential, or agent execution environment from possessing direct plant-actuation capability.</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G4</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AOT-SYS-004</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system shall define closed development, experiment, representative-validation, and end-state-assurance profiles with explicit permitted capabilities and claim boundaries.</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G0</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AOT-SYS-005</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end-state-assurance profile shall require authenticated workload identity, full delegation validation, independently administered policy, consequence evaluation, durable replay protection, effect coordination, signed observation, near-actuation enforcement, and durable evidence.</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G4</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AOT-SYS-006</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system shall reject startup when a required end-state control is disabled, unavailable, inconsistently configured, or silently downgraded.</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G4</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AOT-SYS-007</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system shall support only resources, operations, hazards, and deployment contexts registered in the approved system baseline.</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G4</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TBR-001,TBR-002</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AOT-SYS-008</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system shall classify every externally communicated capability claim using the defined claim-state model and the strongest directly supporting evidence level.</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I,A</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G0</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AOT-SYS-009</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system shall prohibit production connection or operational use until the designated asset owner and authorizing authorities accept the applicable qualification evidence and residual risk.</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G7</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TBR-029</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AOT-SYS-010</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system shall preserve the distinction between research evidence, representative operational validation, production qualification, deployment, and demonstrated operational effectiveness.</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I,A,X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G7</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AOT-SYS-011</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Approval of this specification shall not supersede an active safety or security restriction; production connection shall require a separately approved security-policy baseline and deployment-specific authorization.</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G7</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TBR-035</w:t>
            </w:r>
          </w:p>
        </w:tc>
      </w:tr>
    </w:tbl>
    <w:p>
      <w:pPr>
        <w:pStyle w:val="Heading2"/>
        <w:keepNext/>
        <w:pageBreakBefore w:val="0"/>
      </w:pPr>
      <w:r>
        <w:t>5.2  Architecture, separation, and control ownership (ARCH)</w:t>
      </w:r>
    </w:p>
    <w:p>
      <w:pPr>
        <w:pStyle w:val="RequirementDomainIntro"/>
      </w:pPr>
      <w:r>
        <w:t>Allocation: Chief architect; platform and OT integration leads.  Source basis: Current capability architecture, six-node topology intent, zero-trust architecture inputs.</w:t>
      </w:r>
    </w:p>
    <w:tbl>
      <w:tblPr>
        <w:tblStyle w:val="TableGrid"/>
        <w:tblW w:type="dxa" w:w="9260"/>
        <w:jc w:val="center"/>
        <w:tblLayout w:type="fixed"/>
        <w:tblLook w:firstColumn="1" w:firstRow="1" w:lastColumn="0" w:lastRow="0" w:noHBand="0" w:noVBand="1" w:val="04A0"/>
        <w:tblInd w:w="100" w:type="dxa"/>
      </w:tblPr>
      <w:tblGrid>
        <w:gridCol w:w="1168"/>
        <w:gridCol w:w="598"/>
        <w:gridCol w:w="4958"/>
        <w:gridCol w:w="883"/>
        <w:gridCol w:w="684"/>
        <w:gridCol w:w="969"/>
      </w:tblGrid>
      <w:tr>
        <w:trPr>
          <w:tblHeader w:val="true"/>
          <w:cantSplit/>
        </w:trPr>
        <w:tc>
          <w:tcPr>
            <w:tcW w:type="dxa" w:w="116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ID</w:t>
            </w:r>
          </w:p>
        </w:tc>
        <w:tc>
          <w:tcPr>
            <w:tcW w:type="dxa" w:w="59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Class</w:t>
            </w:r>
          </w:p>
        </w:tc>
        <w:tc>
          <w:tcPr>
            <w:tcW w:type="dxa" w:w="495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Normative requirement</w:t>
            </w:r>
          </w:p>
        </w:tc>
        <w:tc>
          <w:tcPr>
            <w:tcW w:type="dxa" w:w="883"/>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V&amp;V</w:t>
            </w:r>
          </w:p>
        </w:tc>
        <w:tc>
          <w:tcPr>
            <w:tcW w:type="dxa" w:w="684"/>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Gate</w:t>
            </w:r>
          </w:p>
        </w:tc>
        <w:tc>
          <w:tcPr>
            <w:tcW w:type="dxa" w:w="969"/>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TBR</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AOT-ARCH-001</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architecture shall allocate proposal, identity, delegation, policy, consequence evaluation, observation, permit issuance, actuation enforcement, coordination, and evidence functions to explicitly identified components.</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I,A</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G0</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AOT-ARCH-002</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architecture shall assign an accountable administrative owner to each trust root, policy authority, recovery authority, evidence anchor, and consequential interface.</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G0</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TBR-028</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AOT-ARCH-003</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authorization gateway shall be the sole component permitted to issue execution permits for agent-originated consequential actions.</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AOT-ARCH-004</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OT adapter or PLC enforcement role shall be the sole component permitted to invoke the registered plant-apply interface.</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G4</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AOT-ARCH-005</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consequence evaluator shall execute outside the proposing agent's reasoning and execution boundary.</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AOT-ARCH-006</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observation path shall be logically and administratively separable from the proposing agent and the actuation path.</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G4</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TBR-023</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AOT-ARCH-007</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public evidence-viewing surface shall be read-only and isolated from mutable control, administration, trust, and plant interfaces.</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AOT-ARCH-008</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architecture shall define the authoritative source for topology, resource registry, interface registry, trust relationships, policy bundles, safety models, and deployment profiles.</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G0</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AOT-ARCH-009</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architecture shall identify every trust boundary, data flow, persistent state store, external dependency, and single point of failure in the approved system context.</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I,A</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G0</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bl>
    <w:p>
      <w:pPr>
        <w:pStyle w:val="Heading2"/>
        <w:keepNext/>
        <w:pageBreakBefore w:val="0"/>
      </w:pPr>
      <w:r>
        <w:t>5.3  Identity, authentication, and trust lifecycle (AUTH)</w:t>
      </w:r>
    </w:p>
    <w:p>
      <w:pPr>
        <w:pStyle w:val="RequirementDomainIntro"/>
      </w:pPr>
      <w:r>
        <w:t>Allocation: Identity authority; security engineering; gateway team.  Source basis: M4g application identity, SPIRE/mTLS target, NIST zero-trust guidance, IEC 62443 concepts.</w:t>
      </w:r>
    </w:p>
    <w:tbl>
      <w:tblPr>
        <w:tblStyle w:val="TableGrid"/>
        <w:tblW w:type="dxa" w:w="9260"/>
        <w:jc w:val="center"/>
        <w:tblLayout w:type="fixed"/>
        <w:tblLook w:firstColumn="1" w:firstRow="1" w:lastColumn="0" w:lastRow="0" w:noHBand="0" w:noVBand="1" w:val="04A0"/>
        <w:tblInd w:w="100" w:type="dxa"/>
      </w:tblPr>
      <w:tblGrid>
        <w:gridCol w:w="1168"/>
        <w:gridCol w:w="598"/>
        <w:gridCol w:w="4958"/>
        <w:gridCol w:w="883"/>
        <w:gridCol w:w="684"/>
        <w:gridCol w:w="969"/>
      </w:tblGrid>
      <w:tr>
        <w:trPr>
          <w:tblHeader w:val="true"/>
          <w:cantSplit/>
        </w:trPr>
        <w:tc>
          <w:tcPr>
            <w:tcW w:type="dxa" w:w="116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ID</w:t>
            </w:r>
          </w:p>
        </w:tc>
        <w:tc>
          <w:tcPr>
            <w:tcW w:type="dxa" w:w="59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Class</w:t>
            </w:r>
          </w:p>
        </w:tc>
        <w:tc>
          <w:tcPr>
            <w:tcW w:type="dxa" w:w="495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Normative requirement</w:t>
            </w:r>
          </w:p>
        </w:tc>
        <w:tc>
          <w:tcPr>
            <w:tcW w:type="dxa" w:w="883"/>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V&amp;V</w:t>
            </w:r>
          </w:p>
        </w:tc>
        <w:tc>
          <w:tcPr>
            <w:tcW w:type="dxa" w:w="684"/>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Gate</w:t>
            </w:r>
          </w:p>
        </w:tc>
        <w:tc>
          <w:tcPr>
            <w:tcW w:type="dxa" w:w="969"/>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TBR</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AOT-AUTH-001</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gateway shall cryptographically authenticate the workload submitting each proposal before evaluating actor authority.</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AOT-AUTH-002</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gateway shall bind the authenticated workload identity to the asserted actor and delegation subject through an authority-controlled claim or mapping.</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TBR-005</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AOT-AUTH-003</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Every consequence-path service shall authenticate its peer workload identity before accepting a request.</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G4</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AOT-AUTH-004</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Every consequence-path network channel shall provide confidentiality, integrity, replay resistance, and mutually authenticated peer identity.</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G4</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TBR-006</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AOT-AUTH-005</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trust architecture shall use independently administered trust roots for workload identity, application-level artifact signatures, and externally anchored evidence where their compromise consequences differ.</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I,A,X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G4</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TBR-005</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AOT-AUTH-006</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Credentials shall be audience-bound, subject-bound, role-bound, validity-bounded, and unusable outside the authorized trust domain.</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AOT-AUTH-007</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Credential issuance, renewal, rotation, expiry, suspension, and revocation shall be explicitly defined and observable.</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TBR-007</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AOT-AUTH-008</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Revocation shall prevent new authorization within the approved propagation bound and shall fail closed when current trust status cannot be established.</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T,A</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TBR-007</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AOT-AUTH-009</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Trust-bundle and credential-lifecycle state shall be protected against restart rollback, equivocation, and unauthorized replacement.</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TBR-018</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AOT-AUTH-010</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Private signing keys and trust-root keys shall be generated, stored, used, rotated, backed up, and destroyed using protection commensurate with the assigned assurance level.</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TBR-006</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AOT-AUTH-011</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Authentication failures shall yield stable bounded reason codes without revealing credentials, key material, sensitive trust topology, or attacker-controlled diagnostic content.</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AOT-AUTH-012</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end-state-assurance profile shall not permit a local string allowlist, raw shared secret, or unbound application credential to substitute for required workload identity.</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G4</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bl>
    <w:p>
      <w:pPr>
        <w:pStyle w:val="Heading2"/>
        <w:keepNext/>
        <w:pageBreakBefore w:val="0"/>
      </w:pPr>
      <w:r>
        <w:t>5.4  Delegation and authority containment (DELG)</w:t>
      </w:r>
    </w:p>
    <w:p>
      <w:pPr>
        <w:pStyle w:val="RequirementDomainIntro"/>
      </w:pPr>
      <w:r>
        <w:t>Allocation: Authorization service; policy authority; gateway team.  Source basis: Existing delegation implementation and formal authorization model.</w:t>
      </w:r>
    </w:p>
    <w:tbl>
      <w:tblPr>
        <w:tblStyle w:val="TableGrid"/>
        <w:tblW w:type="dxa" w:w="9260"/>
        <w:jc w:val="center"/>
        <w:tblLayout w:type="fixed"/>
        <w:tblLook w:firstColumn="1" w:firstRow="1" w:lastColumn="0" w:lastRow="0" w:noHBand="0" w:noVBand="1" w:val="04A0"/>
        <w:tblInd w:w="100" w:type="dxa"/>
      </w:tblPr>
      <w:tblGrid>
        <w:gridCol w:w="1168"/>
        <w:gridCol w:w="598"/>
        <w:gridCol w:w="4958"/>
        <w:gridCol w:w="883"/>
        <w:gridCol w:w="684"/>
        <w:gridCol w:w="969"/>
      </w:tblGrid>
      <w:tr>
        <w:trPr>
          <w:tblHeader w:val="true"/>
          <w:cantSplit/>
        </w:trPr>
        <w:tc>
          <w:tcPr>
            <w:tcW w:type="dxa" w:w="116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ID</w:t>
            </w:r>
          </w:p>
        </w:tc>
        <w:tc>
          <w:tcPr>
            <w:tcW w:type="dxa" w:w="59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Class</w:t>
            </w:r>
          </w:p>
        </w:tc>
        <w:tc>
          <w:tcPr>
            <w:tcW w:type="dxa" w:w="495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Normative requirement</w:t>
            </w:r>
          </w:p>
        </w:tc>
        <w:tc>
          <w:tcPr>
            <w:tcW w:type="dxa" w:w="883"/>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V&amp;V</w:t>
            </w:r>
          </w:p>
        </w:tc>
        <w:tc>
          <w:tcPr>
            <w:tcW w:type="dxa" w:w="684"/>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Gate</w:t>
            </w:r>
          </w:p>
        </w:tc>
        <w:tc>
          <w:tcPr>
            <w:tcW w:type="dxa" w:w="969"/>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TBR</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AOT-DELG-001</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gateway shall validate the complete signed delegation chain from an approved root authority to the actor before permit issuance.</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T,F</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G1</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AOT-DELG-002</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 child delegation shall not expand the parent delegation's mission, resource, operation, parameter, risk, time, geographic, or depth scope.</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T,F</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G1</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AOT-DELG-003</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Each delegation shall identify its issuer, subject, parent, scope, issuance time, activation time, expiry time, unique identifier, and integrity protection.</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G1</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AOT-DELG-004</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gateway shall reject a chain with a missing ancestor, invalid signature, broken lineage, cycle, excessive depth, inactive grant, expired grant, or untrusted root.</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T,F</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G1</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AOT-DELG-005</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Revocation of a delegation shall invalidate that grant and every descendant authority within the approved propagation bound.</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T,F</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TBR-007</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AOT-DELG-006</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Delegation evaluation shall use the current authoritative revocation state and shall fail closed when that state is unavailable or unverifiable.</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AOT-DELG-007</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Delegation identifiers and semantic scope shall remain stable across authorized credential rotation for the same subject.</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AOT-DELG-008</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Conflicting, overlapping, or concurrently updated delegations shall be resolved by deterministic precedence rules approved by the policy authority.</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I,T,F</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TBR-027</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AOT-DELG-009</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Delegation issuance, use, denial, expiry, and revocation shall produce correlated, tamper-evident audit evidence.</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bl>
    <w:p>
      <w:pPr>
        <w:pStyle w:val="Heading2"/>
        <w:keepNext/>
        <w:pageBreakBefore w:val="0"/>
      </w:pPr>
      <w:r>
        <w:t>5.5  Policy, human approval, quarantine, and recovery authority (POL)</w:t>
      </w:r>
    </w:p>
    <w:p>
      <w:pPr>
        <w:pStyle w:val="RequirementDomainIntro"/>
      </w:pPr>
      <w:r>
        <w:t>Allocation: Policy authority; operations authority; human-factors lead.  Source basis: Current local/OPA policy path, identified approval gap, planned degraded and recovery modes.</w:t>
      </w:r>
    </w:p>
    <w:tbl>
      <w:tblPr>
        <w:tblStyle w:val="TableGrid"/>
        <w:tblW w:type="dxa" w:w="9260"/>
        <w:jc w:val="center"/>
        <w:tblLayout w:type="fixed"/>
        <w:tblLook w:firstColumn="1" w:firstRow="1" w:lastColumn="0" w:lastRow="0" w:noHBand="0" w:noVBand="1" w:val="04A0"/>
        <w:tblInd w:w="100" w:type="dxa"/>
      </w:tblPr>
      <w:tblGrid>
        <w:gridCol w:w="1168"/>
        <w:gridCol w:w="598"/>
        <w:gridCol w:w="4958"/>
        <w:gridCol w:w="883"/>
        <w:gridCol w:w="684"/>
        <w:gridCol w:w="969"/>
      </w:tblGrid>
      <w:tr>
        <w:trPr>
          <w:tblHeader w:val="true"/>
          <w:cantSplit/>
        </w:trPr>
        <w:tc>
          <w:tcPr>
            <w:tcW w:type="dxa" w:w="116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ID</w:t>
            </w:r>
          </w:p>
        </w:tc>
        <w:tc>
          <w:tcPr>
            <w:tcW w:type="dxa" w:w="59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Class</w:t>
            </w:r>
          </w:p>
        </w:tc>
        <w:tc>
          <w:tcPr>
            <w:tcW w:type="dxa" w:w="495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Normative requirement</w:t>
            </w:r>
          </w:p>
        </w:tc>
        <w:tc>
          <w:tcPr>
            <w:tcW w:type="dxa" w:w="883"/>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V&amp;V</w:t>
            </w:r>
          </w:p>
        </w:tc>
        <w:tc>
          <w:tcPr>
            <w:tcW w:type="dxa" w:w="684"/>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Gate</w:t>
            </w:r>
          </w:p>
        </w:tc>
        <w:tc>
          <w:tcPr>
            <w:tcW w:type="dxa" w:w="969"/>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TBR</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AOT-POL-001</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An independently administered policy decision function shall evaluate each proposal against the current approved policy baseline before permit issuance.</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AOT-POL-002</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gateway and external policy decision function shall produce semantically consistent allow, deny, approval-required, defer, quarantine, and revoke outcomes for equivalent inputs.</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T,F</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AOT-POL-003</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Each policy decision shall bind the exact policy bundle digest, policy data digest, decision input digest, result, reason codes, and decision time.</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AOT-POL-004</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 policy service error, timeout, unavailable state, unverifiable response, unknown rule, or version mismatch shall prevent permit issuance.</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AOT-POL-005</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Risk bands and required approval authorities shall be defined for each registered operation and operating context.</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I,A</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G0</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TBR-004</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AOT-POL-006</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 human approval shall be a signed artifact binding the approving authority, action digest, decision digest, constraints, issuance, expiry, and unique nonce.</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TBR-004</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AOT-POL-007</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gateway shall verify approval authority, signature, scope, freshness, decision binding, and single-use status before accepting an approval.</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AOT-POL-008</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Modification of a proposal after approval shall invalidate that approval and require a new authorization transaction.</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AOT-POL-009</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Quarantine authority shall be separately delegated, scope-bounded, observable, reversible, and incapable of expanding ordinary actuation authority.</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TBR-020</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AOT-POL-010</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Recovery authority shall be separately delegated from ordinary action authority and shall bind the affected transaction, permitted procedure, scope, expiry, and accountable approver.</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TBR-020</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AOT-POL-011</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system shall not provide an emergency bypass that circumvents identity, permit validation, physical safety enforcement, or evidence generation.</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bl>
    <w:p>
      <w:pPr>
        <w:pStyle w:val="Heading2"/>
        <w:keepNext/>
        <w:pageBreakBefore w:val="0"/>
      </w:pPr>
      <w:r>
        <w:t>5.6  Observation, state integrity, and trusted time (OBS)</w:t>
      </w:r>
    </w:p>
    <w:p>
      <w:pPr>
        <w:pStyle w:val="RequirementDomainIntro"/>
      </w:pPr>
      <w:r>
        <w:t>Allocation: Observation service; time service; OT integration team.  Source basis: M4a/M4b signed observation contracts and identified independence/time gaps.</w:t>
      </w:r>
    </w:p>
    <w:tbl>
      <w:tblPr>
        <w:tblStyle w:val="TableGrid"/>
        <w:tblW w:type="dxa" w:w="9260"/>
        <w:jc w:val="center"/>
        <w:tblLayout w:type="fixed"/>
        <w:tblLook w:firstColumn="1" w:firstRow="1" w:lastColumn="0" w:lastRow="0" w:noHBand="0" w:noVBand="1" w:val="04A0"/>
        <w:tblInd w:w="100" w:type="dxa"/>
      </w:tblPr>
      <w:tblGrid>
        <w:gridCol w:w="1168"/>
        <w:gridCol w:w="598"/>
        <w:gridCol w:w="4958"/>
        <w:gridCol w:w="883"/>
        <w:gridCol w:w="684"/>
        <w:gridCol w:w="969"/>
      </w:tblGrid>
      <w:tr>
        <w:trPr>
          <w:tblHeader w:val="true"/>
          <w:cantSplit/>
        </w:trPr>
        <w:tc>
          <w:tcPr>
            <w:tcW w:type="dxa" w:w="116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ID</w:t>
            </w:r>
          </w:p>
        </w:tc>
        <w:tc>
          <w:tcPr>
            <w:tcW w:type="dxa" w:w="59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Class</w:t>
            </w:r>
          </w:p>
        </w:tc>
        <w:tc>
          <w:tcPr>
            <w:tcW w:type="dxa" w:w="495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Normative requirement</w:t>
            </w:r>
          </w:p>
        </w:tc>
        <w:tc>
          <w:tcPr>
            <w:tcW w:type="dxa" w:w="883"/>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V&amp;V</w:t>
            </w:r>
          </w:p>
        </w:tc>
        <w:tc>
          <w:tcPr>
            <w:tcW w:type="dxa" w:w="684"/>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Gate</w:t>
            </w:r>
          </w:p>
        </w:tc>
        <w:tc>
          <w:tcPr>
            <w:tcW w:type="dxa" w:w="969"/>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TBR</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AOT-OBS-001</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Authorization shall consume a fresh signed pre-observation acquired for the specific action transaction.</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TBR-009</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AOT-OBS-002</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Each observation shall bind source identity, key identifier, boot epoch, monotonic sequence, challenge, capture time, clock domain, model digest, topology digest, state digest, and transaction correlation.</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AOT-OBS-003</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observer shall reject or flag unavailable, stale, duplicated, reordered, future-dated, non-monotonic, or unverifiable source data.</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TBR-008,TBR-009</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AOT-OBS-004</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gateway shall reject an observation whose challenge, source, resource, model, topology, or transaction binding differs from the active authorization context.</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AOT-OBS-005</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Trusted-time sources, clock-quality indicators, maximum clock error, and holdover behavior shall be specified for each deployment profile.</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I,T,A</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G4</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TBR-008</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AOT-OBS-006</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Loss of trusted time beyond the approved bound shall prevent new consequential authorization unless an explicitly approved degraded-time rule applies.</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TBR-008,TBR-019</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AOT-OBS-007</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end-state profile shall provide an observation source whose failure domain and administrative control satisfy the approved independence requirement.</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G4</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TBR-023</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AOT-OBS-008</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Contradictory observations from required sources shall produce an explicit disagreement state and shall not be collapsed into an assumed valid state.</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G4</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TBR-023</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AOT-OBS-009</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Post-effect observation shall be acquired independently of the acknowledgment and shall bind the originating action transaction.</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AOT-OBS-010</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Observation provenance, calibration state, quality indicators, and uncertainty shall be retained with the associated decision evidence.</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G4</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TBR-003</w:t>
            </w:r>
          </w:p>
        </w:tc>
      </w:tr>
    </w:tbl>
    <w:p>
      <w:pPr>
        <w:pStyle w:val="Heading2"/>
        <w:keepNext/>
        <w:pageBreakBefore w:val="0"/>
      </w:pPr>
      <w:r>
        <w:t>5.7  Consequence evaluation and safety enforcement (SAFE)</w:t>
      </w:r>
    </w:p>
    <w:p>
      <w:pPr>
        <w:pStyle w:val="RequirementDomainIntro"/>
      </w:pPr>
      <w:r>
        <w:t>Allocation: Safety engineering; model authority; independent evaluator team.  Source basis: Current safety kernel and independent oracle; intended pluggable model/digital-twin architecture.</w:t>
      </w:r>
    </w:p>
    <w:tbl>
      <w:tblPr>
        <w:tblStyle w:val="TableGrid"/>
        <w:tblW w:type="dxa" w:w="9260"/>
        <w:jc w:val="center"/>
        <w:tblLayout w:type="fixed"/>
        <w:tblLook w:firstColumn="1" w:firstRow="1" w:lastColumn="0" w:lastRow="0" w:noHBand="0" w:noVBand="1" w:val="04A0"/>
        <w:tblInd w:w="100" w:type="dxa"/>
      </w:tblPr>
      <w:tblGrid>
        <w:gridCol w:w="1168"/>
        <w:gridCol w:w="598"/>
        <w:gridCol w:w="4958"/>
        <w:gridCol w:w="883"/>
        <w:gridCol w:w="684"/>
        <w:gridCol w:w="969"/>
      </w:tblGrid>
      <w:tr>
        <w:trPr>
          <w:tblHeader w:val="true"/>
          <w:cantSplit/>
        </w:trPr>
        <w:tc>
          <w:tcPr>
            <w:tcW w:type="dxa" w:w="116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ID</w:t>
            </w:r>
          </w:p>
        </w:tc>
        <w:tc>
          <w:tcPr>
            <w:tcW w:type="dxa" w:w="59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Class</w:t>
            </w:r>
          </w:p>
        </w:tc>
        <w:tc>
          <w:tcPr>
            <w:tcW w:type="dxa" w:w="495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Normative requirement</w:t>
            </w:r>
          </w:p>
        </w:tc>
        <w:tc>
          <w:tcPr>
            <w:tcW w:type="dxa" w:w="883"/>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V&amp;V</w:t>
            </w:r>
          </w:p>
        </w:tc>
        <w:tc>
          <w:tcPr>
            <w:tcW w:type="dxa" w:w="684"/>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Gate</w:t>
            </w:r>
          </w:p>
        </w:tc>
        <w:tc>
          <w:tcPr>
            <w:tcW w:type="dxa" w:w="969"/>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TBR</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AOT-SAFE-001</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 deterministic safety enforcement function outside the proposing agent shall deny any transition that violates an approved safety constraint.</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T,F,X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G2</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TBR-003</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AOT-SAFE-002</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consequence evaluator shall evaluate the exact authorized pre-state and exact actuator command before permit issuance.</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AOT-SAFE-003</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evaluator shall reject any mismatch in resource, operation, command, pre-state, observation, model, topology, policy, or safety version binding.</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AOT-SAFE-004</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Safety limits, model artifacts, solver configuration, resource mappings, and acceptance rules shall be versioned, integrity-protected, reviewable, and deployment-profile specific.</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G4</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TBR-003</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AOT-SAFE-005</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system shall represent model uncertainty, input uncertainty, convergence status, out-of-domain conditions, and evaluator disagreement explicitly.</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G4</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TBR-003</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AOT-SAFE-006</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An unsafe, indeterminate, non-convergent, out-of-domain, unavailable, or unverifiable consequence result shall prevent permit issuance.</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AOT-SAFE-007</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end-state profile shall support pluggable sector-specific safety models through a closed, versioned evaluator interface.</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G4</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TBR-001,TBR-022</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AOT-SAFE-008</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Each approved model shall define its validity domain, calibration evidence, required inputs, uncertainty bounds, hazard assumptions, and known limitations.</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I,A,X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G4</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TBR-003</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AOT-SAFE-009</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Independent evaluation shall use separately implemented logic, separately controlled model artifacts, or independently acquired evidence sufficient to expose common-mode errors.</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G7</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TBR-023</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AOT-SAFE-010</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 change to a safety limit, model, topology, solver, mapping, or evaluator implementation shall invalidate incompatible cached decisions and permits.</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G4</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AOT-SAFE-011</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Safety decisions and their supporting model inputs and outputs shall be reproducible offline within the documented numerical tolerance.</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T,A,X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G7</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TBR-003</w:t>
            </w:r>
          </w:p>
        </w:tc>
      </w:tr>
    </w:tbl>
    <w:p>
      <w:pPr>
        <w:pStyle w:val="Heading2"/>
        <w:keepNext/>
        <w:pageBreakBefore w:val="0"/>
      </w:pPr>
      <w:r>
        <w:t>5.8  Permit issuance and near-actuation enforcement (EXEC)</w:t>
      </w:r>
    </w:p>
    <w:p>
      <w:pPr>
        <w:pStyle w:val="RequirementDomainIntro"/>
      </w:pPr>
      <w:r>
        <w:t>Allocation: Gateway team; OT adapter/PLC team; security engineering.  Source basis: M4a/M4b capability protocol and physical enforcement path.</w:t>
      </w:r>
    </w:p>
    <w:tbl>
      <w:tblPr>
        <w:tblStyle w:val="TableGrid"/>
        <w:tblW w:type="dxa" w:w="9260"/>
        <w:jc w:val="center"/>
        <w:tblLayout w:type="fixed"/>
        <w:tblLook w:firstColumn="1" w:firstRow="1" w:lastColumn="0" w:lastRow="0" w:noHBand="0" w:noVBand="1" w:val="04A0"/>
        <w:tblInd w:w="100" w:type="dxa"/>
      </w:tblPr>
      <w:tblGrid>
        <w:gridCol w:w="1168"/>
        <w:gridCol w:w="598"/>
        <w:gridCol w:w="4958"/>
        <w:gridCol w:w="883"/>
        <w:gridCol w:w="684"/>
        <w:gridCol w:w="969"/>
      </w:tblGrid>
      <w:tr>
        <w:trPr>
          <w:tblHeader w:val="true"/>
          <w:cantSplit/>
        </w:trPr>
        <w:tc>
          <w:tcPr>
            <w:tcW w:type="dxa" w:w="116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ID</w:t>
            </w:r>
          </w:p>
        </w:tc>
        <w:tc>
          <w:tcPr>
            <w:tcW w:type="dxa" w:w="59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Class</w:t>
            </w:r>
          </w:p>
        </w:tc>
        <w:tc>
          <w:tcPr>
            <w:tcW w:type="dxa" w:w="495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Normative requirement</w:t>
            </w:r>
          </w:p>
        </w:tc>
        <w:tc>
          <w:tcPr>
            <w:tcW w:type="dxa" w:w="883"/>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V&amp;V</w:t>
            </w:r>
          </w:p>
        </w:tc>
        <w:tc>
          <w:tcPr>
            <w:tcW w:type="dxa" w:w="684"/>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Gate</w:t>
            </w:r>
          </w:p>
        </w:tc>
        <w:tc>
          <w:tcPr>
            <w:tcW w:type="dxa" w:w="969"/>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TBR</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AOT-EXEC-001</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gateway shall issue an execution permit only after identity, delegation, policy, approval when required, freshness, replay, and consequence checks all succeed.</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T,F</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AOT-EXEC-002</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Each permit shall bind the proposal, actor, workload, delegation chain, policy result, approval when required, safety assessment, pre-observation, expected transition, command, target actuator, audience, issuance, expiry, and evidence digest.</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AOT-EXEC-003</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Each permit shall have a globally unique identifier and a cryptographically unpredictable one-time nonce.</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I,T,A</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TBR-006</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AOT-EXEC-004</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Permit validity shall be short enough to remain within the approved observation-freshness and process-change bounds.</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A,T</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G4</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TBR-009,TBR-010</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AOT-EXEC-005</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OT adapter shall accept only an authentic, unexpired, audience-bound, target-bound, exact-command-bound permit from an approved issuer.</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AOT-EXEC-006</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OT adapter shall consume permit and command replay state atomically before consequential admission.</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AOT-EXEC-007</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OT adapter shall revalidate current state, model, topology, boot epoch, and transaction bindings immediately before consequential admission.</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AOT-EXEC-008</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 state-version or binding change after authorization shall cause rejection rather than execution under stale authority.</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AOT-EXEC-009</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Any operation without an exact registered actuator mapping shall be rejected before dispatch with a stable reason code.</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TBR-002</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AOT-EXEC-010</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adapter shall emit a signed acknowledgment that binds the exact permit, command, effect identity, adapter identity, disposition, resulting state when known, and transaction correlation.</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AOT-EXEC-011</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 successful completion state shall require both a valid applied acknowledgment and a separately signed post-observation matching the authorized expected state.</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AOT-EXEC-012</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Immediately before prepare, commit, or other consequential admission, the enforcement path shall revalidate current credential status, delegation and revocation state, approval validity, policy epoch, quarantine state, and all permit-bound context.</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T,F</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TBR-007,TBR-017</w:t>
            </w:r>
          </w:p>
        </w:tc>
      </w:tr>
    </w:tbl>
    <w:p>
      <w:pPr>
        <w:pStyle w:val="Heading2"/>
        <w:keepNext/>
        <w:pageBreakBefore w:val="0"/>
      </w:pPr>
      <w:r>
        <w:t>5.9  Replay, effect certainty, concurrency, and reconciliation (COORD)</w:t>
      </w:r>
    </w:p>
    <w:p>
      <w:pPr>
        <w:pStyle w:val="RequirementDomainIntro"/>
      </w:pPr>
      <w:r>
        <w:t>Allocation: Gateway, coordination, OT adapter, and persistence teams.  Source basis: M4f durable admission and M4i coordination/recovery design; unknown-effect discipline.</w:t>
      </w:r>
    </w:p>
    <w:tbl>
      <w:tblPr>
        <w:tblStyle w:val="TableGrid"/>
        <w:tblW w:type="dxa" w:w="9260"/>
        <w:jc w:val="center"/>
        <w:tblLayout w:type="fixed"/>
        <w:tblLook w:firstColumn="1" w:firstRow="1" w:lastColumn="0" w:lastRow="0" w:noHBand="0" w:noVBand="1" w:val="04A0"/>
        <w:tblInd w:w="100" w:type="dxa"/>
      </w:tblPr>
      <w:tblGrid>
        <w:gridCol w:w="1168"/>
        <w:gridCol w:w="598"/>
        <w:gridCol w:w="4958"/>
        <w:gridCol w:w="883"/>
        <w:gridCol w:w="684"/>
        <w:gridCol w:w="969"/>
      </w:tblGrid>
      <w:tr>
        <w:trPr>
          <w:tblHeader w:val="true"/>
          <w:cantSplit/>
        </w:trPr>
        <w:tc>
          <w:tcPr>
            <w:tcW w:type="dxa" w:w="116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ID</w:t>
            </w:r>
          </w:p>
        </w:tc>
        <w:tc>
          <w:tcPr>
            <w:tcW w:type="dxa" w:w="59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Class</w:t>
            </w:r>
          </w:p>
        </w:tc>
        <w:tc>
          <w:tcPr>
            <w:tcW w:type="dxa" w:w="495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Normative requirement</w:t>
            </w:r>
          </w:p>
        </w:tc>
        <w:tc>
          <w:tcPr>
            <w:tcW w:type="dxa" w:w="883"/>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V&amp;V</w:t>
            </w:r>
          </w:p>
        </w:tc>
        <w:tc>
          <w:tcPr>
            <w:tcW w:type="dxa" w:w="684"/>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Gate</w:t>
            </w:r>
          </w:p>
        </w:tc>
        <w:tc>
          <w:tcPr>
            <w:tcW w:type="dxa" w:w="969"/>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TBR</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AOT-COORD-001</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Replay protection shall cover proposal nonce, exact signed transport envelope, stable workload subject, delegation use where bounded, approval nonce, permit identifier, permit nonce, command identifier, action digest, and semantic effect identity.</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TBR-016</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AOT-COORD-002</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Replay state required for consequential admission shall be durable before dispatch and shall survive process and orderly host restart.</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AOT-COORD-003</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Replay state corruption, rollback, capacity exhaustion, ambiguous migration, or unavailability shall prevent new consequential admission.</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AOT-COORD-004</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Each semantic effect shall have a deterministic identifier derived from immutable consequence material and independent of delivery attempts or leaf-key rotation.</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AOT-COORD-005</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gateway shall durably retain prepare intent and the exact signed prepare receipt before issuing a commit request.</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AOT-COORD-006</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OT coordinator shall durably retain commit acceptance before invoking the actuator.</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AOT-COORD-007</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gateway shall transmit a commit request at most once for a semantic effect under the approved failure model.</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T,A,F</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TBR-017</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AOT-COORD-008</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After commit intent is durable, subsequent handling shall use authenticated query or reconciliation and shall not redispatch the effect.</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AOT-COORD-009</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 communication timeout after possible dispatch shall result in unknown-effect classification rather than presumed failure, presumed success, or automatic retry.</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AOT-COORD-010</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Applied and rejected effect states shall be immutable and shall require exact signed authoritative outcome evidence.</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AOT-COORD-011</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An unresolved effect shall block conflicting consequential actions until authoritative reconciliation or separately authorized recovery completes.</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TBR-017</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AOT-COORD-012</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Startup readiness shall validate coordination journals, replay state, durable plant projection, and pending-effect alignment before accepting work.</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AOT-COORD-013</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system shall detect and fail closed on journal truncation, broken hash chains, rollback, unauthorized advancement, plant mismatch, unsupported multiple-pending ambiguity, and corrupt terminal evidence.</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AOT-COORD-014</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C</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Any claim of exactly-once physical effect shall require a separately approved failure model, actuator idempotency or fencing, authoritative effect identity, distributed coordination evidence, and independent validation.</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I,A,T,X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G7</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TBR-017,TBR-018</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AOT-COORD-015</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If authority invalidation is observed before commit intent is durable, the system shall prevent dispatch; if invalidation is observed after commit intent is durable, the system shall not redispatch or presume an effect and shall use authenticated query-only reconciliation to signed terminal evidence.</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T,F,X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TBR-017</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AOT-COORD-016</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An APPLIED effect disposition shall not be reported as transaction COMPLETED until the required independent signed post-observation confirms the authorized expected state.</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T,F</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AOT-COORD-017</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 recovery-process status shall not serve as proof of physical effect, and UNKNOWN_EFFECT shall resolve only from authoritative signed evidence establishing APPLIED or REJECTED.</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T,F,X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TBR-017</w:t>
            </w:r>
          </w:p>
        </w:tc>
      </w:tr>
    </w:tbl>
    <w:p>
      <w:pPr>
        <w:pStyle w:val="Heading2"/>
        <w:keepNext/>
        <w:pageBreakBefore w:val="0"/>
      </w:pPr>
      <w:r>
        <w:t>5.10  Network, deployment topology, and trust boundaries (NET)</w:t>
      </w:r>
    </w:p>
    <w:p>
      <w:pPr>
        <w:pStyle w:val="RequirementDomainIntro"/>
      </w:pPr>
      <w:r>
        <w:t>Allocation: Platform, network, security, and deployment engineering.  Source basis: M4d segmentation, M4j six-node topology intent, NIST OT/zero-trust guidance.</w:t>
      </w:r>
    </w:p>
    <w:tbl>
      <w:tblPr>
        <w:tblStyle w:val="TableGrid"/>
        <w:tblW w:type="dxa" w:w="9260"/>
        <w:jc w:val="center"/>
        <w:tblLayout w:type="fixed"/>
        <w:tblLook w:firstColumn="1" w:firstRow="1" w:lastColumn="0" w:lastRow="0" w:noHBand="0" w:noVBand="1" w:val="04A0"/>
        <w:tblInd w:w="100" w:type="dxa"/>
      </w:tblPr>
      <w:tblGrid>
        <w:gridCol w:w="1168"/>
        <w:gridCol w:w="598"/>
        <w:gridCol w:w="4958"/>
        <w:gridCol w:w="883"/>
        <w:gridCol w:w="684"/>
        <w:gridCol w:w="969"/>
      </w:tblGrid>
      <w:tr>
        <w:trPr>
          <w:tblHeader w:val="true"/>
          <w:cantSplit/>
        </w:trPr>
        <w:tc>
          <w:tcPr>
            <w:tcW w:type="dxa" w:w="116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ID</w:t>
            </w:r>
          </w:p>
        </w:tc>
        <w:tc>
          <w:tcPr>
            <w:tcW w:type="dxa" w:w="59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Class</w:t>
            </w:r>
          </w:p>
        </w:tc>
        <w:tc>
          <w:tcPr>
            <w:tcW w:type="dxa" w:w="495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Normative requirement</w:t>
            </w:r>
          </w:p>
        </w:tc>
        <w:tc>
          <w:tcPr>
            <w:tcW w:type="dxa" w:w="883"/>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V&amp;V</w:t>
            </w:r>
          </w:p>
        </w:tc>
        <w:tc>
          <w:tcPr>
            <w:tcW w:type="dxa" w:w="684"/>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Gate</w:t>
            </w:r>
          </w:p>
        </w:tc>
        <w:tc>
          <w:tcPr>
            <w:tcW w:type="dxa" w:w="969"/>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TBR</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AOT-NET-001</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One authoritative topology model shall generate or validate node definitions, addresses, service placement, firewall policy, inventory, trust relationships, and acceptance probes.</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G4</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AOT-NET-002</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end-state deployment shall separate management, trust, agent, gateway/control-DMZ, OT, and simulation functions into approved security zones and conduits.</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G4</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TBR-005</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AOT-NET-003</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Network policy shall allow only registered source role, destination role, protocol, port, and direction tuples and shall deny all other inter-zone traffic by default.</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G4</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AOT-NET-004</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Negative reachability tests shall demonstrate that agents and simulation services cannot directly reach consequential OT apply interfaces.</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G4</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AOT-NET-005</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Management access shall be isolated, strongly authenticated, auditable, and unable to create an unmonitored consequential bypass.</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AOT-NET-006</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Bootstrap, provisioning, or NAT interfaces shall expose no application listener and shall be removed or explicitly firewall-restricted after provisioning.</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G4</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AOT-NET-007</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Every service shall bind only to the interfaces and addresses assigned by the authoritative topology.</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G4</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AOT-NET-008</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Partition behavior shall be defined for every conduit and shall preserve fail-closed authorization and unknown-effect semantics.</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TBR-019</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AOT-NET-009</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deployment shall prevent unauthorized east-west service discovery, peer substitution, route injection, and DNS-based identity substitution.</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AOT-NET-010</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approved high-availability topology shall define replica placement, state ownership, fencing, quorum, failover, and split-brain behavior.</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I,T,A</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TBR-018</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AOT-NET-011</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Deployment readiness shall require observed multi-host service startup, routing isolation, workload identity, policy operation, action execution, recovery, and cleanup rather than configuration resolution alone.</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G4</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bl>
    <w:p>
      <w:pPr>
        <w:pStyle w:val="Heading2"/>
        <w:keepNext/>
        <w:pageBreakBefore w:val="0"/>
      </w:pPr>
      <w:r>
        <w:t>5.11  Resilience, degraded operation, and operate-through-compromise (RES)</w:t>
      </w:r>
    </w:p>
    <w:p>
      <w:pPr>
        <w:pStyle w:val="RequirementDomainIntro"/>
      </w:pPr>
      <w:r>
        <w:t>Allocation: System resilience; cybersecurity; operations authority.  Source basis: WP5 intent, OT availability constraints, current fail-closed mechanisms and gaps.</w:t>
      </w:r>
    </w:p>
    <w:tbl>
      <w:tblPr>
        <w:tblStyle w:val="TableGrid"/>
        <w:tblW w:type="dxa" w:w="9260"/>
        <w:jc w:val="center"/>
        <w:tblLayout w:type="fixed"/>
        <w:tblLook w:firstColumn="1" w:firstRow="1" w:lastColumn="0" w:lastRow="0" w:noHBand="0" w:noVBand="1" w:val="04A0"/>
        <w:tblInd w:w="100" w:type="dxa"/>
      </w:tblPr>
      <w:tblGrid>
        <w:gridCol w:w="1168"/>
        <w:gridCol w:w="598"/>
        <w:gridCol w:w="4958"/>
        <w:gridCol w:w="883"/>
        <w:gridCol w:w="684"/>
        <w:gridCol w:w="969"/>
      </w:tblGrid>
      <w:tr>
        <w:trPr>
          <w:tblHeader w:val="true"/>
          <w:cantSplit/>
        </w:trPr>
        <w:tc>
          <w:tcPr>
            <w:tcW w:type="dxa" w:w="116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ID</w:t>
            </w:r>
          </w:p>
        </w:tc>
        <w:tc>
          <w:tcPr>
            <w:tcW w:type="dxa" w:w="59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Class</w:t>
            </w:r>
          </w:p>
        </w:tc>
        <w:tc>
          <w:tcPr>
            <w:tcW w:type="dxa" w:w="495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Normative requirement</w:t>
            </w:r>
          </w:p>
        </w:tc>
        <w:tc>
          <w:tcPr>
            <w:tcW w:type="dxa" w:w="883"/>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V&amp;V</w:t>
            </w:r>
          </w:p>
        </w:tc>
        <w:tc>
          <w:tcPr>
            <w:tcW w:type="dxa" w:w="684"/>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Gate</w:t>
            </w:r>
          </w:p>
        </w:tc>
        <w:tc>
          <w:tcPr>
            <w:tcW w:type="dxa" w:w="969"/>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TBR</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AOT-RES-001</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Loss or invalidity of identity, delegation, policy, approval, safety, observation, replay, coordination, plant-alignment, or evidence dependencies shall prevent new consequential authorization.</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AOT-RES-002</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 degraded operating mode shall be explicitly named, separately authorized, scope-bounded, time-bounded, observable, and reversible.</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TBR-019</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AOT-RES-003</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 degraded operating mode shall not bypass permit validation, physical safety enforcement, replay protection, effect coordination, or evidence generation.</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AOT-RES-004</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system shall define safe-state, hold-state, and mission-preserving behavior for loss of each required service and communications path.</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I,T,A</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TBR-019</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AOT-RES-005</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Recovery procedures shall preserve unknown-effect semantics and shall not convert communications failure into an assumed no-effect or success state.</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AOT-RES-006</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system shall contain a compromised agent without expanding authorization, bypassing the gateway, or corrupting authoritative policy and evidence.</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AOT-RES-007</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system shall detect and contain compromise of observer, evaluator, policy, gateway, identity, coordination, management, and OT-adapter roles according to the approved compromise matrix.</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TBR-034</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AOT-RES-008</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Quarantine shall isolate the affected workload, credential, delegation, resource, transaction, or zone at the narrowest safe scope.</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TBR-020</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AOT-RES-009</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Restart, crash, power interruption, storage corruption, storage exhaustion, clock fault, message loss, duplication, delay, reordering, and partition shall be handled according to registered fail-safe behavior.</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AOT-RES-010</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Backups and recovery artifacts shall be authenticated, encrypted where required, access-controlled, version-compatible, and protected from coordinated rollback.</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TBR-013</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AOT-RES-011</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Recovery time, recovery point, maximum unavailable duration, and maximum unresolved-effect age shall meet approved mission-specific bounds.</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T,A,X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G6</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TBR-012,TBR-013</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AOT-RES-012</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No resilience mechanism shall silently trade away authorization integrity or physical safety to achieve availability.</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G7</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bl>
    <w:p>
      <w:pPr>
        <w:pStyle w:val="Heading2"/>
        <w:keepNext/>
        <w:pageBreakBefore w:val="0"/>
      </w:pPr>
      <w:r>
        <w:t>5.12  Evidence, provenance, custody, and accountability (EVID)</w:t>
      </w:r>
    </w:p>
    <w:p>
      <w:pPr>
        <w:pStyle w:val="RequirementDomainIntro"/>
      </w:pPr>
      <w:r>
        <w:t>Allocation: Evidence service; test authority; security operations; records owner.  Source basis: Current hash-chained evidence and M4b packages; required external anchoring and independent custody.</w:t>
      </w:r>
    </w:p>
    <w:tbl>
      <w:tblPr>
        <w:tblStyle w:val="TableGrid"/>
        <w:tblW w:type="dxa" w:w="9260"/>
        <w:jc w:val="center"/>
        <w:tblLayout w:type="fixed"/>
        <w:tblLook w:firstColumn="1" w:firstRow="1" w:lastColumn="0" w:lastRow="0" w:noHBand="0" w:noVBand="1" w:val="04A0"/>
        <w:tblInd w:w="100" w:type="dxa"/>
      </w:tblPr>
      <w:tblGrid>
        <w:gridCol w:w="1168"/>
        <w:gridCol w:w="598"/>
        <w:gridCol w:w="4958"/>
        <w:gridCol w:w="883"/>
        <w:gridCol w:w="684"/>
        <w:gridCol w:w="969"/>
      </w:tblGrid>
      <w:tr>
        <w:trPr>
          <w:tblHeader w:val="true"/>
          <w:cantSplit/>
        </w:trPr>
        <w:tc>
          <w:tcPr>
            <w:tcW w:type="dxa" w:w="116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ID</w:t>
            </w:r>
          </w:p>
        </w:tc>
        <w:tc>
          <w:tcPr>
            <w:tcW w:type="dxa" w:w="59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Class</w:t>
            </w:r>
          </w:p>
        </w:tc>
        <w:tc>
          <w:tcPr>
            <w:tcW w:type="dxa" w:w="495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Normative requirement</w:t>
            </w:r>
          </w:p>
        </w:tc>
        <w:tc>
          <w:tcPr>
            <w:tcW w:type="dxa" w:w="883"/>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V&amp;V</w:t>
            </w:r>
          </w:p>
        </w:tc>
        <w:tc>
          <w:tcPr>
            <w:tcW w:type="dxa" w:w="684"/>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Gate</w:t>
            </w:r>
          </w:p>
        </w:tc>
        <w:tc>
          <w:tcPr>
            <w:tcW w:type="dxa" w:w="969"/>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TBR</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AOT-EVID-001</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Every proposal shall produce a reconstructable evidence chain from received request through terminal outcome or explicit unresolved state.</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G2</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AOT-EVID-002</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Evidence shall correlate identity admission, delegation evaluation, policy result, approval, safety result, permit, dispatch transition, acknowledgment, observation, reconciliation, and terminal disposition.</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AOT-EVID-003</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Runtime evidence shall be durably retained before an externally visible terminal success is reported.</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G4</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TBR-014</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AOT-EVID-004</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Runtime evidence shall be append-only or equivalently tamper-evident and shall be anchored outside the host or administrative domain that produced it.</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TBR-015</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AOT-EVID-005</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Each retained evidence package shall bind the exact source commit and tree, dependency lock, schemas, configuration, topology, image digests, environment, acceptance criteria, raw outcomes, and artifact inventory.</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AOT-EVID-006</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Evidence generation shall refuse dirty or changing source, reused output paths, partial packages, unknown revisions, and retained secret or private-key material.</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AOT-EVID-007</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An offline verifier using an independently supplied trust root shall validate schemas, canonical encoding, signatures, hashes, inventory closure, source binding, acceptance gates, and internal consistency.</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G4</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AOT-EVID-008</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verifier shall report package validity, historical-source binding, current-checkout binding, experiment acceptance, and independent custody as separate determinations.</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G4</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AOT-EVID-009</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Evidence retention, legal hold, privacy, minimization, access control, export, and secure disposal rules shall be defined for each evidence class.</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G6</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TBR-014</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AOT-EVID-010</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Evidence exports shall preserve provenance and verification semantics across organizational and tool boundaries.</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G7</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AOT-EVID-011</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Operational and public reports shall state denominators, failure counts, exclusions, source state, environmental limitations, and unresolved findings.</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G7</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AOT-EVID-012</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Evidence at one claim-state level shall not be used to assert a later state such as independent validation, deployment, or operational effectiveness.</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I,A,X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G7</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AOT-EVID-013</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 finalized evidence package shall be immutable or read-only, and package tooling shall direct caches, temporary files, and verifier side effects outside its closed inventory.</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bl>
    <w:p>
      <w:pPr>
        <w:pStyle w:val="Heading2"/>
        <w:keepNext/>
        <w:pageBreakBefore w:val="0"/>
      </w:pPr>
      <w:r>
        <w:t>5.13  Interfaces, schemas, and data contracts (IF)</w:t>
      </w:r>
    </w:p>
    <w:p>
      <w:pPr>
        <w:pStyle w:val="RequirementDomainIntro"/>
      </w:pPr>
      <w:r>
        <w:t>Allocation: Interface control authority; software architecture; adapter owners.  Source basis: Current 46-schema contract surface and strict consequential-request parsing.</w:t>
      </w:r>
    </w:p>
    <w:tbl>
      <w:tblPr>
        <w:tblStyle w:val="TableGrid"/>
        <w:tblW w:type="dxa" w:w="9260"/>
        <w:jc w:val="center"/>
        <w:tblLayout w:type="fixed"/>
        <w:tblLook w:firstColumn="1" w:firstRow="1" w:lastColumn="0" w:lastRow="0" w:noHBand="0" w:noVBand="1" w:val="04A0"/>
        <w:tblInd w:w="100" w:type="dxa"/>
      </w:tblPr>
      <w:tblGrid>
        <w:gridCol w:w="1168"/>
        <w:gridCol w:w="598"/>
        <w:gridCol w:w="4958"/>
        <w:gridCol w:w="883"/>
        <w:gridCol w:w="684"/>
        <w:gridCol w:w="969"/>
      </w:tblGrid>
      <w:tr>
        <w:trPr>
          <w:tblHeader w:val="true"/>
          <w:cantSplit/>
        </w:trPr>
        <w:tc>
          <w:tcPr>
            <w:tcW w:type="dxa" w:w="116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ID</w:t>
            </w:r>
          </w:p>
        </w:tc>
        <w:tc>
          <w:tcPr>
            <w:tcW w:type="dxa" w:w="59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Class</w:t>
            </w:r>
          </w:p>
        </w:tc>
        <w:tc>
          <w:tcPr>
            <w:tcW w:type="dxa" w:w="495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Normative requirement</w:t>
            </w:r>
          </w:p>
        </w:tc>
        <w:tc>
          <w:tcPr>
            <w:tcW w:type="dxa" w:w="883"/>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V&amp;V</w:t>
            </w:r>
          </w:p>
        </w:tc>
        <w:tc>
          <w:tcPr>
            <w:tcW w:type="dxa" w:w="684"/>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Gate</w:t>
            </w:r>
          </w:p>
        </w:tc>
        <w:tc>
          <w:tcPr>
            <w:tcW w:type="dxa" w:w="969"/>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TBR</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AOT-IF-001</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Every message crossing a trust boundary shall conform to a versioned, closed, machine-verifiable schema.</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G1</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AOT-IF-002</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Consequential interfaces shall reject unknown fields, duplicate keys, non-finite values, malformed Unicode, ambiguous encodings, timezone-naive timestamps, and invalid object roots.</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G1</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AOT-IF-003</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Consequential requests shall enforce approved content type, exact content length, strict UTF-8, bounded body size, field-size limits, and collection-size limits.</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G1</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TBR-025</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AOT-IF-004</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Canonical serialization, normalization, digest, and signature rules shall be identical across producers, consumers, schemas, evidence packages, and offline verifiers.</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T,A</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G2</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AOT-IF-005</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Each operation registry entry shall define parameters, units, bounds, defaults, authorized resource types, safety model, command translation, and supported profiles.</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TBR-002</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AOT-IF-006</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Interface version migration shall be explicit, backward-compatibility tested, fail closed on ambiguity, and incapable of silently broadening authority.</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AOT-IF-007</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All decision, denial, recovery, and error outcomes shall use stable, bounded, documented reason codes.</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G2</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AOT-IF-008</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Correlation identifiers shall be unique, non-secret, immutable across the transaction, and insufficient by themselves to authorize an action.</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G2</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AOT-IF-009</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Public read-only APIs and mutable control APIs shall use separate routes, credentials, network exposure, and authorization policy.</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TBR-026</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AOT-IF-010</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Adapter conformance suites shall verify policy, identity, evaluator, observer, PLC, evidence, and time-service implementations before integration.</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G4</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bl>
    <w:p>
      <w:pPr>
        <w:pStyle w:val="Heading2"/>
        <w:keepNext/>
        <w:pageBreakBefore w:val="0"/>
      </w:pPr>
      <w:r>
        <w:t>5.14  Physical-system and OT integration (PHY)</w:t>
      </w:r>
    </w:p>
    <w:p>
      <w:pPr>
        <w:pStyle w:val="RequirementDomainIntro"/>
      </w:pPr>
      <w:r>
        <w:t>Allocation: OT integration; controls engineering; safety authority; asset owner.  Source basis: Current simulated Modbus/pandapower work and planned HELICS/OpenPLC/HIL/physical evaluation.</w:t>
      </w:r>
    </w:p>
    <w:tbl>
      <w:tblPr>
        <w:tblStyle w:val="TableGrid"/>
        <w:tblW w:type="dxa" w:w="9260"/>
        <w:jc w:val="center"/>
        <w:tblLayout w:type="fixed"/>
        <w:tblLook w:firstColumn="1" w:firstRow="1" w:lastColumn="0" w:lastRow="0" w:noHBand="0" w:noVBand="1" w:val="04A0"/>
        <w:tblInd w:w="100" w:type="dxa"/>
      </w:tblPr>
      <w:tblGrid>
        <w:gridCol w:w="1168"/>
        <w:gridCol w:w="598"/>
        <w:gridCol w:w="4958"/>
        <w:gridCol w:w="883"/>
        <w:gridCol w:w="684"/>
        <w:gridCol w:w="969"/>
      </w:tblGrid>
      <w:tr>
        <w:trPr>
          <w:tblHeader w:val="true"/>
          <w:cantSplit/>
        </w:trPr>
        <w:tc>
          <w:tcPr>
            <w:tcW w:type="dxa" w:w="116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ID</w:t>
            </w:r>
          </w:p>
        </w:tc>
        <w:tc>
          <w:tcPr>
            <w:tcW w:type="dxa" w:w="59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Class</w:t>
            </w:r>
          </w:p>
        </w:tc>
        <w:tc>
          <w:tcPr>
            <w:tcW w:type="dxa" w:w="495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Normative requirement</w:t>
            </w:r>
          </w:p>
        </w:tc>
        <w:tc>
          <w:tcPr>
            <w:tcW w:type="dxa" w:w="883"/>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V&amp;V</w:t>
            </w:r>
          </w:p>
        </w:tc>
        <w:tc>
          <w:tcPr>
            <w:tcW w:type="dxa" w:w="684"/>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Gate</w:t>
            </w:r>
          </w:p>
        </w:tc>
        <w:tc>
          <w:tcPr>
            <w:tcW w:type="dxa" w:w="969"/>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TBR</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AOT-PHY-001</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program shall define the target OT sectors, process boundaries, consequential devices, protocols, control loops, and asset-owner constraints before representative validation.</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I,A,X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G4</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TBR-001,TBR-022</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AOT-PHY-002</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Each physical adapter shall define exact I/O mapping, units, scaling, valid ranges, scan semantics, command acceptance, acknowledgment, safe state, and loss-of-communications behavior.</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G4</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TBR-022</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AOT-PHY-003</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system shall distinguish authoritative plant state, controller-reported state, simulated state, and independently measured state in every transaction and evidence record.</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G4</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AOT-PHY-004</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Physical models and safety envelopes shall be calibrated and validated against representative or physical process data within approved uncertainty bounds.</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T,A,X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G7</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TBR-003,TBR-022</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AOT-PHY-005</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Representative validation shall exercise the complete signed observation, evaluation, permit, acknowledgment, readback, and evidence transaction through HELICS, OpenPLC, or an approved equivalent.</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G4</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TBR-022</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AOT-PHY-006</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Qualification shall exercise the complete transaction with representative PLC or HIL equipment and device-specific timing.</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G7</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TBR-022</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AOT-PHY-007</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Safety envelopes shall hold under registered sensor faults, actuator faults, communication faults, stale data, process disturbances, and model mismatch.</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T,A,X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G7</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TBR-003</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AOT-PHY-008</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No physical test shall proceed without an approved test boundary, hazard analysis, abort criteria, safe-state procedure, and authorized facility or asset-owner control.</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G7</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TBR-029</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AOT-PHY-009</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 physical effect shall not be inferred solely from command acceptance or communications success.</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G4</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AOT-PHY-010</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Sector-specific certification, regulatory, and safety requirements shall be identified and allocated before production qualification.</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I,A,X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G7</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TBR-030</w:t>
            </w:r>
          </w:p>
        </w:tc>
      </w:tr>
    </w:tbl>
    <w:p>
      <w:pPr>
        <w:pStyle w:val="Heading2"/>
        <w:keepNext/>
        <w:pageBreakBefore w:val="0"/>
      </w:pPr>
      <w:r>
        <w:t>5.15  Operator interaction, explainability, and public demonstration (HMI)</w:t>
      </w:r>
    </w:p>
    <w:p>
      <w:pPr>
        <w:pStyle w:val="RequirementDomainIntro"/>
      </w:pPr>
      <w:r>
        <w:t>Allocation: Human-systems integration; operations; public demo owner.  Source basis: Risk-based approval intent, operator evaluation goal, current read-only public demo.</w:t>
      </w:r>
    </w:p>
    <w:tbl>
      <w:tblPr>
        <w:tblStyle w:val="TableGrid"/>
        <w:tblW w:type="dxa" w:w="9260"/>
        <w:jc w:val="center"/>
        <w:tblLayout w:type="fixed"/>
        <w:tblLook w:firstColumn="1" w:firstRow="1" w:lastColumn="0" w:lastRow="0" w:noHBand="0" w:noVBand="1" w:val="04A0"/>
        <w:tblInd w:w="100" w:type="dxa"/>
      </w:tblPr>
      <w:tblGrid>
        <w:gridCol w:w="1168"/>
        <w:gridCol w:w="598"/>
        <w:gridCol w:w="4958"/>
        <w:gridCol w:w="883"/>
        <w:gridCol w:w="684"/>
        <w:gridCol w:w="969"/>
      </w:tblGrid>
      <w:tr>
        <w:trPr>
          <w:tblHeader w:val="true"/>
          <w:cantSplit/>
        </w:trPr>
        <w:tc>
          <w:tcPr>
            <w:tcW w:type="dxa" w:w="116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ID</w:t>
            </w:r>
          </w:p>
        </w:tc>
        <w:tc>
          <w:tcPr>
            <w:tcW w:type="dxa" w:w="59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Class</w:t>
            </w:r>
          </w:p>
        </w:tc>
        <w:tc>
          <w:tcPr>
            <w:tcW w:type="dxa" w:w="495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Normative requirement</w:t>
            </w:r>
          </w:p>
        </w:tc>
        <w:tc>
          <w:tcPr>
            <w:tcW w:type="dxa" w:w="883"/>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V&amp;V</w:t>
            </w:r>
          </w:p>
        </w:tc>
        <w:tc>
          <w:tcPr>
            <w:tcW w:type="dxa" w:w="684"/>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Gate</w:t>
            </w:r>
          </w:p>
        </w:tc>
        <w:tc>
          <w:tcPr>
            <w:tcW w:type="dxa" w:w="969"/>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TBR</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AOT-HMI-001</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operator interface shall distinguish proposal, denied, approval-required, authorized, pending, unknown-effect, diverged, recovered, and completed states without implying unverified success.</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I,T,U</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G4</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AOT-HMI-002</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Approval displays shall present the action, resource, predicted consequence, uncertainty, risk band, constraints, expiry, and evidence sufficient for the assigned authority to decide.</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I,U</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G6</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TBR-004,TBR-021</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AOT-HMI-003</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interface shall make stale, missing, contradictory, degraded, or low-confidence evidence visible at the decision point.</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I,T,U</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G4</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AOT-HMI-004</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Operators shall be able to identify the accountable actor, delegation path, policy basis, safety basis, approval authority, and current effect state for a transaction.</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I,T,U</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G6</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AOT-HMI-005</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Recovery and quarantine controls shall require explicit authority, display scope and consequences, and prevent accidental expansion beyond the selected target.</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I,T,U</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G6</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AOT-HMI-006</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system shall measure approval burden, response time, false-block burden, alert burden, and recovery workload against approved usability targets.</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U,A</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G6</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TBR-021</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AOT-HMI-007</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Operator interfaces and the public evidence viewer shall satisfy the approved accessibility standard and shall support keyboard navigation, semantic structure, contrast, and text alternatives.</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I,T,U</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G6</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TBR-026</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AOT-HMI-008</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public demo shall expose only registered, privacy-reviewed evidence and shall provide no mutable action, administration, credential, or plant endpoint.</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TBR-026</w:t>
            </w:r>
          </w:p>
        </w:tc>
      </w:tr>
    </w:tbl>
    <w:p>
      <w:pPr>
        <w:pStyle w:val="Heading2"/>
        <w:keepNext/>
        <w:pageBreakBefore w:val="0"/>
      </w:pPr>
      <w:r>
        <w:t>5.16  Performance, scale, capacity, and cost (PERF)</w:t>
      </w:r>
    </w:p>
    <w:p>
      <w:pPr>
        <w:pStyle w:val="RequirementDomainIntro"/>
      </w:pPr>
      <w:r>
        <w:t>Allocation: Performance engineering; platform engineering; program management.  Source basis: WP6/WP7 intent; fleet scales of 10, 100, 1,000, and 10,000 logical agents as planned test points.</w:t>
      </w:r>
    </w:p>
    <w:tbl>
      <w:tblPr>
        <w:tblStyle w:val="TableGrid"/>
        <w:tblW w:type="dxa" w:w="9260"/>
        <w:jc w:val="center"/>
        <w:tblLayout w:type="fixed"/>
        <w:tblLook w:firstColumn="1" w:firstRow="1" w:lastColumn="0" w:lastRow="0" w:noHBand="0" w:noVBand="1" w:val="04A0"/>
        <w:tblInd w:w="100" w:type="dxa"/>
      </w:tblPr>
      <w:tblGrid>
        <w:gridCol w:w="1168"/>
        <w:gridCol w:w="598"/>
        <w:gridCol w:w="4958"/>
        <w:gridCol w:w="883"/>
        <w:gridCol w:w="684"/>
        <w:gridCol w:w="969"/>
      </w:tblGrid>
      <w:tr>
        <w:trPr>
          <w:tblHeader w:val="true"/>
          <w:cantSplit/>
        </w:trPr>
        <w:tc>
          <w:tcPr>
            <w:tcW w:type="dxa" w:w="116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ID</w:t>
            </w:r>
          </w:p>
        </w:tc>
        <w:tc>
          <w:tcPr>
            <w:tcW w:type="dxa" w:w="59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Class</w:t>
            </w:r>
          </w:p>
        </w:tc>
        <w:tc>
          <w:tcPr>
            <w:tcW w:type="dxa" w:w="495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Normative requirement</w:t>
            </w:r>
          </w:p>
        </w:tc>
        <w:tc>
          <w:tcPr>
            <w:tcW w:type="dxa" w:w="883"/>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V&amp;V</w:t>
            </w:r>
          </w:p>
        </w:tc>
        <w:tc>
          <w:tcPr>
            <w:tcW w:type="dxa" w:w="684"/>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Gate</w:t>
            </w:r>
          </w:p>
        </w:tc>
        <w:tc>
          <w:tcPr>
            <w:tcW w:type="dxa" w:w="969"/>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TBR</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AOT-PERF-001</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system shall meet approved end-to-end decision-latency, jitter, and action-deadline limits for each operation and deployment profile.</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T,A,X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G6</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TBR-010</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AOT-PERF-002</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system shall meet approved throughput and concurrency limits without bypassing safety controls, dropping required evidence, or producing duplicate effects.</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T,A,X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G6</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TBR-011</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AOT-PERF-003</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system shall enforce bounded queues, admission control, backpressure, and deterministic overload behavior.</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G6</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TBR-011</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AOT-PERF-004</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system shall meet approved availability, failover, and maximum degraded-duration targets while preserving fail-closed behavior.</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T,A,X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G6</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TBR-012</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AOT-PERF-005</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Identity revocation, policy distribution, trust-bundle update, and quarantine propagation shall complete within approved measurable bounds.</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T,A</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G6</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TBR-007,TBR-012</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AOT-PERF-006</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Evidence generation, anchoring, export, and retention shall meet approved volume, bandwidth, storage, and verification-time limits.</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T,A</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G6</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TBR-014,TBR-015,TBR-024</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AOT-PERF-007</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Fleet tests shall exercise 10, 100, 1,000, and 10,000 logical agents or formally approved replacement scales with representative action and conflict distributions.</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T,A</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G6</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TBR-023</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AOT-PERF-008</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Scale tests shall measure delegation-graph complexity, concurrent approvals, replay-state growth, pending effects, reconciliation backlog, policy distribution, and operator span.</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T,A</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G6</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TBR-011,TBR-021</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AOT-PERF-009</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Endurance testing shall demonstrate stable resource use, evidence integrity, recovery behavior, and latency over the approved continuous operating period.</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T,A</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G6</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TBR-031</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AOT-PERF-010</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program shall quantify infrastructure, licensing, integration, operations, evidence, incident-response, and governance cost against approved affordability targets.</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A,X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G6</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TBR-025</w:t>
            </w:r>
          </w:p>
        </w:tc>
      </w:tr>
    </w:tbl>
    <w:p>
      <w:pPr>
        <w:pStyle w:val="Heading2"/>
        <w:keepNext/>
        <w:pageBreakBefore w:val="0"/>
      </w:pPr>
      <w:r>
        <w:t>5.17  Platform security, privacy, and software supply chain (SEC)</w:t>
      </w:r>
    </w:p>
    <w:p>
      <w:pPr>
        <w:pStyle w:val="RequirementDomainIntro"/>
      </w:pPr>
      <w:r>
        <w:t>Allocation: Product security; platform engineering; privacy and supply-chain authorities.  Source basis: Security policy, NIST SSDF, NIST supply-chain guidance, CISA Secure by Design.</w:t>
      </w:r>
    </w:p>
    <w:tbl>
      <w:tblPr>
        <w:tblStyle w:val="TableGrid"/>
        <w:tblW w:type="dxa" w:w="9260"/>
        <w:jc w:val="center"/>
        <w:tblLayout w:type="fixed"/>
        <w:tblLook w:firstColumn="1" w:firstRow="1" w:lastColumn="0" w:lastRow="0" w:noHBand="0" w:noVBand="1" w:val="04A0"/>
        <w:tblInd w:w="100" w:type="dxa"/>
      </w:tblPr>
      <w:tblGrid>
        <w:gridCol w:w="1168"/>
        <w:gridCol w:w="598"/>
        <w:gridCol w:w="4958"/>
        <w:gridCol w:w="883"/>
        <w:gridCol w:w="684"/>
        <w:gridCol w:w="969"/>
      </w:tblGrid>
      <w:tr>
        <w:trPr>
          <w:tblHeader w:val="true"/>
          <w:cantSplit/>
        </w:trPr>
        <w:tc>
          <w:tcPr>
            <w:tcW w:type="dxa" w:w="116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ID</w:t>
            </w:r>
          </w:p>
        </w:tc>
        <w:tc>
          <w:tcPr>
            <w:tcW w:type="dxa" w:w="59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Class</w:t>
            </w:r>
          </w:p>
        </w:tc>
        <w:tc>
          <w:tcPr>
            <w:tcW w:type="dxa" w:w="495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Normative requirement</w:t>
            </w:r>
          </w:p>
        </w:tc>
        <w:tc>
          <w:tcPr>
            <w:tcW w:type="dxa" w:w="883"/>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V&amp;V</w:t>
            </w:r>
          </w:p>
        </w:tc>
        <w:tc>
          <w:tcPr>
            <w:tcW w:type="dxa" w:w="684"/>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Gate</w:t>
            </w:r>
          </w:p>
        </w:tc>
        <w:tc>
          <w:tcPr>
            <w:tcW w:type="dxa" w:w="969"/>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TBR</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AOT-SEC-001</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Every service shall run with least privilege, a non-root identity where feasible, a read-only root filesystem, minimal capabilities, controlled writable storage, and bounded resources.</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AOT-SEC-002</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Internal services shall expose no host port or management interface beyond the approved topology and operations plan.</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G4</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AOT-SEC-003</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Secrets shall be excluded from source, images, logs, public artifacts, retained evidence, crash data, and diagnostic output.</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AOT-SEC-004</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Secret delivery and rotation shall use an approved secret-management mechanism with least-privileged access and auditable use.</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TBR-006</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AOT-SEC-005</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build shall use immutable source, digest-pinned dependencies, pinned base images, reproducible build instructions, and protected build infrastructure.</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AOT-SEC-006</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Each release artifact shall include signed provenance, source revision, image digest, SBOM, dependency lock, schema digest, configuration digest, and verification instructions.</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AOT-SEC-007</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CI shall perform secret scanning, software composition analysis, license review, static analysis, infrastructure-as-code checks, container scanning, and artifact-signature verification.</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AOT-SEC-008</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Critical and high vulnerabilities shall be remediated or explicitly risk-accepted by the designated authority before release.</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G7</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TBR-028</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AOT-SEC-009</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system shall protect against request smuggling, parser differentials, injection, path traversal, unsafe archive paths, symlink substitution, resource exhaustion, and malicious diagnostic content at exposed interfaces.</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AOT-SEC-010</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Security logs shall be complete enough for investigation but shall minimize personal, operationally sensitive, and plant-sensitive information.</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G6</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TBR-014</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AOT-SEC-011</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Access to evidence, policy, trust, recovery, and management functions shall be role-based, least-privileged, periodically reviewed, and auditable.</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G6</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TBR-028</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AOT-SEC-012</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system shall define vulnerability intake, triage, disclosure, remediation, patch, emergency update, and end-of-support processes.</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G6</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AOT-SEC-013</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Update and rollback packages shall be authenticated, compatibility-checked, staged, observable, and incapable of rolling security state behind an accepted monotonic anchor.</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TBR-018</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AOT-SEC-014</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Decommissioning shall revoke identities and delegations, remove trust, sanitize sensitive storage, preserve required evidence, and verify removal from topology and monitoring.</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G7</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TBR-014</w:t>
            </w:r>
          </w:p>
        </w:tc>
      </w:tr>
    </w:tbl>
    <w:p>
      <w:pPr>
        <w:pStyle w:val="Heading2"/>
        <w:keepNext/>
        <w:pageBreakBefore w:val="0"/>
      </w:pPr>
      <w:r>
        <w:t>5.18  Operations, maintenance, monitoring, and supportability (OPS)</w:t>
      </w:r>
    </w:p>
    <w:p>
      <w:pPr>
        <w:pStyle w:val="RequirementDomainIntro"/>
      </w:pPr>
      <w:r>
        <w:t>Allocation: Operations authority; site reliability; identity, policy, and OT administrators.  Source basis: Operational product-maturity intent, current reproducibility guidance, NIST OT backup guidance.</w:t>
      </w:r>
    </w:p>
    <w:tbl>
      <w:tblPr>
        <w:tblStyle w:val="TableGrid"/>
        <w:tblW w:type="dxa" w:w="9260"/>
        <w:jc w:val="center"/>
        <w:tblLayout w:type="fixed"/>
        <w:tblLook w:firstColumn="1" w:firstRow="1" w:lastColumn="0" w:lastRow="0" w:noHBand="0" w:noVBand="1" w:val="04A0"/>
        <w:tblInd w:w="100" w:type="dxa"/>
      </w:tblPr>
      <w:tblGrid>
        <w:gridCol w:w="1168"/>
        <w:gridCol w:w="598"/>
        <w:gridCol w:w="4958"/>
        <w:gridCol w:w="883"/>
        <w:gridCol w:w="684"/>
        <w:gridCol w:w="969"/>
      </w:tblGrid>
      <w:tr>
        <w:trPr>
          <w:tblHeader w:val="true"/>
          <w:cantSplit/>
        </w:trPr>
        <w:tc>
          <w:tcPr>
            <w:tcW w:type="dxa" w:w="116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ID</w:t>
            </w:r>
          </w:p>
        </w:tc>
        <w:tc>
          <w:tcPr>
            <w:tcW w:type="dxa" w:w="59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Class</w:t>
            </w:r>
          </w:p>
        </w:tc>
        <w:tc>
          <w:tcPr>
            <w:tcW w:type="dxa" w:w="495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Normative requirement</w:t>
            </w:r>
          </w:p>
        </w:tc>
        <w:tc>
          <w:tcPr>
            <w:tcW w:type="dxa" w:w="883"/>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V&amp;V</w:t>
            </w:r>
          </w:p>
        </w:tc>
        <w:tc>
          <w:tcPr>
            <w:tcW w:type="dxa" w:w="684"/>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Gate</w:t>
            </w:r>
          </w:p>
        </w:tc>
        <w:tc>
          <w:tcPr>
            <w:tcW w:type="dxa" w:w="969"/>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TBR</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AOT-OPS-001</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system shall publish distinct health, readiness, safety-readiness, and effect-recovery status for every critical component.</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G4</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AOT-OPS-002</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Readiness shall include current trust, credential validity, revocation state, policy availability, model availability, replay integrity, journal integrity, plant alignment, peer identity, and evidence capacity.</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AOT-OPS-003</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Operational telemetry shall expose stable metrics for authorization results, reason codes, latency, replays, stale observations, identity lifecycle, policy state, pending effects, recovery state, and evidence anchoring.</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G6</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AOT-OPS-004</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Alerts shall be prioritized, routed, acknowledged, tested, and linked to an approved operator response and escalation procedure.</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I,T,U</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G6</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TBR-021</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AOT-OPS-005</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Backup, restore, disaster recovery, key rotation, authority rotation, journal migration, and version rollback procedures shall be documented and tested.</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G6</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TBR-013</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AOT-OPS-006</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Maintenance actions shall preserve evidence continuity, transaction identity, trust bindings, and unresolved-effect state.</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AOT-OPS-007</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Configuration drift from the approved topology, policy, trust, schema, model, and runtime profile shall be detected and reported.</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AOT-OPS-008</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system shall support installation, upgrade, rollback, recovery, and removal from a clean approved host using signed immutable artifacts.</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G6</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AOT-OPS-009</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Operational runbooks shall define normal, degraded, quarantine, unknown-effect, compromise, recovery, and safe-shutdown procedures with accountable roles.</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I,U,X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G6</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TBR-028</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AOT-OPS-010</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Supportability evidence shall include component ownership, dependency lifecycle, compatibility matrix, capacity limits, known limitations, and end-of-support dates.</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G7</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bl>
    <w:p>
      <w:pPr>
        <w:pStyle w:val="Heading2"/>
        <w:keepNext/>
        <w:pageBreakBefore w:val="0"/>
      </w:pPr>
      <w:r>
        <w:t>5.19  Verification, validation, and qualification (VV)</w:t>
      </w:r>
    </w:p>
    <w:p>
      <w:pPr>
        <w:pStyle w:val="RequirementDomainIntro"/>
      </w:pPr>
      <w:r>
        <w:t>Allocation: Independent test authority; safety and security assessors; CI owners.  Source basis: Repository CI/acceptance policy, formal conformance map, WP8 independent-validation intent.</w:t>
      </w:r>
    </w:p>
    <w:tbl>
      <w:tblPr>
        <w:tblStyle w:val="TableGrid"/>
        <w:tblW w:type="dxa" w:w="9260"/>
        <w:jc w:val="center"/>
        <w:tblLayout w:type="fixed"/>
        <w:tblLook w:firstColumn="1" w:firstRow="1" w:lastColumn="0" w:lastRow="0" w:noHBand="0" w:noVBand="1" w:val="04A0"/>
        <w:tblInd w:w="100" w:type="dxa"/>
      </w:tblPr>
      <w:tblGrid>
        <w:gridCol w:w="1168"/>
        <w:gridCol w:w="598"/>
        <w:gridCol w:w="4958"/>
        <w:gridCol w:w="883"/>
        <w:gridCol w:w="684"/>
        <w:gridCol w:w="969"/>
      </w:tblGrid>
      <w:tr>
        <w:trPr>
          <w:tblHeader w:val="true"/>
          <w:cantSplit/>
        </w:trPr>
        <w:tc>
          <w:tcPr>
            <w:tcW w:type="dxa" w:w="116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ID</w:t>
            </w:r>
          </w:p>
        </w:tc>
        <w:tc>
          <w:tcPr>
            <w:tcW w:type="dxa" w:w="59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Class</w:t>
            </w:r>
          </w:p>
        </w:tc>
        <w:tc>
          <w:tcPr>
            <w:tcW w:type="dxa" w:w="495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Normative requirement</w:t>
            </w:r>
          </w:p>
        </w:tc>
        <w:tc>
          <w:tcPr>
            <w:tcW w:type="dxa" w:w="883"/>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V&amp;V</w:t>
            </w:r>
          </w:p>
        </w:tc>
        <w:tc>
          <w:tcPr>
            <w:tcW w:type="dxa" w:w="684"/>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Gate</w:t>
            </w:r>
          </w:p>
        </w:tc>
        <w:tc>
          <w:tcPr>
            <w:tcW w:type="dxa" w:w="969"/>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TBR</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AOT-VV-001</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program shall maintain bidirectional traceability from every requirement to design allocation, verification method, test or analysis identifier, result, evidence artifact, owner, and disposition.</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G0</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AOT-VV-002</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Every safety, security, and trust-boundary requirement shall have at least one positive test and one negative, misuse, fault, or adversarial test.</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AOT-VV-003</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Acceptance shall execute from an immutable clean source revision whose commit, tree, dependency lock, schemas, topology, image identifiers, and evidence manifest agree exactly.</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I,T,X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AOT-VV-004</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Required CI shall pass from a fresh checkout on every supported runtime and shall include install, lint, strict typing, schema drift, generated-artifact drift, unit, integration, property, formal, packaging, and security checks.</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AOT-VV-005</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verified baseline shall achieve at least 90 percent branch-aware coverage across every in-scope production package, including the independently implemented evaluator or oracle package, and for authorization, replay, identity, coordination, recovery, journaling, evidence verification, and dispatch code unless a stricter approved threshold applies.</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T,A,X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G3</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AOT-VV-006</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Critical authorization and effect-control modules shall meet an approved mutation-testing threshold or an approved equivalent test-effectiveness measure.</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T,A,X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TBR-032</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AOT-VV-007</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Formal assurance shall cover the implemented authorization, approval, policy-version, replay, conflict, quarantine, revocation, coordination, recovery, and liveness mechanisms or record explicit risk acceptance for each excluded behavior.</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F,I,X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G7</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AOT-VV-008</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Runtime conformance tests shall map every modeled transition and invariant to observable implementation behavior.</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T,F,X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G7</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AOT-VV-009</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Fault campaigns shall cover service loss, delay, duplicate and corrupt messages, response loss, restart, power interruption, storage corruption and fullness, clock skew, key rotation and revocation, topology change, observation tampering, and conflicting actions.</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G5</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AOT-VV-010</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Separate retained campaigns shall establish workload-identity transport, durable effect recovery, live multi-host isolation, representative physical integration, operate-through-compromise behavior, fleet scale, and recovery before those capabilities are claimed.</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G7</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AOT-VV-011</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Primary and reproduction campaigns shall use distinct run identifiers and signing keys, execute from clean exact-source environments, apply preregistered criteria, and yield the same deterministic semantic projection within approved tolerances.</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T,A,X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G7</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AOT-VV-012</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An assessor independent of implementation custody shall reproduce the designated campaigns and validate evidence provenance, claim boundaries, and unresolved findings.</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G7</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TBR-029</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AOT-VV-013</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Release qualification shall include successful clean-host import and startup of the exact built artifact without local rebuilding.</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G7</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bl>
    <w:p>
      <w:pPr>
        <w:pStyle w:val="Heading2"/>
        <w:keepNext/>
        <w:pageBreakBefore w:val="0"/>
      </w:pPr>
      <w:r>
        <w:t>5.20  Governance, configuration control, release, and authorization (GOV)</w:t>
      </w:r>
    </w:p>
    <w:p>
      <w:pPr>
        <w:pStyle w:val="RequirementDomainIntro"/>
      </w:pPr>
      <w:r>
        <w:t>Allocation: Program authority; configuration control board; safety, security, and asset-owner authorities.  Source basis: Evidence/claim discipline, change control, AI RMF governance, production authorization boundary.</w:t>
      </w:r>
    </w:p>
    <w:tbl>
      <w:tblPr>
        <w:tblStyle w:val="TableGrid"/>
        <w:tblW w:type="dxa" w:w="9260"/>
        <w:jc w:val="center"/>
        <w:tblLayout w:type="fixed"/>
        <w:tblLook w:firstColumn="1" w:firstRow="1" w:lastColumn="0" w:lastRow="0" w:noHBand="0" w:noVBand="1" w:val="04A0"/>
        <w:tblInd w:w="100" w:type="dxa"/>
      </w:tblPr>
      <w:tblGrid>
        <w:gridCol w:w="1168"/>
        <w:gridCol w:w="598"/>
        <w:gridCol w:w="4958"/>
        <w:gridCol w:w="883"/>
        <w:gridCol w:w="684"/>
        <w:gridCol w:w="969"/>
      </w:tblGrid>
      <w:tr>
        <w:trPr>
          <w:tblHeader w:val="true"/>
          <w:cantSplit/>
        </w:trPr>
        <w:tc>
          <w:tcPr>
            <w:tcW w:type="dxa" w:w="116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ID</w:t>
            </w:r>
          </w:p>
        </w:tc>
        <w:tc>
          <w:tcPr>
            <w:tcW w:type="dxa" w:w="59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Class</w:t>
            </w:r>
          </w:p>
        </w:tc>
        <w:tc>
          <w:tcPr>
            <w:tcW w:type="dxa" w:w="495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Normative requirement</w:t>
            </w:r>
          </w:p>
        </w:tc>
        <w:tc>
          <w:tcPr>
            <w:tcW w:type="dxa" w:w="883"/>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V&amp;V</w:t>
            </w:r>
          </w:p>
        </w:tc>
        <w:tc>
          <w:tcPr>
            <w:tcW w:type="dxa" w:w="684"/>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Gate</w:t>
            </w:r>
          </w:p>
        </w:tc>
        <w:tc>
          <w:tcPr>
            <w:tcW w:type="dxa" w:w="969"/>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TBR</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AOT-GOV-001</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program shall maintain one approved system baseline comprising requirements, architecture, interfaces, topology, threat model, hazard analysis, verification plan, configuration, and evidence index.</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G0</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AOT-GOV-002</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Every baseline change shall identify rationale, affected requirements, interfaces, hazards, threats, tests, evidence, deployment artifacts, rollback needs, and approving authorities.</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G0</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AOT-GOV-003</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Unresolved requirements, thresholds, and design decisions shall remain in the controlled TBR register with owner, closure evidence, due gate, and impact.</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G0</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AOT-GOV-004</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 TBR shall not authorize an implementation choice or acceptance claim unless an approved interim constraint explicitly defines the permitted bound.</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G0</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AOT-GOV-005</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Waivers and deviations shall identify scope, duration, affected requirements, compensating controls, residual risk, evidence, and accountable approval.</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G7</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TBR-028</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AOT-GOV-006</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program shall classify findings by severity and shall define closure and risk-acceptance authority for each severity.</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G0</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TBR-028</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AOT-GOV-007</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No release shall be labeled production-ready while a critical or high safety, security, evidence-integrity, or effect-certainty finding remains unresolved without explicit designated-authority acceptance.</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G7</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AOT-GOV-008</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Production authorization shall require named asset-owner, safety, cybersecurity, operations, and program authorities to accept the deployment-specific evidence and residual risk.</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G7</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TBR-029</w:t>
            </w:r>
          </w:p>
        </w:tc>
      </w:tr>
      <w:tr>
        <w:trPr>
          <w:cantSplit/>
        </w:trPr>
        <w:tc>
          <w:tcPr>
            <w:tcW w:type="dxa" w:w="1168"/>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AOT-GOV-009</w:t>
            </w:r>
          </w:p>
        </w:tc>
        <w:tc>
          <w:tcPr>
            <w:tcW w:type="dxa" w:w="598"/>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Deployment and operational-effectiveness claims shall require direct evidence from the identified deployment and observation period.</w:t>
            </w:r>
          </w:p>
        </w:tc>
        <w:tc>
          <w:tcPr>
            <w:tcW w:type="dxa" w:w="883"/>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I,A,X</w:t>
            </w:r>
          </w:p>
        </w:tc>
        <w:tc>
          <w:tcPr>
            <w:tcW w:type="dxa" w:w="684"/>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G7</w:t>
            </w:r>
          </w:p>
        </w:tc>
        <w:tc>
          <w:tcPr>
            <w:tcW w:type="dxa" w:w="969"/>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TBR-029</w:t>
            </w:r>
          </w:p>
        </w:tc>
      </w:tr>
      <w:tr>
        <w:trPr>
          <w:cantSplit/>
        </w:trPr>
        <w:tc>
          <w:tcPr>
            <w:tcW w:type="dxa" w:w="1168"/>
            <w:shd w:fill="F2F2F2"/>
            <w:tcMar>
              <w:top w:w="80" w:type="dxa"/>
              <w:start w:w="100" w:type="dxa"/>
              <w:bottom w:w="80" w:type="dxa"/>
              <w:end w:w="100" w:type="dxa"/>
            </w:tcMar>
            <w:vAlign w:val="center"/>
          </w:tcPr>
          <w:p>
            <w:pPr>
              <w:spacing w:after="20" w:line="240" w:lineRule="auto"/>
              <w:jc w:val="left"/>
            </w:pPr>
            <w:r>
              <w:rPr>
                <w:rFonts w:ascii="Calibri" w:hAnsi="Calibri"/>
                <w:b/>
                <w:color w:val="17365D"/>
                <w:sz w:val="15"/>
              </w:rPr>
            </w:r>
            <w:r>
              <w:rPr>
                <w:rFonts w:ascii="Calibri" w:hAnsi="Calibri"/>
                <w:b w:val="0"/>
                <w:sz w:val="15"/>
              </w:rPr>
              <w:t>AOT-GOV-010</w:t>
            </w:r>
          </w:p>
        </w:tc>
        <w:tc>
          <w:tcPr>
            <w:tcW w:type="dxa" w:w="598"/>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M</w:t>
            </w:r>
          </w:p>
        </w:tc>
        <w:tc>
          <w:tcPr>
            <w:tcW w:type="dxa" w:w="495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The program shall periodically reassess requirements, hazards, threats, models, policies, dependencies, evidence retention, and operational performance throughout the supported lifecycle.</w:t>
            </w:r>
          </w:p>
        </w:tc>
        <w:tc>
          <w:tcPr>
            <w:tcW w:type="dxa" w:w="883"/>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I,A,X</w:t>
            </w:r>
          </w:p>
        </w:tc>
        <w:tc>
          <w:tcPr>
            <w:tcW w:type="dxa" w:w="684"/>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G7</w:t>
            </w:r>
          </w:p>
        </w:tc>
        <w:tc>
          <w:tcPr>
            <w:tcW w:type="dxa" w:w="969"/>
            <w:shd w:fill="F2F2F2"/>
            <w:tcMar>
              <w:top w:w="80" w:type="dxa"/>
              <w:start w:w="100" w:type="dxa"/>
              <w:bottom w:w="80" w:type="dxa"/>
              <w:end w:w="100" w:type="dxa"/>
            </w:tcMar>
            <w:vAlign w:val="center"/>
          </w:tcPr>
          <w:p>
            <w:pPr>
              <w:spacing w:after="20" w:line="240" w:lineRule="auto"/>
              <w:jc w:val="center"/>
            </w:pPr>
            <w:r>
              <w:rPr>
                <w:rFonts w:ascii="Calibri" w:hAnsi="Calibri"/>
                <w:sz w:val="15"/>
              </w:rPr>
            </w:r>
            <w:r>
              <w:rPr>
                <w:rFonts w:ascii="Calibri" w:hAnsi="Calibri"/>
                <w:b w:val="0"/>
                <w:sz w:val="15"/>
              </w:rPr>
              <w:t>TBR-033</w:t>
            </w:r>
          </w:p>
        </w:tc>
      </w:tr>
    </w:tbl>
    <w:p>
      <w:pPr>
        <w:pStyle w:val="Heading1"/>
        <w:keepNext/>
        <w:pageBreakBefore/>
      </w:pPr>
      <w:r>
        <w:t>6  Verification and maturity gates</w:t>
      </w:r>
    </w:p>
    <w:p>
      <w:r>
        <w:t>The gates are cumulative. A later gate cannot be accepted while an applicable earlier requirement, material TBR, or critical finding remains open. Passing a gate establishes only the stated maturity level and does not imply later validation, deployment, or operational effectiveness.</w:t>
      </w:r>
    </w:p>
    <w:tbl>
      <w:tblPr>
        <w:tblStyle w:val="TableGrid"/>
        <w:tblW w:type="dxa" w:w="9260"/>
        <w:jc w:val="center"/>
        <w:tblLayout w:type="fixed"/>
        <w:tblLook w:firstColumn="1" w:firstRow="1" w:lastColumn="0" w:lastRow="0" w:noHBand="0" w:noVBand="1" w:val="04A0"/>
        <w:tblInd w:w="100" w:type="dxa"/>
      </w:tblPr>
      <w:tblGrid>
        <w:gridCol w:w="784"/>
        <w:gridCol w:w="2564"/>
        <w:gridCol w:w="5912"/>
      </w:tblGrid>
      <w:tr>
        <w:trPr>
          <w:tblHeader w:val="true"/>
          <w:cantSplit/>
        </w:trPr>
        <w:tc>
          <w:tcPr>
            <w:tcW w:type="dxa" w:w="784"/>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6"/>
              </w:rPr>
            </w:r>
            <w:r>
              <w:rPr>
                <w:rFonts w:ascii="Calibri" w:hAnsi="Calibri"/>
                <w:b/>
                <w:color w:val="FFFFFF"/>
                <w:sz w:val="16"/>
              </w:rPr>
              <w:t>Gate</w:t>
            </w:r>
          </w:p>
        </w:tc>
        <w:tc>
          <w:tcPr>
            <w:tcW w:type="dxa" w:w="2564"/>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6"/>
              </w:rPr>
            </w:r>
            <w:r>
              <w:rPr>
                <w:rFonts w:ascii="Calibri" w:hAnsi="Calibri"/>
                <w:b/>
                <w:color w:val="FFFFFF"/>
                <w:sz w:val="16"/>
              </w:rPr>
              <w:t>Name</w:t>
            </w:r>
          </w:p>
        </w:tc>
        <w:tc>
          <w:tcPr>
            <w:tcW w:type="dxa" w:w="5912"/>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6"/>
              </w:rPr>
            </w:r>
            <w:r>
              <w:rPr>
                <w:rFonts w:ascii="Calibri" w:hAnsi="Calibri"/>
                <w:b/>
                <w:color w:val="FFFFFF"/>
                <w:sz w:val="16"/>
              </w:rPr>
              <w:t>Required exit evidence</w:t>
            </w:r>
          </w:p>
        </w:tc>
      </w:tr>
      <w:tr>
        <w:trPr>
          <w:cantSplit/>
        </w:trPr>
        <w:tc>
          <w:tcPr>
            <w:tcW w:type="dxa" w:w="784"/>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G0</w:t>
            </w:r>
          </w:p>
        </w:tc>
        <w:tc>
          <w:tcPr>
            <w:tcW w:type="dxa" w:w="2564"/>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Controlled baseline</w:t>
            </w:r>
          </w:p>
        </w:tc>
        <w:tc>
          <w:tcPr>
            <w:tcW w:type="dxa" w:w="591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Requirements, system boundary, RACI, risk/claim model, source register, TBR ownership, and configuration-control process are approved.</w:t>
            </w:r>
          </w:p>
        </w:tc>
      </w:tr>
      <w:tr>
        <w:trPr>
          <w:cantSplit/>
        </w:trPr>
        <w:tc>
          <w:tcPr>
            <w:tcW w:type="dxa" w:w="784"/>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G1</w:t>
            </w:r>
          </w:p>
        </w:tc>
        <w:tc>
          <w:tcPr>
            <w:tcW w:type="dxa" w:w="2564"/>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Contracts and authorization kernel</w:t>
            </w:r>
          </w:p>
        </w:tc>
        <w:tc>
          <w:tcPr>
            <w:tcW w:type="dxa" w:w="5912"/>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Closed schemas, identity/delegation semantics, policy/approval model, safety invariants, and formal/runtime conformance plan are accepted.</w:t>
            </w:r>
          </w:p>
        </w:tc>
      </w:tr>
      <w:tr>
        <w:trPr>
          <w:cantSplit/>
        </w:trPr>
        <w:tc>
          <w:tcPr>
            <w:tcW w:type="dxa" w:w="784"/>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G2</w:t>
            </w:r>
          </w:p>
        </w:tc>
        <w:tc>
          <w:tcPr>
            <w:tcW w:type="dxa" w:w="2564"/>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Bounded simulation and evidence</w:t>
            </w:r>
          </w:p>
        </w:tc>
        <w:tc>
          <w:tcPr>
            <w:tcW w:type="dxa" w:w="591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Deterministic simulation, independent-oracle strategy, negative cases, evidence packaging, and offline verification pass from clean immutable source.</w:t>
            </w:r>
          </w:p>
        </w:tc>
      </w:tr>
      <w:tr>
        <w:trPr>
          <w:cantSplit/>
        </w:trPr>
        <w:tc>
          <w:tcPr>
            <w:tcW w:type="dxa" w:w="784"/>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G3</w:t>
            </w:r>
          </w:p>
        </w:tc>
        <w:tc>
          <w:tcPr>
            <w:tcW w:type="dxa" w:w="2564"/>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Integrated capability transaction</w:t>
            </w:r>
          </w:p>
        </w:tc>
        <w:tc>
          <w:tcPr>
            <w:tcW w:type="dxa" w:w="5912"/>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Workload-bound authorization, signed observation, policy, consequence evaluation, one-time permit, replay control, acknowledgment/readback, and durable evidence work end to end.</w:t>
            </w:r>
          </w:p>
        </w:tc>
      </w:tr>
      <w:tr>
        <w:trPr>
          <w:cantSplit/>
        </w:trPr>
        <w:tc>
          <w:tcPr>
            <w:tcW w:type="dxa" w:w="784"/>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G4</w:t>
            </w:r>
          </w:p>
        </w:tc>
        <w:tc>
          <w:tcPr>
            <w:tcW w:type="dxa" w:w="2564"/>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Representative multi-host and OT integration</w:t>
            </w:r>
          </w:p>
        </w:tc>
        <w:tc>
          <w:tcPr>
            <w:tcW w:type="dxa" w:w="591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Authoritative topology is live; isolation and mTLS are observed; representative protocol/PLC or HIL integration and clean-host artifact consumption pass.</w:t>
            </w:r>
          </w:p>
        </w:tc>
      </w:tr>
      <w:tr>
        <w:trPr>
          <w:cantSplit/>
        </w:trPr>
        <w:tc>
          <w:tcPr>
            <w:tcW w:type="dxa" w:w="784"/>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G5</w:t>
            </w:r>
          </w:p>
        </w:tc>
        <w:tc>
          <w:tcPr>
            <w:tcW w:type="dxa" w:w="2564"/>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Compromise, resilience, and recovery</w:t>
            </w:r>
          </w:p>
        </w:tc>
        <w:tc>
          <w:tcPr>
            <w:tcW w:type="dxa" w:w="5912"/>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Fault, adversarial, rollback, power-loss, partition, quarantine, degraded-mode, backup/restore, and effect-recovery campaigns satisfy the approved failure model.</w:t>
            </w:r>
          </w:p>
        </w:tc>
      </w:tr>
      <w:tr>
        <w:trPr>
          <w:cantSplit/>
        </w:trPr>
        <w:tc>
          <w:tcPr>
            <w:tcW w:type="dxa" w:w="784"/>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G6</w:t>
            </w:r>
          </w:p>
        </w:tc>
        <w:tc>
          <w:tcPr>
            <w:tcW w:type="dxa" w:w="2564"/>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Fleet, operations, usability, and economics</w:t>
            </w:r>
          </w:p>
        </w:tc>
        <w:tc>
          <w:tcPr>
            <w:tcW w:type="dxa" w:w="591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Scale, latency, endurance, availability, observability, operator workload, evidence capacity, supportability, and affordability targets are met.</w:t>
            </w:r>
          </w:p>
        </w:tc>
      </w:tr>
      <w:tr>
        <w:trPr>
          <w:cantSplit/>
        </w:trPr>
        <w:tc>
          <w:tcPr>
            <w:tcW w:type="dxa" w:w="784"/>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G7</w:t>
            </w:r>
          </w:p>
        </w:tc>
        <w:tc>
          <w:tcPr>
            <w:tcW w:type="dxa" w:w="2564"/>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Independent qualification and authorization</w:t>
            </w:r>
          </w:p>
        </w:tc>
        <w:tc>
          <w:tcPr>
            <w:tcW w:type="dxa" w:w="5912"/>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Independent replication and security/safety assessment are complete; critical findings are closed; named authorities accept deployment-specific evidence and residual risk.</w:t>
            </w:r>
          </w:p>
        </w:tc>
      </w:tr>
    </w:tbl>
    <w:p>
      <w:pPr>
        <w:pStyle w:val="Heading2"/>
        <w:keepNext/>
        <w:pageBreakBefore w:val="0"/>
      </w:pPr>
      <w:r>
        <w:t>6.1  Cross-cutting acceptance rules</w:t>
      </w:r>
    </w:p>
    <w:p>
      <w:pPr>
        <w:pStyle w:val="ListBullet"/>
      </w:pPr>
      <w:r>
        <w:t>Every result shall bind the exact clean source, dependency, configuration, schema, topology, image, test protocol, and environment used.</w:t>
      </w:r>
    </w:p>
    <w:p>
      <w:pPr>
        <w:pStyle w:val="ListBullet"/>
      </w:pPr>
      <w:r>
        <w:t>Every safety or security control shall have a negative, attack, fault, or weakened case capable of demonstrating that the test would fail when the control is absent or defective.</w:t>
      </w:r>
    </w:p>
    <w:p>
      <w:pPr>
        <w:pStyle w:val="ListBullet"/>
      </w:pPr>
      <w:r>
        <w:t>A timeout or communications failure shall be classified by evidence about effect, not by an assumption that the target did or did not act.</w:t>
      </w:r>
    </w:p>
    <w:p>
      <w:pPr>
        <w:pStyle w:val="ListBullet"/>
      </w:pPr>
      <w:r>
        <w:t>Local project acceptance and independent qualification shall be reported separately.</w:t>
      </w:r>
    </w:p>
    <w:p>
      <w:pPr>
        <w:pStyle w:val="ListBullet"/>
      </w:pPr>
      <w:r>
        <w:t>All failed gates, exceptions, excluded cases, and changed acceptance criteria shall remain visible in the retained record.</w:t>
      </w:r>
    </w:p>
    <w:p>
      <w:pPr>
        <w:pStyle w:val="Heading2"/>
        <w:keepNext/>
        <w:pageBreakBefore w:val="0"/>
      </w:pPr>
      <w:r>
        <w:t>6.2  Minimum qualification campaign set</w:t>
      </w:r>
    </w:p>
    <w:tbl>
      <w:tblPr>
        <w:tblStyle w:val="TableGrid"/>
        <w:tblW w:type="dxa" w:w="9260"/>
        <w:jc w:val="center"/>
        <w:tblLayout w:type="fixed"/>
        <w:tblLook w:firstColumn="1" w:firstRow="1" w:lastColumn="0" w:lastRow="0" w:noHBand="0" w:noVBand="1" w:val="04A0"/>
        <w:tblInd w:w="100" w:type="dxa"/>
      </w:tblPr>
      <w:tblGrid>
        <w:gridCol w:w="2351"/>
        <w:gridCol w:w="6055"/>
        <w:gridCol w:w="854"/>
      </w:tblGrid>
      <w:tr>
        <w:trPr>
          <w:tblHeader w:val="true"/>
          <w:cantSplit/>
        </w:trPr>
        <w:tc>
          <w:tcPr>
            <w:tcW w:type="dxa" w:w="2351"/>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6"/>
              </w:rPr>
            </w:r>
            <w:r>
              <w:rPr>
                <w:rFonts w:ascii="Calibri" w:hAnsi="Calibri"/>
                <w:b/>
                <w:color w:val="FFFFFF"/>
                <w:sz w:val="16"/>
              </w:rPr>
              <w:t>Campaign</w:t>
            </w:r>
          </w:p>
        </w:tc>
        <w:tc>
          <w:tcPr>
            <w:tcW w:type="dxa" w:w="6055"/>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6"/>
              </w:rPr>
            </w:r>
            <w:r>
              <w:rPr>
                <w:rFonts w:ascii="Calibri" w:hAnsi="Calibri"/>
                <w:b/>
                <w:color w:val="FFFFFF"/>
                <w:sz w:val="16"/>
              </w:rPr>
              <w:t>Minimum content</w:t>
            </w:r>
          </w:p>
        </w:tc>
        <w:tc>
          <w:tcPr>
            <w:tcW w:type="dxa" w:w="854"/>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6"/>
              </w:rPr>
            </w:r>
            <w:r>
              <w:rPr>
                <w:rFonts w:ascii="Calibri" w:hAnsi="Calibri"/>
                <w:b/>
                <w:color w:val="FFFFFF"/>
                <w:sz w:val="16"/>
              </w:rPr>
              <w:t>Gate</w:t>
            </w:r>
          </w:p>
        </w:tc>
      </w:tr>
      <w:tr>
        <w:trPr>
          <w:cantSplit/>
        </w:trPr>
        <w:tc>
          <w:tcPr>
            <w:tcW w:type="dxa" w:w="2351"/>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Authorization conformance</w:t>
            </w:r>
          </w:p>
        </w:tc>
        <w:tc>
          <w:tcPr>
            <w:tcW w:type="dxa" w:w="6055"/>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Identity, delegation, policy, approval, safety, replay, and permit invariants plus weakened counterexamples.</w:t>
            </w:r>
          </w:p>
        </w:tc>
        <w:tc>
          <w:tcPr>
            <w:tcW w:type="dxa" w:w="854"/>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G1–G3</w:t>
            </w:r>
          </w:p>
        </w:tc>
      </w:tr>
      <w:tr>
        <w:trPr>
          <w:cantSplit/>
        </w:trPr>
        <w:tc>
          <w:tcPr>
            <w:tcW w:type="dxa" w:w="2351"/>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Evidence and reproducibility</w:t>
            </w:r>
          </w:p>
        </w:tc>
        <w:tc>
          <w:tcPr>
            <w:tcW w:type="dxa" w:w="6055"/>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Clean-source packaging, closed inventory, independent root, offline validation, primary/reproduction separation.</w:t>
            </w:r>
          </w:p>
        </w:tc>
        <w:tc>
          <w:tcPr>
            <w:tcW w:type="dxa" w:w="854"/>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G2–G7</w:t>
            </w:r>
          </w:p>
        </w:tc>
      </w:tr>
      <w:tr>
        <w:trPr>
          <w:cantSplit/>
        </w:trPr>
        <w:tc>
          <w:tcPr>
            <w:tcW w:type="dxa" w:w="2351"/>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End-to-end capability</w:t>
            </w:r>
          </w:p>
        </w:tc>
        <w:tc>
          <w:tcPr>
            <w:tcW w:type="dxa" w:w="6055"/>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Signed pre-observation through authenticated acknowledgment, post-observation, evidence, and denial cases.</w:t>
            </w:r>
          </w:p>
        </w:tc>
        <w:tc>
          <w:tcPr>
            <w:tcW w:type="dxa" w:w="854"/>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G3</w:t>
            </w:r>
          </w:p>
        </w:tc>
      </w:tr>
      <w:tr>
        <w:trPr>
          <w:cantSplit/>
        </w:trPr>
        <w:tc>
          <w:tcPr>
            <w:tcW w:type="dxa" w:w="2351"/>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Workload identity and transport</w:t>
            </w:r>
          </w:p>
        </w:tc>
        <w:tc>
          <w:tcPr>
            <w:tcW w:type="dxa" w:w="6055"/>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End-to-end mTLS/workload identity, rotation, expiry, revocation, wrong-role/node, cloning, and rollback.</w:t>
            </w:r>
          </w:p>
        </w:tc>
        <w:tc>
          <w:tcPr>
            <w:tcW w:type="dxa" w:w="854"/>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G4–G5</w:t>
            </w:r>
          </w:p>
        </w:tc>
      </w:tr>
      <w:tr>
        <w:trPr>
          <w:cantSplit/>
        </w:trPr>
        <w:tc>
          <w:tcPr>
            <w:tcW w:type="dxa" w:w="2351"/>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Multi-host network isolation</w:t>
            </w:r>
          </w:p>
        </w:tc>
        <w:tc>
          <w:tcPr>
            <w:tcW w:type="dxa" w:w="6055"/>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Observed service placement, route/firewall matrix, negative reachability, bootstrap/NAT closure, peer substitution.</w:t>
            </w:r>
          </w:p>
        </w:tc>
        <w:tc>
          <w:tcPr>
            <w:tcW w:type="dxa" w:w="854"/>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G4</w:t>
            </w:r>
          </w:p>
        </w:tc>
      </w:tr>
      <w:tr>
        <w:trPr>
          <w:cantSplit/>
        </w:trPr>
        <w:tc>
          <w:tcPr>
            <w:tcW w:type="dxa" w:w="2351"/>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Effect recovery</w:t>
            </w:r>
          </w:p>
        </w:tc>
        <w:tc>
          <w:tcPr>
            <w:tcW w:type="dxa" w:w="6055"/>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Crash points, response loss, query-only reconciliation, persistent unknown state, conflict blocking, corruption, rollback, power loss.</w:t>
            </w:r>
          </w:p>
        </w:tc>
        <w:tc>
          <w:tcPr>
            <w:tcW w:type="dxa" w:w="854"/>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G5</w:t>
            </w:r>
          </w:p>
        </w:tc>
      </w:tr>
      <w:tr>
        <w:trPr>
          <w:cantSplit/>
        </w:trPr>
        <w:tc>
          <w:tcPr>
            <w:tcW w:type="dxa" w:w="2351"/>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Physical and HIL</w:t>
            </w:r>
          </w:p>
        </w:tc>
        <w:tc>
          <w:tcPr>
            <w:tcW w:type="dxa" w:w="6055"/>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Representative PLC/protocol timing, independent measurement, safety envelopes, sensor/network/actuator faults.</w:t>
            </w:r>
          </w:p>
        </w:tc>
        <w:tc>
          <w:tcPr>
            <w:tcW w:type="dxa" w:w="854"/>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G4–G7</w:t>
            </w:r>
          </w:p>
        </w:tc>
      </w:tr>
      <w:tr>
        <w:trPr>
          <w:cantSplit/>
        </w:trPr>
        <w:tc>
          <w:tcPr>
            <w:tcW w:type="dxa" w:w="2351"/>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Operate through compromise</w:t>
            </w:r>
          </w:p>
        </w:tc>
        <w:tc>
          <w:tcPr>
            <w:tcW w:type="dxa" w:w="6055"/>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Compromise of each role, containment, quarantine, degraded mode, recovery authority, and evidence preservation.</w:t>
            </w:r>
          </w:p>
        </w:tc>
        <w:tc>
          <w:tcPr>
            <w:tcW w:type="dxa" w:w="854"/>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G5</w:t>
            </w:r>
          </w:p>
        </w:tc>
      </w:tr>
      <w:tr>
        <w:trPr>
          <w:cantSplit/>
        </w:trPr>
        <w:tc>
          <w:tcPr>
            <w:tcW w:type="dxa" w:w="2351"/>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Performance and fleet</w:t>
            </w:r>
          </w:p>
        </w:tc>
        <w:tc>
          <w:tcPr>
            <w:tcW w:type="dxa" w:w="6055"/>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Latency, throughput, queueing, fleet scale, revocation/policy propagation, evidence volume, endurance, failover, and cost.</w:t>
            </w:r>
          </w:p>
        </w:tc>
        <w:tc>
          <w:tcPr>
            <w:tcW w:type="dxa" w:w="854"/>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G6</w:t>
            </w:r>
          </w:p>
        </w:tc>
      </w:tr>
      <w:tr>
        <w:trPr>
          <w:cantSplit/>
        </w:trPr>
        <w:tc>
          <w:tcPr>
            <w:tcW w:type="dxa" w:w="2351"/>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Independent qualification</w:t>
            </w:r>
          </w:p>
        </w:tc>
        <w:tc>
          <w:tcPr>
            <w:tcW w:type="dxa" w:w="6055"/>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Independent custody, replication, security/safety review, clean artifact installation, residual-risk disposition.</w:t>
            </w:r>
          </w:p>
        </w:tc>
        <w:tc>
          <w:tcPr>
            <w:tcW w:type="dxa" w:w="854"/>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G7</w:t>
            </w:r>
          </w:p>
        </w:tc>
      </w:tr>
    </w:tbl>
    <w:p>
      <w:pPr>
        <w:pStyle w:val="Heading1"/>
        <w:keepNext/>
        <w:pageBreakBefore/>
      </w:pPr>
      <w:r>
        <w:t>7  Traceability and source crosswalk</w:t>
      </w:r>
    </w:p>
    <w:p>
      <w:pPr>
        <w:pStyle w:val="Heading2"/>
        <w:keepNext/>
        <w:pageBreakBefore w:val="0"/>
      </w:pPr>
      <w:r>
        <w:t>7.1  Legacy requirement continuity</w:t>
      </w:r>
    </w:p>
    <w:p>
      <w:r>
        <w:t>The prior research study contained eight requirement identifiers. They are retained as legacy aliases and decomposed into the end-state baseline below; the old identifiers shall not be reused for different requirements.</w:t>
      </w:r>
    </w:p>
    <w:tbl>
      <w:tblPr>
        <w:tblStyle w:val="TableGrid"/>
        <w:tblW w:type="dxa" w:w="9260"/>
        <w:jc w:val="center"/>
        <w:tblLayout w:type="fixed"/>
        <w:tblLook w:firstColumn="1" w:firstRow="1" w:lastColumn="0" w:lastRow="0" w:noHBand="0" w:noVBand="1" w:val="04A0"/>
        <w:tblInd w:w="100" w:type="dxa"/>
      </w:tblPr>
      <w:tblGrid>
        <w:gridCol w:w="1638"/>
        <w:gridCol w:w="2920"/>
        <w:gridCol w:w="4702"/>
      </w:tblGrid>
      <w:tr>
        <w:trPr>
          <w:tblHeader w:val="true"/>
          <w:cantSplit/>
        </w:trPr>
        <w:tc>
          <w:tcPr>
            <w:tcW w:type="dxa" w:w="163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6"/>
              </w:rPr>
            </w:r>
            <w:r>
              <w:rPr>
                <w:rFonts w:ascii="Calibri" w:hAnsi="Calibri"/>
                <w:b/>
                <w:color w:val="FFFFFF"/>
                <w:sz w:val="16"/>
              </w:rPr>
              <w:t>Legacy ID</w:t>
            </w:r>
          </w:p>
        </w:tc>
        <w:tc>
          <w:tcPr>
            <w:tcW w:type="dxa" w:w="2920"/>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6"/>
              </w:rPr>
            </w:r>
            <w:r>
              <w:rPr>
                <w:rFonts w:ascii="Calibri" w:hAnsi="Calibri"/>
                <w:b/>
                <w:color w:val="FFFFFF"/>
                <w:sz w:val="16"/>
              </w:rPr>
              <w:t>End-state allocation</w:t>
            </w:r>
          </w:p>
        </w:tc>
        <w:tc>
          <w:tcPr>
            <w:tcW w:type="dxa" w:w="4702"/>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6"/>
              </w:rPr>
            </w:r>
            <w:r>
              <w:rPr>
                <w:rFonts w:ascii="Calibri" w:hAnsi="Calibri"/>
                <w:b/>
                <w:color w:val="FFFFFF"/>
                <w:sz w:val="16"/>
              </w:rPr>
              <w:t>Continuity note</w:t>
            </w:r>
          </w:p>
        </w:tc>
      </w:tr>
      <w:tr>
        <w:trPr>
          <w:cantSplit/>
        </w:trPr>
        <w:tc>
          <w:tcPr>
            <w:tcW w:type="dxa" w:w="1638"/>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REQ-AUTH-001</w:t>
            </w:r>
          </w:p>
        </w:tc>
        <w:tc>
          <w:tcPr>
            <w:tcW w:type="dxa" w:w="2920"/>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AOT-AUTH-001; AOT-DELG-001</w:t>
            </w:r>
          </w:p>
        </w:tc>
        <w:tc>
          <w:tcPr>
            <w:tcW w:type="dxa" w:w="470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Identity and complete delegation-chain enforcement expanded and separated.</w:t>
            </w:r>
          </w:p>
        </w:tc>
      </w:tr>
      <w:tr>
        <w:trPr>
          <w:cantSplit/>
        </w:trPr>
        <w:tc>
          <w:tcPr>
            <w:tcW w:type="dxa" w:w="1638"/>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REQ-DELEG-002</w:t>
            </w:r>
          </w:p>
        </w:tc>
        <w:tc>
          <w:tcPr>
            <w:tcW w:type="dxa" w:w="2920"/>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AOT-DELG-002</w:t>
            </w:r>
          </w:p>
        </w:tc>
        <w:tc>
          <w:tcPr>
            <w:tcW w:type="dxa" w:w="4702"/>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Non-amplification preserved across a broader explicit scope.</w:t>
            </w:r>
          </w:p>
        </w:tc>
      </w:tr>
      <w:tr>
        <w:trPr>
          <w:cantSplit/>
        </w:trPr>
        <w:tc>
          <w:tcPr>
            <w:tcW w:type="dxa" w:w="1638"/>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REQ-SAFE-003</w:t>
            </w:r>
          </w:p>
        </w:tc>
        <w:tc>
          <w:tcPr>
            <w:tcW w:type="dxa" w:w="2920"/>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AOT-SAFE-001; AOT-SAFE-006</w:t>
            </w:r>
          </w:p>
        </w:tc>
        <w:tc>
          <w:tcPr>
            <w:tcW w:type="dxa" w:w="470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External safety enforcement and fail-closed indeterminacy preserved.</w:t>
            </w:r>
          </w:p>
        </w:tc>
      </w:tr>
      <w:tr>
        <w:trPr>
          <w:cantSplit/>
        </w:trPr>
        <w:tc>
          <w:tcPr>
            <w:tcW w:type="dxa" w:w="1638"/>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REQ-REPLAY-004</w:t>
            </w:r>
          </w:p>
        </w:tc>
        <w:tc>
          <w:tcPr>
            <w:tcW w:type="dxa" w:w="2920"/>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AOT-COORD-001–003</w:t>
            </w:r>
          </w:p>
        </w:tc>
        <w:tc>
          <w:tcPr>
            <w:tcW w:type="dxa" w:w="4702"/>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Atomic nonce rejection expanded to exact and semantic replay domains.</w:t>
            </w:r>
          </w:p>
        </w:tc>
      </w:tr>
      <w:tr>
        <w:trPr>
          <w:cantSplit/>
        </w:trPr>
        <w:tc>
          <w:tcPr>
            <w:tcW w:type="dxa" w:w="1638"/>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REQ-EVID-005</w:t>
            </w:r>
          </w:p>
        </w:tc>
        <w:tc>
          <w:tcPr>
            <w:tcW w:type="dxa" w:w="2920"/>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AOT-EVID-001–013</w:t>
            </w:r>
          </w:p>
        </w:tc>
        <w:tc>
          <w:tcPr>
            <w:tcW w:type="dxa" w:w="470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Linked decision evidence expanded to custody, anchoring, export, and claim controls.</w:t>
            </w:r>
          </w:p>
        </w:tc>
      </w:tr>
      <w:tr>
        <w:trPr>
          <w:cantSplit/>
        </w:trPr>
        <w:tc>
          <w:tcPr>
            <w:tcW w:type="dxa" w:w="1638"/>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REQ-TOCTOU-006</w:t>
            </w:r>
          </w:p>
        </w:tc>
        <w:tc>
          <w:tcPr>
            <w:tcW w:type="dxa" w:w="2920"/>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AOT-EXEC-007–008, 012; AOT-COORD-015</w:t>
            </w:r>
          </w:p>
        </w:tc>
        <w:tc>
          <w:tcPr>
            <w:tcW w:type="dxa" w:w="4702"/>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Immediate pre-dispatch state and authority revalidation preserved, including the durable-commit race.</w:t>
            </w:r>
          </w:p>
        </w:tc>
      </w:tr>
      <w:tr>
        <w:trPr>
          <w:cantSplit/>
        </w:trPr>
        <w:tc>
          <w:tcPr>
            <w:tcW w:type="dxa" w:w="1638"/>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REQ-EXEC-007</w:t>
            </w:r>
          </w:p>
        </w:tc>
        <w:tc>
          <w:tcPr>
            <w:tcW w:type="dxa" w:w="2920"/>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AOT-EXEC-002–012</w:t>
            </w:r>
          </w:p>
        </w:tc>
        <w:tc>
          <w:tcPr>
            <w:tcW w:type="dxa" w:w="470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One-use permit, acknowledgment, readback, and pre-admission authority requirements decomposed.</w:t>
            </w:r>
          </w:p>
        </w:tc>
      </w:tr>
      <w:tr>
        <w:trPr>
          <w:cantSplit/>
        </w:trPr>
        <w:tc>
          <w:tcPr>
            <w:tcW w:type="dxa" w:w="1638"/>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REQ-CAP-008</w:t>
            </w:r>
          </w:p>
        </w:tc>
        <w:tc>
          <w:tcPr>
            <w:tcW w:type="dxa" w:w="2920"/>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AOT-ARCH-003–004; AOT-EXEC-010–011; AOT-COORD-006–017</w:t>
            </w:r>
          </w:p>
        </w:tc>
        <w:tc>
          <w:tcPr>
            <w:tcW w:type="dxa" w:w="4702"/>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No direct apply, bounded dispatch, layered effect state, and verified outcome expanded.</w:t>
            </w:r>
          </w:p>
        </w:tc>
      </w:tr>
    </w:tbl>
    <w:p>
      <w:pPr>
        <w:pStyle w:val="Heading2"/>
        <w:keepNext/>
        <w:pageBreakBefore w:val="0"/>
      </w:pPr>
      <w:r>
        <w:t>7.2  Standards and source inputs</w:t>
      </w:r>
    </w:p>
    <w:tbl>
      <w:tblPr>
        <w:tblStyle w:val="TableGrid"/>
        <w:tblW w:type="dxa" w:w="9200"/>
        <w:jc w:val="center"/>
        <w:tblLayout w:type="fixed"/>
        <w:tblLook w:firstColumn="1" w:firstRow="1" w:lastColumn="0" w:lastRow="0" w:noHBand="0" w:noVBand="1" w:val="04A0"/>
        <w:tblInd w:w="160" w:type="dxa"/>
      </w:tblPr>
      <w:tblGrid>
        <w:gridCol w:w="9200"/>
      </w:tblGrid>
      <w:tr>
        <w:trPr>
          <w:cantSplit/>
          <w:tblHeader w:val="true"/>
        </w:trPr>
        <w:tc>
          <w:tcPr>
            <w:tcW w:type="dxa" w:w="9200"/>
            <w:tcMar>
              <w:top w:w="140" w:type="dxa"/>
              <w:start w:w="160" w:type="dxa"/>
              <w:bottom w:w="140" w:type="dxa"/>
              <w:end w:w="160" w:type="dxa"/>
            </w:tcMar>
            <w:shd w:fill="D9EAF7"/>
          </w:tcPr>
          <w:p>
            <w:pPr>
              <w:spacing w:after="0"/>
            </w:pPr>
            <w:r>
              <w:rPr>
                <w:b/>
                <w:color w:val="17365D"/>
              </w:rPr>
              <w:t xml:space="preserve">No compliance claim: </w:t>
            </w:r>
            <w:r>
              <w:rPr>
                <w:color w:val="404040"/>
              </w:rPr>
              <w:t>The external sources below are engineering inputs and crosswalk anchors. This document does not claim certification, regulatory compliance, independent assessment, or deployment authorization against any of them.</w:t>
            </w:r>
          </w:p>
        </w:tc>
      </w:tr>
    </w:tbl>
    <w:tbl>
      <w:tblPr>
        <w:tblStyle w:val="TableGrid"/>
        <w:tblW w:type="dxa" w:w="9260"/>
        <w:jc w:val="center"/>
        <w:tblLayout w:type="fixed"/>
        <w:tblLook w:firstColumn="1" w:firstRow="1" w:lastColumn="0" w:lastRow="0" w:noHBand="0" w:noVBand="1" w:val="04A0"/>
        <w:tblInd w:w="100" w:type="dxa"/>
      </w:tblPr>
      <w:tblGrid>
        <w:gridCol w:w="1068"/>
        <w:gridCol w:w="5057"/>
        <w:gridCol w:w="3135"/>
      </w:tblGrid>
      <w:tr>
        <w:trPr>
          <w:tblHeader w:val="true"/>
          <w:cantSplit/>
        </w:trPr>
        <w:tc>
          <w:tcPr>
            <w:tcW w:type="dxa" w:w="106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Type</w:t>
            </w:r>
          </w:p>
        </w:tc>
        <w:tc>
          <w:tcPr>
            <w:tcW w:type="dxa" w:w="5057"/>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Source</w:t>
            </w:r>
          </w:p>
        </w:tc>
        <w:tc>
          <w:tcPr>
            <w:tcW w:type="dxa" w:w="3135"/>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Use and boundary</w:t>
            </w:r>
          </w:p>
        </w:tc>
      </w:tr>
      <w:tr>
        <w:trPr>
          <w:cantSplit/>
        </w:trPr>
        <w:tc>
          <w:tcPr>
            <w:tcW w:type="dxa" w:w="106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Internal</w:t>
            </w:r>
          </w:p>
        </w:tc>
        <w:tc>
          <w:tcPr>
            <w:tcW w:type="dxa" w:w="5057"/>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README.md; PROJECT_PLAN.md; SECURITY.md; docs/architecture; docs/formal; docs/threat-model; docs/reproducibility</w:t>
            </w:r>
          </w:p>
        </w:tc>
        <w:tc>
          <w:tcPr>
            <w:tcW w:type="dxa" w:w="3135"/>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Purpose, current boundaries, architecture, threat assumptions, planned work, and evidence rules.</w:t>
            </w:r>
          </w:p>
        </w:tc>
      </w:tr>
      <w:tr>
        <w:trPr>
          <w:cantSplit/>
        </w:trPr>
        <w:tc>
          <w:tcPr>
            <w:tcW w:type="dxa" w:w="106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Internal</w:t>
            </w:r>
          </w:p>
        </w:tc>
        <w:tc>
          <w:tcPr>
            <w:tcW w:type="dxa" w:w="5057"/>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src/aegis_ot and src/aegis_ot_independent; schemas generated by scripts/export_schemas.py</w:t>
            </w:r>
          </w:p>
        </w:tc>
        <w:tc>
          <w:tcPr>
            <w:tcW w:type="dxa" w:w="3135"/>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Implemented contracts and mechanisms; implementation presence is not acceptance evidence.</w:t>
            </w:r>
          </w:p>
        </w:tc>
      </w:tr>
      <w:tr>
        <w:trPr>
          <w:cantSplit/>
        </w:trPr>
        <w:tc>
          <w:tcPr>
            <w:tcW w:type="dxa" w:w="106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Internal</w:t>
            </w:r>
          </w:p>
        </w:tc>
        <w:tc>
          <w:tcPr>
            <w:tcW w:type="dxa" w:w="5057"/>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results/ retained packages and manifests</w:t>
            </w:r>
          </w:p>
        </w:tc>
        <w:tc>
          <w:tcPr>
            <w:tcW w:type="dxa" w:w="3135"/>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Bounded experiment evidence; each package retains its own stated source and environmental limits.</w:t>
            </w:r>
          </w:p>
        </w:tc>
      </w:tr>
      <w:tr>
        <w:trPr>
          <w:cantSplit/>
        </w:trPr>
        <w:tc>
          <w:tcPr>
            <w:tcW w:type="dxa" w:w="106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Internal</w:t>
            </w:r>
          </w:p>
        </w:tc>
        <w:tc>
          <w:tcPr>
            <w:tcW w:type="dxa" w:w="5057"/>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infra/m4j/topology.yml; Vagrantfile; Compose and Ansible files</w:t>
            </w:r>
          </w:p>
        </w:tc>
        <w:tc>
          <w:tcPr>
            <w:tcW w:type="dxa" w:w="3135"/>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Target deployment intent and current configuration boundary.</w:t>
            </w:r>
          </w:p>
        </w:tc>
      </w:tr>
      <w:tr>
        <w:trPr>
          <w:cantSplit/>
        </w:trPr>
        <w:tc>
          <w:tcPr>
            <w:tcW w:type="dxa" w:w="106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External</w:t>
            </w:r>
          </w:p>
        </w:tc>
        <w:tc>
          <w:tcPr>
            <w:tcW w:type="dxa" w:w="5057"/>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NIST SP 800-82 Rev. 3 — https://doi.org/10.6028/NIST.SP.800-82r3</w:t>
            </w:r>
          </w:p>
        </w:tc>
        <w:tc>
          <w:tcPr>
            <w:tcW w:type="dxa" w:w="3135"/>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OT security design input.</w:t>
            </w:r>
          </w:p>
        </w:tc>
      </w:tr>
      <w:tr>
        <w:trPr>
          <w:cantSplit/>
        </w:trPr>
        <w:tc>
          <w:tcPr>
            <w:tcW w:type="dxa" w:w="106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External</w:t>
            </w:r>
          </w:p>
        </w:tc>
        <w:tc>
          <w:tcPr>
            <w:tcW w:type="dxa" w:w="5057"/>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NIST AI RMF 1.0 — https://doi.org/10.6028/NIST.AI.100-1</w:t>
            </w:r>
          </w:p>
        </w:tc>
        <w:tc>
          <w:tcPr>
            <w:tcW w:type="dxa" w:w="3135"/>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AI risk/governance design input; not a certification claim.</w:t>
            </w:r>
          </w:p>
        </w:tc>
      </w:tr>
      <w:tr>
        <w:trPr>
          <w:cantSplit/>
        </w:trPr>
        <w:tc>
          <w:tcPr>
            <w:tcW w:type="dxa" w:w="106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External</w:t>
            </w:r>
          </w:p>
        </w:tc>
        <w:tc>
          <w:tcPr>
            <w:tcW w:type="dxa" w:w="5057"/>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NIST CSF 2.0 — https://doi.org/10.6028/NIST.CSWP.29</w:t>
            </w:r>
          </w:p>
        </w:tc>
        <w:tc>
          <w:tcPr>
            <w:tcW w:type="dxa" w:w="3135"/>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Cybersecurity governance and outcome crosswalk.</w:t>
            </w:r>
          </w:p>
        </w:tc>
      </w:tr>
      <w:tr>
        <w:trPr>
          <w:cantSplit/>
        </w:trPr>
        <w:tc>
          <w:tcPr>
            <w:tcW w:type="dxa" w:w="106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External</w:t>
            </w:r>
          </w:p>
        </w:tc>
        <w:tc>
          <w:tcPr>
            <w:tcW w:type="dxa" w:w="5057"/>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NIST SP 800-53 Rev. 5 and SP 800-53A Rev. 5 — https://doi.org/10.6028/NIST.SP.800-53r5</w:t>
            </w:r>
          </w:p>
        </w:tc>
        <w:tc>
          <w:tcPr>
            <w:tcW w:type="dxa" w:w="3135"/>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Control and assessment design inputs.</w:t>
            </w:r>
          </w:p>
        </w:tc>
      </w:tr>
      <w:tr>
        <w:trPr>
          <w:cantSplit/>
        </w:trPr>
        <w:tc>
          <w:tcPr>
            <w:tcW w:type="dxa" w:w="106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External</w:t>
            </w:r>
          </w:p>
        </w:tc>
        <w:tc>
          <w:tcPr>
            <w:tcW w:type="dxa" w:w="5057"/>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NIST SP 800-207 and SP 800-207A — https://doi.org/10.6028/NIST.SP.800-207</w:t>
            </w:r>
          </w:p>
        </w:tc>
        <w:tc>
          <w:tcPr>
            <w:tcW w:type="dxa" w:w="3135"/>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Zero-trust and application/service identity design inputs.</w:t>
            </w:r>
          </w:p>
        </w:tc>
      </w:tr>
      <w:tr>
        <w:trPr>
          <w:cantSplit/>
        </w:trPr>
        <w:tc>
          <w:tcPr>
            <w:tcW w:type="dxa" w:w="106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External</w:t>
            </w:r>
          </w:p>
        </w:tc>
        <w:tc>
          <w:tcPr>
            <w:tcW w:type="dxa" w:w="5057"/>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NIST SP 800-218 SSDF 1.1 — https://doi.org/10.6028/NIST.SP.800-218</w:t>
            </w:r>
          </w:p>
        </w:tc>
        <w:tc>
          <w:tcPr>
            <w:tcW w:type="dxa" w:w="3135"/>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Secure software lifecycle input.</w:t>
            </w:r>
          </w:p>
        </w:tc>
      </w:tr>
      <w:tr>
        <w:trPr>
          <w:cantSplit/>
        </w:trPr>
        <w:tc>
          <w:tcPr>
            <w:tcW w:type="dxa" w:w="106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External</w:t>
            </w:r>
          </w:p>
        </w:tc>
        <w:tc>
          <w:tcPr>
            <w:tcW w:type="dxa" w:w="5057"/>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NIST SP 800-161 Rev. 1 Update 1 — https://doi.org/10.6028/NIST.SP.800-161r1-upd1</w:t>
            </w:r>
          </w:p>
        </w:tc>
        <w:tc>
          <w:tcPr>
            <w:tcW w:type="dxa" w:w="3135"/>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Cybersecurity supply-chain risk input.</w:t>
            </w:r>
          </w:p>
        </w:tc>
      </w:tr>
      <w:tr>
        <w:trPr>
          <w:cantSplit/>
        </w:trPr>
        <w:tc>
          <w:tcPr>
            <w:tcW w:type="dxa" w:w="106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External</w:t>
            </w:r>
          </w:p>
        </w:tc>
        <w:tc>
          <w:tcPr>
            <w:tcW w:type="dxa" w:w="5057"/>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NIST SP 1339 — https://doi.org/10.6028/NIST.SP.1339</w:t>
            </w:r>
          </w:p>
        </w:tc>
        <w:tc>
          <w:tcPr>
            <w:tcW w:type="dxa" w:w="3135"/>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OT backup and recovery input.</w:t>
            </w:r>
          </w:p>
        </w:tc>
      </w:tr>
      <w:tr>
        <w:trPr>
          <w:cantSplit/>
        </w:trPr>
        <w:tc>
          <w:tcPr>
            <w:tcW w:type="dxa" w:w="106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External</w:t>
            </w:r>
          </w:p>
        </w:tc>
        <w:tc>
          <w:tcPr>
            <w:tcW w:type="dxa" w:w="5057"/>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ISA/IEC 62443 series overview — https://www.isa.org/standards-and-publications/isa-standards/isa-iec-62443-series-of-standards</w:t>
            </w:r>
          </w:p>
        </w:tc>
        <w:tc>
          <w:tcPr>
            <w:tcW w:type="dxa" w:w="3135"/>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Zones, conduits, lifecycle, and component/system security design input; no compliance claim.</w:t>
            </w:r>
          </w:p>
        </w:tc>
      </w:tr>
      <w:tr>
        <w:trPr>
          <w:cantSplit/>
        </w:trPr>
        <w:tc>
          <w:tcPr>
            <w:tcW w:type="dxa" w:w="106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External</w:t>
            </w:r>
          </w:p>
        </w:tc>
        <w:tc>
          <w:tcPr>
            <w:tcW w:type="dxa" w:w="5057"/>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SPIFFE specifications — https://spiffe.io/docs/latest/spiffe-specs/</w:t>
            </w:r>
          </w:p>
        </w:tc>
        <w:tc>
          <w:tcPr>
            <w:tcW w:type="dxa" w:w="3135"/>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Candidate workload-identity implementation standard; final profile remains controlled.</w:t>
            </w:r>
          </w:p>
        </w:tc>
      </w:tr>
      <w:tr>
        <w:trPr>
          <w:cantSplit/>
        </w:trPr>
        <w:tc>
          <w:tcPr>
            <w:tcW w:type="dxa" w:w="106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External</w:t>
            </w:r>
          </w:p>
        </w:tc>
        <w:tc>
          <w:tcPr>
            <w:tcW w:type="dxa" w:w="5057"/>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CISA Secure by Design — https://www.cisa.gov/resources-tools/resources/secure-by-design</w:t>
            </w:r>
          </w:p>
        </w:tc>
        <w:tc>
          <w:tcPr>
            <w:tcW w:type="dxa" w:w="3135"/>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Product-security design input; voluntary guidance.</w:t>
            </w:r>
          </w:p>
        </w:tc>
      </w:tr>
    </w:tbl>
    <w:p>
      <w:pPr>
        <w:pStyle w:val="Heading2"/>
        <w:keepNext/>
        <w:pageBreakBefore w:val="0"/>
      </w:pPr>
      <w:r>
        <w:t>7.3  Domain-to-assurance crosswalk</w:t>
      </w:r>
    </w:p>
    <w:tbl>
      <w:tblPr>
        <w:tblStyle w:val="TableGrid"/>
        <w:tblW w:type="dxa" w:w="9260"/>
        <w:jc w:val="center"/>
        <w:tblLayout w:type="fixed"/>
        <w:tblLook w:firstColumn="1" w:firstRow="1" w:lastColumn="0" w:lastRow="0" w:noHBand="0" w:noVBand="1" w:val="04A0"/>
        <w:tblInd w:w="100" w:type="dxa"/>
      </w:tblPr>
      <w:tblGrid>
        <w:gridCol w:w="1923"/>
        <w:gridCol w:w="1781"/>
        <w:gridCol w:w="2493"/>
        <w:gridCol w:w="3063"/>
      </w:tblGrid>
      <w:tr>
        <w:trPr>
          <w:tblHeader w:val="true"/>
          <w:cantSplit/>
        </w:trPr>
        <w:tc>
          <w:tcPr>
            <w:tcW w:type="dxa" w:w="1923"/>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6"/>
              </w:rPr>
            </w:r>
            <w:r>
              <w:rPr>
                <w:rFonts w:ascii="Calibri" w:hAnsi="Calibri"/>
                <w:b/>
                <w:color w:val="FFFFFF"/>
                <w:sz w:val="16"/>
              </w:rPr>
              <w:t>Concern</w:t>
            </w:r>
          </w:p>
        </w:tc>
        <w:tc>
          <w:tcPr>
            <w:tcW w:type="dxa" w:w="1781"/>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6"/>
              </w:rPr>
            </w:r>
            <w:r>
              <w:rPr>
                <w:rFonts w:ascii="Calibri" w:hAnsi="Calibri"/>
                <w:b/>
                <w:color w:val="FFFFFF"/>
                <w:sz w:val="16"/>
              </w:rPr>
              <w:t>Requirement domains</w:t>
            </w:r>
          </w:p>
        </w:tc>
        <w:tc>
          <w:tcPr>
            <w:tcW w:type="dxa" w:w="2493"/>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6"/>
              </w:rPr>
            </w:r>
            <w:r>
              <w:rPr>
                <w:rFonts w:ascii="Calibri" w:hAnsi="Calibri"/>
                <w:b/>
                <w:color w:val="FFFFFF"/>
                <w:sz w:val="16"/>
              </w:rPr>
              <w:t>External inputs</w:t>
            </w:r>
          </w:p>
        </w:tc>
        <w:tc>
          <w:tcPr>
            <w:tcW w:type="dxa" w:w="3063"/>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6"/>
              </w:rPr>
            </w:r>
            <w:r>
              <w:rPr>
                <w:rFonts w:ascii="Calibri" w:hAnsi="Calibri"/>
                <w:b/>
                <w:color w:val="FFFFFF"/>
                <w:sz w:val="16"/>
              </w:rPr>
              <w:t>Intended use</w:t>
            </w:r>
          </w:p>
        </w:tc>
      </w:tr>
      <w:tr>
        <w:trPr>
          <w:cantSplit/>
        </w:trPr>
        <w:tc>
          <w:tcPr>
            <w:tcW w:type="dxa" w:w="1923"/>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Mission and governance</w:t>
            </w:r>
          </w:p>
        </w:tc>
        <w:tc>
          <w:tcPr>
            <w:tcW w:type="dxa" w:w="1781"/>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SYS, GOV, VV</w:t>
            </w:r>
          </w:p>
        </w:tc>
        <w:tc>
          <w:tcPr>
            <w:tcW w:type="dxa" w:w="2493"/>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NIST AI RMF; CSF 2.0</w:t>
            </w:r>
          </w:p>
        </w:tc>
        <w:tc>
          <w:tcPr>
            <w:tcW w:type="dxa" w:w="3063"/>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Governed scope, evidence-based claims, authorization decisions.</w:t>
            </w:r>
          </w:p>
        </w:tc>
      </w:tr>
      <w:tr>
        <w:trPr>
          <w:cantSplit/>
        </w:trPr>
        <w:tc>
          <w:tcPr>
            <w:tcW w:type="dxa" w:w="1923"/>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OT architecture and safety</w:t>
            </w:r>
          </w:p>
        </w:tc>
        <w:tc>
          <w:tcPr>
            <w:tcW w:type="dxa" w:w="1781"/>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ARCH, OBS, SAFE, EXEC, PHY</w:t>
            </w:r>
          </w:p>
        </w:tc>
        <w:tc>
          <w:tcPr>
            <w:tcW w:type="dxa" w:w="2493"/>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NIST SP 800-82r3; ISA/IEC 62443</w:t>
            </w:r>
          </w:p>
        </w:tc>
        <w:tc>
          <w:tcPr>
            <w:tcW w:type="dxa" w:w="3063"/>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Zones/conduits, safe operation, consequence controls, physical validation.</w:t>
            </w:r>
          </w:p>
        </w:tc>
      </w:tr>
      <w:tr>
        <w:trPr>
          <w:cantSplit/>
        </w:trPr>
        <w:tc>
          <w:tcPr>
            <w:tcW w:type="dxa" w:w="1923"/>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Zero trust and identity</w:t>
            </w:r>
          </w:p>
        </w:tc>
        <w:tc>
          <w:tcPr>
            <w:tcW w:type="dxa" w:w="1781"/>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AUTH, DELG, POL, NET</w:t>
            </w:r>
          </w:p>
        </w:tc>
        <w:tc>
          <w:tcPr>
            <w:tcW w:type="dxa" w:w="2493"/>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NIST SP 800-207/207A; SPIFFE</w:t>
            </w:r>
          </w:p>
        </w:tc>
        <w:tc>
          <w:tcPr>
            <w:tcW w:type="dxa" w:w="3063"/>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Explicit identity, least privilege, continuous trust state, service identity.</w:t>
            </w:r>
          </w:p>
        </w:tc>
      </w:tr>
      <w:tr>
        <w:trPr>
          <w:cantSplit/>
        </w:trPr>
        <w:tc>
          <w:tcPr>
            <w:tcW w:type="dxa" w:w="1923"/>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Security controls and assessment</w:t>
            </w:r>
          </w:p>
        </w:tc>
        <w:tc>
          <w:tcPr>
            <w:tcW w:type="dxa" w:w="1781"/>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SEC, RES, OPS, VV</w:t>
            </w:r>
          </w:p>
        </w:tc>
        <w:tc>
          <w:tcPr>
            <w:tcW w:type="dxa" w:w="2493"/>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NIST SP 800-53/53A</w:t>
            </w:r>
          </w:p>
        </w:tc>
        <w:tc>
          <w:tcPr>
            <w:tcW w:type="dxa" w:w="3063"/>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Control allocation and objective assessment evidence.</w:t>
            </w:r>
          </w:p>
        </w:tc>
      </w:tr>
      <w:tr>
        <w:trPr>
          <w:cantSplit/>
        </w:trPr>
        <w:tc>
          <w:tcPr>
            <w:tcW w:type="dxa" w:w="1923"/>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Secure development and supply chain</w:t>
            </w:r>
          </w:p>
        </w:tc>
        <w:tc>
          <w:tcPr>
            <w:tcW w:type="dxa" w:w="1781"/>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IF, SEC, EVID, GOV</w:t>
            </w:r>
          </w:p>
        </w:tc>
        <w:tc>
          <w:tcPr>
            <w:tcW w:type="dxa" w:w="2493"/>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NIST SP 800-218; SP 800-161r1</w:t>
            </w:r>
          </w:p>
        </w:tc>
        <w:tc>
          <w:tcPr>
            <w:tcW w:type="dxa" w:w="3063"/>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Controlled build, provenance, dependencies, vulnerabilities, lifecycle.</w:t>
            </w:r>
          </w:p>
        </w:tc>
      </w:tr>
      <w:tr>
        <w:trPr>
          <w:cantSplit/>
        </w:trPr>
        <w:tc>
          <w:tcPr>
            <w:tcW w:type="dxa" w:w="1923"/>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Recovery</w:t>
            </w:r>
          </w:p>
        </w:tc>
        <w:tc>
          <w:tcPr>
            <w:tcW w:type="dxa" w:w="1781"/>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COORD, RES, OPS, EVID</w:t>
            </w:r>
          </w:p>
        </w:tc>
        <w:tc>
          <w:tcPr>
            <w:tcW w:type="dxa" w:w="2493"/>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NIST SP 1339</w:t>
            </w:r>
          </w:p>
        </w:tc>
        <w:tc>
          <w:tcPr>
            <w:tcW w:type="dxa" w:w="3063"/>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Backup, restore, effect certainty, rollback resistance, exercises.</w:t>
            </w:r>
          </w:p>
        </w:tc>
      </w:tr>
    </w:tbl>
    <w:p>
      <w:pPr>
        <w:pStyle w:val="Heading1"/>
        <w:keepNext/>
        <w:pageBreakBefore/>
      </w:pPr>
      <w:r>
        <w:t>8  To-be-resolved register</w:t>
      </w:r>
    </w:p>
    <w:p>
      <w:r>
        <w:t>The following values and decisions are intentionally unresolved. They require mission, site, safety, security, operational, or program evidence that is not available in the current repository. They shall not be replaced by convenient default values or represented as accepted thresholds.</w:t>
      </w:r>
    </w:p>
    <w:tbl>
      <w:tblPr>
        <w:tblStyle w:val="TableGrid"/>
        <w:tblW w:type="dxa" w:w="9260"/>
        <w:jc w:val="center"/>
        <w:tblLayout w:type="fixed"/>
        <w:tblLook w:firstColumn="1" w:firstRow="1" w:lastColumn="0" w:lastRow="0" w:noHBand="0" w:noVBand="1" w:val="04A0"/>
        <w:tblInd w:w="100" w:type="dxa"/>
      </w:tblPr>
      <w:tblGrid>
        <w:gridCol w:w="1068"/>
        <w:gridCol w:w="3277"/>
        <w:gridCol w:w="2208"/>
        <w:gridCol w:w="641"/>
        <w:gridCol w:w="2066"/>
      </w:tblGrid>
      <w:tr>
        <w:trPr>
          <w:tblHeader w:val="true"/>
          <w:cantSplit/>
        </w:trPr>
        <w:tc>
          <w:tcPr>
            <w:tcW w:type="dxa" w:w="106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ID</w:t>
            </w:r>
          </w:p>
        </w:tc>
        <w:tc>
          <w:tcPr>
            <w:tcW w:type="dxa" w:w="3277"/>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Decision or value</w:t>
            </w:r>
          </w:p>
        </w:tc>
        <w:tc>
          <w:tcPr>
            <w:tcW w:type="dxa" w:w="220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Closure authority</w:t>
            </w:r>
          </w:p>
        </w:tc>
        <w:tc>
          <w:tcPr>
            <w:tcW w:type="dxa" w:w="641"/>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Due</w:t>
            </w:r>
          </w:p>
        </w:tc>
        <w:tc>
          <w:tcPr>
            <w:tcW w:type="dxa" w:w="2066"/>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5"/>
              </w:rPr>
            </w:r>
            <w:r>
              <w:rPr>
                <w:rFonts w:ascii="Calibri" w:hAnsi="Calibri"/>
                <w:b/>
                <w:color w:val="FFFFFF"/>
                <w:sz w:val="15"/>
              </w:rPr>
              <w:t>Required closure evidence</w:t>
            </w:r>
          </w:p>
        </w:tc>
      </w:tr>
      <w:tr>
        <w:trPr>
          <w:cantSplit/>
        </w:trPr>
        <w:tc>
          <w:tcPr>
            <w:tcW w:type="dxa" w:w="106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TBR-001</w:t>
            </w:r>
          </w:p>
        </w:tc>
        <w:tc>
          <w:tcPr>
            <w:tcW w:type="dxa" w:w="3277"/>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Target OT sectors, sites, process boundaries, and mission contexts</w:t>
            </w:r>
          </w:p>
        </w:tc>
        <w:tc>
          <w:tcPr>
            <w:tcW w:type="dxa" w:w="220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Program and asset-owner authorities</w:t>
            </w:r>
          </w:p>
        </w:tc>
        <w:tc>
          <w:tcPr>
            <w:tcW w:type="dxa" w:w="641"/>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G0</w:t>
            </w:r>
          </w:p>
        </w:tc>
        <w:tc>
          <w:tcPr>
            <w:tcW w:type="dxa" w:w="2066"/>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Select supported contexts and record excluded environments.</w:t>
            </w:r>
          </w:p>
        </w:tc>
      </w:tr>
      <w:tr>
        <w:trPr>
          <w:cantSplit/>
        </w:trPr>
        <w:tc>
          <w:tcPr>
            <w:tcW w:type="dxa" w:w="106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TBR-002</w:t>
            </w:r>
          </w:p>
        </w:tc>
        <w:tc>
          <w:tcPr>
            <w:tcW w:type="dxa" w:w="3277"/>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Consequential resources, operations, parameters, and actuator mappings</w:t>
            </w:r>
          </w:p>
        </w:tc>
        <w:tc>
          <w:tcPr>
            <w:tcW w:type="dxa" w:w="220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System and OT architecture</w:t>
            </w:r>
          </w:p>
        </w:tc>
        <w:tc>
          <w:tcPr>
            <w:tcW w:type="dxa" w:w="641"/>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G1</w:t>
            </w:r>
          </w:p>
        </w:tc>
        <w:tc>
          <w:tcPr>
            <w:tcW w:type="dxa" w:w="2066"/>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Approve the closed operation/resource registry.</w:t>
            </w:r>
          </w:p>
        </w:tc>
      </w:tr>
      <w:tr>
        <w:trPr>
          <w:cantSplit/>
        </w:trPr>
        <w:tc>
          <w:tcPr>
            <w:tcW w:type="dxa" w:w="106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TBR-003</w:t>
            </w:r>
          </w:p>
        </w:tc>
        <w:tc>
          <w:tcPr>
            <w:tcW w:type="dxa" w:w="3277"/>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Safety envelopes, model validity domains, uncertainty, and numerical tolerances</w:t>
            </w:r>
          </w:p>
        </w:tc>
        <w:tc>
          <w:tcPr>
            <w:tcW w:type="dxa" w:w="220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Safety and model authorities</w:t>
            </w:r>
          </w:p>
        </w:tc>
        <w:tc>
          <w:tcPr>
            <w:tcW w:type="dxa" w:w="641"/>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G2</w:t>
            </w:r>
          </w:p>
        </w:tc>
        <w:tc>
          <w:tcPr>
            <w:tcW w:type="dxa" w:w="2066"/>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Approve sector/site hazard analysis and validation evidence.</w:t>
            </w:r>
          </w:p>
        </w:tc>
      </w:tr>
      <w:tr>
        <w:trPr>
          <w:cantSplit/>
        </w:trPr>
        <w:tc>
          <w:tcPr>
            <w:tcW w:type="dxa" w:w="106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TBR-004</w:t>
            </w:r>
          </w:p>
        </w:tc>
        <w:tc>
          <w:tcPr>
            <w:tcW w:type="dxa" w:w="3277"/>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Risk bands, approval thresholds, approver roles, and approval lifetime</w:t>
            </w:r>
          </w:p>
        </w:tc>
        <w:tc>
          <w:tcPr>
            <w:tcW w:type="dxa" w:w="220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Policy and operations authorities</w:t>
            </w:r>
          </w:p>
        </w:tc>
        <w:tc>
          <w:tcPr>
            <w:tcW w:type="dxa" w:w="641"/>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G1</w:t>
            </w:r>
          </w:p>
        </w:tc>
        <w:tc>
          <w:tcPr>
            <w:tcW w:type="dxa" w:w="2066"/>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Approve risk and human-authorization policy.</w:t>
            </w:r>
          </w:p>
        </w:tc>
      </w:tr>
      <w:tr>
        <w:trPr>
          <w:cantSplit/>
        </w:trPr>
        <w:tc>
          <w:tcPr>
            <w:tcW w:type="dxa" w:w="106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TBR-005</w:t>
            </w:r>
          </w:p>
        </w:tc>
        <w:tc>
          <w:tcPr>
            <w:tcW w:type="dxa" w:w="3277"/>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Identity trust domains, subject-to-actor mapping, and administrative ownership</w:t>
            </w:r>
          </w:p>
        </w:tc>
        <w:tc>
          <w:tcPr>
            <w:tcW w:type="dxa" w:w="220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Identity and security authorities</w:t>
            </w:r>
          </w:p>
        </w:tc>
        <w:tc>
          <w:tcPr>
            <w:tcW w:type="dxa" w:w="641"/>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G1</w:t>
            </w:r>
          </w:p>
        </w:tc>
        <w:tc>
          <w:tcPr>
            <w:tcW w:type="dxa" w:w="2066"/>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Approve identity architecture and mapping rules.</w:t>
            </w:r>
          </w:p>
        </w:tc>
      </w:tr>
      <w:tr>
        <w:trPr>
          <w:cantSplit/>
        </w:trPr>
        <w:tc>
          <w:tcPr>
            <w:tcW w:type="dxa" w:w="106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TBR-006</w:t>
            </w:r>
          </w:p>
        </w:tc>
        <w:tc>
          <w:tcPr>
            <w:tcW w:type="dxa" w:w="3277"/>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Cryptographic algorithms, key sizes, lifetimes, and protected-key profile</w:t>
            </w:r>
          </w:p>
        </w:tc>
        <w:tc>
          <w:tcPr>
            <w:tcW w:type="dxa" w:w="220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Security authority</w:t>
            </w:r>
          </w:p>
        </w:tc>
        <w:tc>
          <w:tcPr>
            <w:tcW w:type="dxa" w:w="641"/>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G1</w:t>
            </w:r>
          </w:p>
        </w:tc>
        <w:tc>
          <w:tcPr>
            <w:tcW w:type="dxa" w:w="2066"/>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Approve cryptographic and key-management profile.</w:t>
            </w:r>
          </w:p>
        </w:tc>
      </w:tr>
      <w:tr>
        <w:trPr>
          <w:cantSplit/>
        </w:trPr>
        <w:tc>
          <w:tcPr>
            <w:tcW w:type="dxa" w:w="106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TBR-007</w:t>
            </w:r>
          </w:p>
        </w:tc>
        <w:tc>
          <w:tcPr>
            <w:tcW w:type="dxa" w:w="3277"/>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Credential and delegation lifetime, rotation, and revocation-propagation limits</w:t>
            </w:r>
          </w:p>
        </w:tc>
        <w:tc>
          <w:tcPr>
            <w:tcW w:type="dxa" w:w="220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Identity and mission authorities</w:t>
            </w:r>
          </w:p>
        </w:tc>
        <w:tc>
          <w:tcPr>
            <w:tcW w:type="dxa" w:w="641"/>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G3</w:t>
            </w:r>
          </w:p>
        </w:tc>
        <w:tc>
          <w:tcPr>
            <w:tcW w:type="dxa" w:w="2066"/>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Measure and approve lifecycle bounds.</w:t>
            </w:r>
          </w:p>
        </w:tc>
      </w:tr>
      <w:tr>
        <w:trPr>
          <w:cantSplit/>
        </w:trPr>
        <w:tc>
          <w:tcPr>
            <w:tcW w:type="dxa" w:w="106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TBR-008</w:t>
            </w:r>
          </w:p>
        </w:tc>
        <w:tc>
          <w:tcPr>
            <w:tcW w:type="dxa" w:w="3277"/>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Trusted-time sources, maximum clock error, synchronization, and holdover</w:t>
            </w:r>
          </w:p>
        </w:tc>
        <w:tc>
          <w:tcPr>
            <w:tcW w:type="dxa" w:w="220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Timing and system authorities</w:t>
            </w:r>
          </w:p>
        </w:tc>
        <w:tc>
          <w:tcPr>
            <w:tcW w:type="dxa" w:w="641"/>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G3</w:t>
            </w:r>
          </w:p>
        </w:tc>
        <w:tc>
          <w:tcPr>
            <w:tcW w:type="dxa" w:w="2066"/>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Validate timing architecture under fault.</w:t>
            </w:r>
          </w:p>
        </w:tc>
      </w:tr>
      <w:tr>
        <w:trPr>
          <w:cantSplit/>
        </w:trPr>
        <w:tc>
          <w:tcPr>
            <w:tcW w:type="dxa" w:w="106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TBR-009</w:t>
            </w:r>
          </w:p>
        </w:tc>
        <w:tc>
          <w:tcPr>
            <w:tcW w:type="dxa" w:w="3277"/>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Observation freshness, permit lifetime, and allowable state-change window</w:t>
            </w:r>
          </w:p>
        </w:tc>
        <w:tc>
          <w:tcPr>
            <w:tcW w:type="dxa" w:w="220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Controls and safety authorities</w:t>
            </w:r>
          </w:p>
        </w:tc>
        <w:tc>
          <w:tcPr>
            <w:tcW w:type="dxa" w:w="641"/>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G3</w:t>
            </w:r>
          </w:p>
        </w:tc>
        <w:tc>
          <w:tcPr>
            <w:tcW w:type="dxa" w:w="2066"/>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Derive from process dynamics and validate.</w:t>
            </w:r>
          </w:p>
        </w:tc>
      </w:tr>
      <w:tr>
        <w:trPr>
          <w:cantSplit/>
        </w:trPr>
        <w:tc>
          <w:tcPr>
            <w:tcW w:type="dxa" w:w="106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TBR-010</w:t>
            </w:r>
          </w:p>
        </w:tc>
        <w:tc>
          <w:tcPr>
            <w:tcW w:type="dxa" w:w="3277"/>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Decision latency, jitter, and action deadline by operation</w:t>
            </w:r>
          </w:p>
        </w:tc>
        <w:tc>
          <w:tcPr>
            <w:tcW w:type="dxa" w:w="220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Mission and performance authorities</w:t>
            </w:r>
          </w:p>
        </w:tc>
        <w:tc>
          <w:tcPr>
            <w:tcW w:type="dxa" w:w="641"/>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G4</w:t>
            </w:r>
          </w:p>
        </w:tc>
        <w:tc>
          <w:tcPr>
            <w:tcW w:type="dxa" w:w="2066"/>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Derive from control-loop and mission analysis.</w:t>
            </w:r>
          </w:p>
        </w:tc>
      </w:tr>
      <w:tr>
        <w:trPr>
          <w:cantSplit/>
        </w:trPr>
        <w:tc>
          <w:tcPr>
            <w:tcW w:type="dxa" w:w="106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TBR-011</w:t>
            </w:r>
          </w:p>
        </w:tc>
        <w:tc>
          <w:tcPr>
            <w:tcW w:type="dxa" w:w="3277"/>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Throughput, concurrency, queue, and overload limits</w:t>
            </w:r>
          </w:p>
        </w:tc>
        <w:tc>
          <w:tcPr>
            <w:tcW w:type="dxa" w:w="220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Performance and platform leads</w:t>
            </w:r>
          </w:p>
        </w:tc>
        <w:tc>
          <w:tcPr>
            <w:tcW w:type="dxa" w:w="641"/>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G4</w:t>
            </w:r>
          </w:p>
        </w:tc>
        <w:tc>
          <w:tcPr>
            <w:tcW w:type="dxa" w:w="2066"/>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Approve workload model and capacity tests.</w:t>
            </w:r>
          </w:p>
        </w:tc>
      </w:tr>
      <w:tr>
        <w:trPr>
          <w:cantSplit/>
        </w:trPr>
        <w:tc>
          <w:tcPr>
            <w:tcW w:type="dxa" w:w="106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TBR-012</w:t>
            </w:r>
          </w:p>
        </w:tc>
        <w:tc>
          <w:tcPr>
            <w:tcW w:type="dxa" w:w="3277"/>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Availability, failover, service continuity, and maximum degraded duration</w:t>
            </w:r>
          </w:p>
        </w:tc>
        <w:tc>
          <w:tcPr>
            <w:tcW w:type="dxa" w:w="220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Mission and resilience authorities</w:t>
            </w:r>
          </w:p>
        </w:tc>
        <w:tc>
          <w:tcPr>
            <w:tcW w:type="dxa" w:w="641"/>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G4</w:t>
            </w:r>
          </w:p>
        </w:tc>
        <w:tc>
          <w:tcPr>
            <w:tcW w:type="dxa" w:w="2066"/>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Approve mission availability allocation.</w:t>
            </w:r>
          </w:p>
        </w:tc>
      </w:tr>
      <w:tr>
        <w:trPr>
          <w:cantSplit/>
        </w:trPr>
        <w:tc>
          <w:tcPr>
            <w:tcW w:type="dxa" w:w="106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TBR-013</w:t>
            </w:r>
          </w:p>
        </w:tc>
        <w:tc>
          <w:tcPr>
            <w:tcW w:type="dxa" w:w="3277"/>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RTO, RPO, backup frequency, restore validation, and disaster-recovery scope</w:t>
            </w:r>
          </w:p>
        </w:tc>
        <w:tc>
          <w:tcPr>
            <w:tcW w:type="dxa" w:w="220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Operations and asset owner</w:t>
            </w:r>
          </w:p>
        </w:tc>
        <w:tc>
          <w:tcPr>
            <w:tcW w:type="dxa" w:w="641"/>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G5</w:t>
            </w:r>
          </w:p>
        </w:tc>
        <w:tc>
          <w:tcPr>
            <w:tcW w:type="dxa" w:w="2066"/>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Approve recovery objectives and exercise evidence.</w:t>
            </w:r>
          </w:p>
        </w:tc>
      </w:tr>
      <w:tr>
        <w:trPr>
          <w:cantSplit/>
        </w:trPr>
        <w:tc>
          <w:tcPr>
            <w:tcW w:type="dxa" w:w="106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TBR-014</w:t>
            </w:r>
          </w:p>
        </w:tc>
        <w:tc>
          <w:tcPr>
            <w:tcW w:type="dxa" w:w="3277"/>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Evidence retention, privacy, access, legal hold, and disposal</w:t>
            </w:r>
          </w:p>
        </w:tc>
        <w:tc>
          <w:tcPr>
            <w:tcW w:type="dxa" w:w="220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Records, privacy, and security authorities</w:t>
            </w:r>
          </w:p>
        </w:tc>
        <w:tc>
          <w:tcPr>
            <w:tcW w:type="dxa" w:w="641"/>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G3</w:t>
            </w:r>
          </w:p>
        </w:tc>
        <w:tc>
          <w:tcPr>
            <w:tcW w:type="dxa" w:w="2066"/>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Approve evidence classification and lifecycle.</w:t>
            </w:r>
          </w:p>
        </w:tc>
      </w:tr>
      <w:tr>
        <w:trPr>
          <w:cantSplit/>
        </w:trPr>
        <w:tc>
          <w:tcPr>
            <w:tcW w:type="dxa" w:w="106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TBR-015</w:t>
            </w:r>
          </w:p>
        </w:tc>
        <w:tc>
          <w:tcPr>
            <w:tcW w:type="dxa" w:w="3277"/>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External evidence-anchor service, cadence, custody, and availability</w:t>
            </w:r>
          </w:p>
        </w:tc>
        <w:tc>
          <w:tcPr>
            <w:tcW w:type="dxa" w:w="220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Evidence and security authorities</w:t>
            </w:r>
          </w:p>
        </w:tc>
        <w:tc>
          <w:tcPr>
            <w:tcW w:type="dxa" w:w="641"/>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G4</w:t>
            </w:r>
          </w:p>
        </w:tc>
        <w:tc>
          <w:tcPr>
            <w:tcW w:type="dxa" w:w="2066"/>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Select anchor and validate custody/failure behavior.</w:t>
            </w:r>
          </w:p>
        </w:tc>
      </w:tr>
      <w:tr>
        <w:trPr>
          <w:cantSplit/>
        </w:trPr>
        <w:tc>
          <w:tcPr>
            <w:tcW w:type="dxa" w:w="106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TBR-016</w:t>
            </w:r>
          </w:p>
        </w:tc>
        <w:tc>
          <w:tcPr>
            <w:tcW w:type="dxa" w:w="3277"/>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Replay-retention windows, semantic identity horizon, and compaction</w:t>
            </w:r>
          </w:p>
        </w:tc>
        <w:tc>
          <w:tcPr>
            <w:tcW w:type="dxa" w:w="220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Security and operations authorities</w:t>
            </w:r>
          </w:p>
        </w:tc>
        <w:tc>
          <w:tcPr>
            <w:tcW w:type="dxa" w:w="641"/>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G3</w:t>
            </w:r>
          </w:p>
        </w:tc>
        <w:tc>
          <w:tcPr>
            <w:tcW w:type="dxa" w:w="2066"/>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Derive from threat and mission timing analysis.</w:t>
            </w:r>
          </w:p>
        </w:tc>
      </w:tr>
      <w:tr>
        <w:trPr>
          <w:cantSplit/>
        </w:trPr>
        <w:tc>
          <w:tcPr>
            <w:tcW w:type="dxa" w:w="106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TBR-017</w:t>
            </w:r>
          </w:p>
        </w:tc>
        <w:tc>
          <w:tcPr>
            <w:tcW w:type="dxa" w:w="3277"/>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Effect-coordination failure model and conflicting-action rules</w:t>
            </w:r>
          </w:p>
        </w:tc>
        <w:tc>
          <w:tcPr>
            <w:tcW w:type="dxa" w:w="220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System, safety, and OT authorities</w:t>
            </w:r>
          </w:p>
        </w:tc>
        <w:tc>
          <w:tcPr>
            <w:tcW w:type="dxa" w:w="641"/>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G3</w:t>
            </w:r>
          </w:p>
        </w:tc>
        <w:tc>
          <w:tcPr>
            <w:tcW w:type="dxa" w:w="2066"/>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Approve failure model and reconciliation semantics.</w:t>
            </w:r>
          </w:p>
        </w:tc>
      </w:tr>
      <w:tr>
        <w:trPr>
          <w:cantSplit/>
        </w:trPr>
        <w:tc>
          <w:tcPr>
            <w:tcW w:type="dxa" w:w="106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TBR-018</w:t>
            </w:r>
          </w:p>
        </w:tc>
        <w:tc>
          <w:tcPr>
            <w:tcW w:type="dxa" w:w="3277"/>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Replica count, quorum, fencing, monotonic anchor, and rollback resistance</w:t>
            </w:r>
          </w:p>
        </w:tc>
        <w:tc>
          <w:tcPr>
            <w:tcW w:type="dxa" w:w="220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Architecture and resilience authorities</w:t>
            </w:r>
          </w:p>
        </w:tc>
        <w:tc>
          <w:tcPr>
            <w:tcW w:type="dxa" w:w="641"/>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G4</w:t>
            </w:r>
          </w:p>
        </w:tc>
        <w:tc>
          <w:tcPr>
            <w:tcW w:type="dxa" w:w="2066"/>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Select HA/state-consistency architecture and test.</w:t>
            </w:r>
          </w:p>
        </w:tc>
      </w:tr>
      <w:tr>
        <w:trPr>
          <w:cantSplit/>
        </w:trPr>
        <w:tc>
          <w:tcPr>
            <w:tcW w:type="dxa" w:w="106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TBR-019</w:t>
            </w:r>
          </w:p>
        </w:tc>
        <w:tc>
          <w:tcPr>
            <w:tcW w:type="dxa" w:w="3277"/>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Authorized degraded modes and partition behavior</w:t>
            </w:r>
          </w:p>
        </w:tc>
        <w:tc>
          <w:tcPr>
            <w:tcW w:type="dxa" w:w="220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Mission, safety, and operations authorities</w:t>
            </w:r>
          </w:p>
        </w:tc>
        <w:tc>
          <w:tcPr>
            <w:tcW w:type="dxa" w:w="641"/>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G4</w:t>
            </w:r>
          </w:p>
        </w:tc>
        <w:tc>
          <w:tcPr>
            <w:tcW w:type="dxa" w:w="2066"/>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Approve mode table and negative tests.</w:t>
            </w:r>
          </w:p>
        </w:tc>
      </w:tr>
      <w:tr>
        <w:trPr>
          <w:cantSplit/>
        </w:trPr>
        <w:tc>
          <w:tcPr>
            <w:tcW w:type="dxa" w:w="106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TBR-020</w:t>
            </w:r>
          </w:p>
        </w:tc>
        <w:tc>
          <w:tcPr>
            <w:tcW w:type="dxa" w:w="3277"/>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Quarantine and recovery authorities, scopes, and workflows</w:t>
            </w:r>
          </w:p>
        </w:tc>
        <w:tc>
          <w:tcPr>
            <w:tcW w:type="dxa" w:w="220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Security and operations authorities</w:t>
            </w:r>
          </w:p>
        </w:tc>
        <w:tc>
          <w:tcPr>
            <w:tcW w:type="dxa" w:w="641"/>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G4</w:t>
            </w:r>
          </w:p>
        </w:tc>
        <w:tc>
          <w:tcPr>
            <w:tcW w:type="dxa" w:w="2066"/>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Approve delegated authorities and exercises.</w:t>
            </w:r>
          </w:p>
        </w:tc>
      </w:tr>
      <w:tr>
        <w:trPr>
          <w:cantSplit/>
        </w:trPr>
        <w:tc>
          <w:tcPr>
            <w:tcW w:type="dxa" w:w="106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TBR-021</w:t>
            </w:r>
          </w:p>
        </w:tc>
        <w:tc>
          <w:tcPr>
            <w:tcW w:type="dxa" w:w="3277"/>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Operator workload, usability, alarm, approval, and recovery targets</w:t>
            </w:r>
          </w:p>
        </w:tc>
        <w:tc>
          <w:tcPr>
            <w:tcW w:type="dxa" w:w="220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Human-systems and operations authorities</w:t>
            </w:r>
          </w:p>
        </w:tc>
        <w:tc>
          <w:tcPr>
            <w:tcW w:type="dxa" w:w="641"/>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G5</w:t>
            </w:r>
          </w:p>
        </w:tc>
        <w:tc>
          <w:tcPr>
            <w:tcW w:type="dxa" w:w="2066"/>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Conduct representative operator evaluation.</w:t>
            </w:r>
          </w:p>
        </w:tc>
      </w:tr>
      <w:tr>
        <w:trPr>
          <w:cantSplit/>
        </w:trPr>
        <w:tc>
          <w:tcPr>
            <w:tcW w:type="dxa" w:w="106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TBR-022</w:t>
            </w:r>
          </w:p>
        </w:tc>
        <w:tc>
          <w:tcPr>
            <w:tcW w:type="dxa" w:w="3277"/>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Representative protocols, PLCs, HIL devices, scan timing, and facility</w:t>
            </w:r>
          </w:p>
        </w:tc>
        <w:tc>
          <w:tcPr>
            <w:tcW w:type="dxa" w:w="220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OT integration and asset owner</w:t>
            </w:r>
          </w:p>
        </w:tc>
        <w:tc>
          <w:tcPr>
            <w:tcW w:type="dxa" w:w="641"/>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G4</w:t>
            </w:r>
          </w:p>
        </w:tc>
        <w:tc>
          <w:tcPr>
            <w:tcW w:type="dxa" w:w="2066"/>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Select representative and qualification environments.</w:t>
            </w:r>
          </w:p>
        </w:tc>
      </w:tr>
      <w:tr>
        <w:trPr>
          <w:cantSplit/>
        </w:trPr>
        <w:tc>
          <w:tcPr>
            <w:tcW w:type="dxa" w:w="106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TBR-023</w:t>
            </w:r>
          </w:p>
        </w:tc>
        <w:tc>
          <w:tcPr>
            <w:tcW w:type="dxa" w:w="3277"/>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Required sensing/model independence and fleet scale profile</w:t>
            </w:r>
          </w:p>
        </w:tc>
        <w:tc>
          <w:tcPr>
            <w:tcW w:type="dxa" w:w="220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Safety, architecture, and program authorities</w:t>
            </w:r>
          </w:p>
        </w:tc>
        <w:tc>
          <w:tcPr>
            <w:tcW w:type="dxa" w:w="641"/>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G4</w:t>
            </w:r>
          </w:p>
        </w:tc>
        <w:tc>
          <w:tcPr>
            <w:tcW w:type="dxa" w:w="2066"/>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Approve independence argument and scale cases.</w:t>
            </w:r>
          </w:p>
        </w:tc>
      </w:tr>
      <w:tr>
        <w:trPr>
          <w:cantSplit/>
        </w:trPr>
        <w:tc>
          <w:tcPr>
            <w:tcW w:type="dxa" w:w="106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TBR-024</w:t>
            </w:r>
          </w:p>
        </w:tc>
        <w:tc>
          <w:tcPr>
            <w:tcW w:type="dxa" w:w="3277"/>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Evidence volume, bandwidth, storage, export, and verification-time limits</w:t>
            </w:r>
          </w:p>
        </w:tc>
        <w:tc>
          <w:tcPr>
            <w:tcW w:type="dxa" w:w="220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Evidence and platform leads</w:t>
            </w:r>
          </w:p>
        </w:tc>
        <w:tc>
          <w:tcPr>
            <w:tcW w:type="dxa" w:w="641"/>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G5</w:t>
            </w:r>
          </w:p>
        </w:tc>
        <w:tc>
          <w:tcPr>
            <w:tcW w:type="dxa" w:w="2066"/>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Measure at target scale and approve capacity.</w:t>
            </w:r>
          </w:p>
        </w:tc>
      </w:tr>
      <w:tr>
        <w:trPr>
          <w:cantSplit/>
        </w:trPr>
        <w:tc>
          <w:tcPr>
            <w:tcW w:type="dxa" w:w="106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TBR-025</w:t>
            </w:r>
          </w:p>
        </w:tc>
        <w:tc>
          <w:tcPr>
            <w:tcW w:type="dxa" w:w="3277"/>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Payload/resource limits and total ownership/operations cost ceilings</w:t>
            </w:r>
          </w:p>
        </w:tc>
        <w:tc>
          <w:tcPr>
            <w:tcW w:type="dxa" w:w="220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Architecture and program management</w:t>
            </w:r>
          </w:p>
        </w:tc>
        <w:tc>
          <w:tcPr>
            <w:tcW w:type="dxa" w:w="641"/>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G4</w:t>
            </w:r>
          </w:p>
        </w:tc>
        <w:tc>
          <w:tcPr>
            <w:tcW w:type="dxa" w:w="2066"/>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Approve interface limits and affordability model.</w:t>
            </w:r>
          </w:p>
        </w:tc>
      </w:tr>
      <w:tr>
        <w:trPr>
          <w:cantSplit/>
        </w:trPr>
        <w:tc>
          <w:tcPr>
            <w:tcW w:type="dxa" w:w="106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TBR-026</w:t>
            </w:r>
          </w:p>
        </w:tc>
        <w:tc>
          <w:tcPr>
            <w:tcW w:type="dxa" w:w="3277"/>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Public interface, disclosure, accessibility, and data-release policy</w:t>
            </w:r>
          </w:p>
        </w:tc>
        <w:tc>
          <w:tcPr>
            <w:tcW w:type="dxa" w:w="220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Communications, privacy, and security authorities</w:t>
            </w:r>
          </w:p>
        </w:tc>
        <w:tc>
          <w:tcPr>
            <w:tcW w:type="dxa" w:w="641"/>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G3</w:t>
            </w:r>
          </w:p>
        </w:tc>
        <w:tc>
          <w:tcPr>
            <w:tcW w:type="dxa" w:w="2066"/>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Approve public data boundary and accessibility target.</w:t>
            </w:r>
          </w:p>
        </w:tc>
      </w:tr>
      <w:tr>
        <w:trPr>
          <w:cantSplit/>
        </w:trPr>
        <w:tc>
          <w:tcPr>
            <w:tcW w:type="dxa" w:w="106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TBR-027</w:t>
            </w:r>
          </w:p>
        </w:tc>
        <w:tc>
          <w:tcPr>
            <w:tcW w:type="dxa" w:w="3277"/>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Delegation and policy conflict precedence</w:t>
            </w:r>
          </w:p>
        </w:tc>
        <w:tc>
          <w:tcPr>
            <w:tcW w:type="dxa" w:w="220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Policy and authorization authorities</w:t>
            </w:r>
          </w:p>
        </w:tc>
        <w:tc>
          <w:tcPr>
            <w:tcW w:type="dxa" w:w="641"/>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G3</w:t>
            </w:r>
          </w:p>
        </w:tc>
        <w:tc>
          <w:tcPr>
            <w:tcW w:type="dxa" w:w="2066"/>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Approve deterministic conflict-resolution rules.</w:t>
            </w:r>
          </w:p>
        </w:tc>
      </w:tr>
      <w:tr>
        <w:trPr>
          <w:cantSplit/>
        </w:trPr>
        <w:tc>
          <w:tcPr>
            <w:tcW w:type="dxa" w:w="106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TBR-028</w:t>
            </w:r>
          </w:p>
        </w:tc>
        <w:tc>
          <w:tcPr>
            <w:tcW w:type="dxa" w:w="3277"/>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Accountable roles, finding severity, risk acceptance, and waiver authorities</w:t>
            </w:r>
          </w:p>
        </w:tc>
        <w:tc>
          <w:tcPr>
            <w:tcW w:type="dxa" w:w="220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Program authority</w:t>
            </w:r>
          </w:p>
        </w:tc>
        <w:tc>
          <w:tcPr>
            <w:tcW w:type="dxa" w:w="641"/>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G0</w:t>
            </w:r>
          </w:p>
        </w:tc>
        <w:tc>
          <w:tcPr>
            <w:tcW w:type="dxa" w:w="2066"/>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Approve governance and RACI baseline.</w:t>
            </w:r>
          </w:p>
        </w:tc>
      </w:tr>
      <w:tr>
        <w:trPr>
          <w:cantSplit/>
        </w:trPr>
        <w:tc>
          <w:tcPr>
            <w:tcW w:type="dxa" w:w="106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TBR-029</w:t>
            </w:r>
          </w:p>
        </w:tc>
        <w:tc>
          <w:tcPr>
            <w:tcW w:type="dxa" w:w="3277"/>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Independent assessor, asset-owner authorization, and deployment evidence period</w:t>
            </w:r>
          </w:p>
        </w:tc>
        <w:tc>
          <w:tcPr>
            <w:tcW w:type="dxa" w:w="220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Program and asset owner</w:t>
            </w:r>
          </w:p>
        </w:tc>
        <w:tc>
          <w:tcPr>
            <w:tcW w:type="dxa" w:w="641"/>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G6</w:t>
            </w:r>
          </w:p>
        </w:tc>
        <w:tc>
          <w:tcPr>
            <w:tcW w:type="dxa" w:w="2066"/>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Name authorities and approve qualification plan.</w:t>
            </w:r>
          </w:p>
        </w:tc>
      </w:tr>
      <w:tr>
        <w:trPr>
          <w:cantSplit/>
        </w:trPr>
        <w:tc>
          <w:tcPr>
            <w:tcW w:type="dxa" w:w="106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TBR-030</w:t>
            </w:r>
          </w:p>
        </w:tc>
        <w:tc>
          <w:tcPr>
            <w:tcW w:type="dxa" w:w="3277"/>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Sector-specific regulatory, certification, safety, and records obligations</w:t>
            </w:r>
          </w:p>
        </w:tc>
        <w:tc>
          <w:tcPr>
            <w:tcW w:type="dxa" w:w="220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Legal, safety, and asset-owner authorities</w:t>
            </w:r>
          </w:p>
        </w:tc>
        <w:tc>
          <w:tcPr>
            <w:tcW w:type="dxa" w:w="641"/>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G4</w:t>
            </w:r>
          </w:p>
        </w:tc>
        <w:tc>
          <w:tcPr>
            <w:tcW w:type="dxa" w:w="2066"/>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Complete applicability assessment.</w:t>
            </w:r>
          </w:p>
        </w:tc>
      </w:tr>
      <w:tr>
        <w:trPr>
          <w:cantSplit/>
        </w:trPr>
        <w:tc>
          <w:tcPr>
            <w:tcW w:type="dxa" w:w="106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TBR-031</w:t>
            </w:r>
          </w:p>
        </w:tc>
        <w:tc>
          <w:tcPr>
            <w:tcW w:type="dxa" w:w="3277"/>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Endurance and soak duration by deployment profile</w:t>
            </w:r>
          </w:p>
        </w:tc>
        <w:tc>
          <w:tcPr>
            <w:tcW w:type="dxa" w:w="220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Operations and performance authorities</w:t>
            </w:r>
          </w:p>
        </w:tc>
        <w:tc>
          <w:tcPr>
            <w:tcW w:type="dxa" w:w="641"/>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G5</w:t>
            </w:r>
          </w:p>
        </w:tc>
        <w:tc>
          <w:tcPr>
            <w:tcW w:type="dxa" w:w="2066"/>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Derive from mission cycle and failure-rate objectives.</w:t>
            </w:r>
          </w:p>
        </w:tc>
      </w:tr>
      <w:tr>
        <w:trPr>
          <w:cantSplit/>
        </w:trPr>
        <w:tc>
          <w:tcPr>
            <w:tcW w:type="dxa" w:w="106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TBR-032</w:t>
            </w:r>
          </w:p>
        </w:tc>
        <w:tc>
          <w:tcPr>
            <w:tcW w:type="dxa" w:w="3277"/>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Mutation-testing or equivalent critical-code test-effectiveness threshold</w:t>
            </w:r>
          </w:p>
        </w:tc>
        <w:tc>
          <w:tcPr>
            <w:tcW w:type="dxa" w:w="220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Independent test authority</w:t>
            </w:r>
          </w:p>
        </w:tc>
        <w:tc>
          <w:tcPr>
            <w:tcW w:type="dxa" w:w="641"/>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G3</w:t>
            </w:r>
          </w:p>
        </w:tc>
        <w:tc>
          <w:tcPr>
            <w:tcW w:type="dxa" w:w="2066"/>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Approve metric and threshold before qualification.</w:t>
            </w:r>
          </w:p>
        </w:tc>
      </w:tr>
      <w:tr>
        <w:trPr>
          <w:cantSplit/>
        </w:trPr>
        <w:tc>
          <w:tcPr>
            <w:tcW w:type="dxa" w:w="106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TBR-033</w:t>
            </w:r>
          </w:p>
        </w:tc>
        <w:tc>
          <w:tcPr>
            <w:tcW w:type="dxa" w:w="3277"/>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Periodic reassessment cadence and triggers</w:t>
            </w:r>
          </w:p>
        </w:tc>
        <w:tc>
          <w:tcPr>
            <w:tcW w:type="dxa" w:w="220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Program and configuration authorities</w:t>
            </w:r>
          </w:p>
        </w:tc>
        <w:tc>
          <w:tcPr>
            <w:tcW w:type="dxa" w:w="641"/>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G6</w:t>
            </w:r>
          </w:p>
        </w:tc>
        <w:tc>
          <w:tcPr>
            <w:tcW w:type="dxa" w:w="2066"/>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Approve lifecycle assurance cadence.</w:t>
            </w:r>
          </w:p>
        </w:tc>
      </w:tr>
      <w:tr>
        <w:trPr>
          <w:cantSplit/>
        </w:trPr>
        <w:tc>
          <w:tcPr>
            <w:tcW w:type="dxa" w:w="106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TBR-034</w:t>
            </w:r>
          </w:p>
        </w:tc>
        <w:tc>
          <w:tcPr>
            <w:tcW w:type="dxa" w:w="3277"/>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Compromise matrix, adversary cases, detection criteria, containment bounds, maximum tolerated effects, and required evidence</w:t>
            </w:r>
          </w:p>
        </w:tc>
        <w:tc>
          <w:tcPr>
            <w:tcW w:type="dxa" w:w="2208"/>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Cybersecurity, safety, and mission authorities</w:t>
            </w:r>
          </w:p>
        </w:tc>
        <w:tc>
          <w:tcPr>
            <w:tcW w:type="dxa" w:w="641"/>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G4</w:t>
            </w:r>
          </w:p>
        </w:tc>
        <w:tc>
          <w:tcPr>
            <w:tcW w:type="dxa" w:w="2066"/>
            <w:shd w:fill="F2F2F2"/>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Approve the compromise model and objective containment tests.</w:t>
            </w:r>
          </w:p>
        </w:tc>
      </w:tr>
      <w:tr>
        <w:trPr>
          <w:cantSplit/>
        </w:trPr>
        <w:tc>
          <w:tcPr>
            <w:tcW w:type="dxa" w:w="106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TBR-035</w:t>
            </w:r>
          </w:p>
        </w:tc>
        <w:tc>
          <w:tcPr>
            <w:tcW w:type="dxa" w:w="3277"/>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Production security-policy transition, permitted infrastructure and credential profile, and supersession authority</w:t>
            </w:r>
          </w:p>
        </w:tc>
        <w:tc>
          <w:tcPr>
            <w:tcW w:type="dxa" w:w="2208"/>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Cybersecurity, safety, program, and asset-owner authorities</w:t>
            </w:r>
          </w:p>
        </w:tc>
        <w:tc>
          <w:tcPr>
            <w:tcW w:type="dxa" w:w="641"/>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G6</w:t>
            </w:r>
          </w:p>
        </w:tc>
        <w:tc>
          <w:tcPr>
            <w:tcW w:type="dxa" w:w="2066"/>
            <w:tcMar>
              <w:top w:w="80" w:type="dxa"/>
              <w:start w:w="100" w:type="dxa"/>
              <w:bottom w:w="80" w:type="dxa"/>
              <w:end w:w="100" w:type="dxa"/>
            </w:tcMar>
            <w:vAlign w:val="center"/>
          </w:tcPr>
          <w:p>
            <w:pPr>
              <w:spacing w:after="20" w:line="240" w:lineRule="auto"/>
              <w:jc w:val="left"/>
            </w:pPr>
            <w:r>
              <w:rPr>
                <w:rFonts w:ascii="Calibri" w:hAnsi="Calibri"/>
                <w:sz w:val="15"/>
              </w:rPr>
            </w:r>
            <w:r>
              <w:rPr>
                <w:rFonts w:ascii="Calibri" w:hAnsi="Calibri"/>
                <w:b w:val="0"/>
                <w:sz w:val="15"/>
              </w:rPr>
              <w:t>Approve the production security-policy baseline before deployment authorization.</w:t>
            </w:r>
          </w:p>
        </w:tc>
      </w:tr>
    </w:tbl>
    <w:p>
      <w:pPr>
        <w:pStyle w:val="Heading1"/>
        <w:keepNext/>
        <w:pageBreakBefore/>
      </w:pPr>
      <w:r>
        <w:t>9  Requirements management and change control</w:t>
      </w:r>
    </w:p>
    <w:p>
      <w:r>
        <w:t>This baseline contains 223 normative requirements. The requirements database or verification matrix shall preserve every identifier, text revision, rationale, allocation, applicability, verification method, acceptance threshold, evidence link, status, owner, finding, waiver, and approval disposition.</w:t>
      </w:r>
    </w:p>
    <w:p>
      <w:pPr>
        <w:pStyle w:val="Heading2"/>
        <w:keepNext/>
        <w:pageBreakBefore w:val="0"/>
      </w:pPr>
      <w:r>
        <w:t>9.1  Required traceability record</w:t>
      </w:r>
    </w:p>
    <w:tbl>
      <w:tblPr>
        <w:tblStyle w:val="TableGrid"/>
        <w:tblW w:type="dxa" w:w="9260"/>
        <w:jc w:val="center"/>
        <w:tblLayout w:type="fixed"/>
        <w:tblLook w:firstColumn="1" w:firstRow="1" w:lastColumn="0" w:lastRow="0" w:noHBand="0" w:noVBand="1" w:val="04A0"/>
        <w:tblInd w:w="100" w:type="dxa"/>
      </w:tblPr>
      <w:tblGrid>
        <w:gridCol w:w="1923"/>
        <w:gridCol w:w="7337"/>
      </w:tblGrid>
      <w:tr>
        <w:trPr>
          <w:tblHeader w:val="true"/>
          <w:cantSplit/>
        </w:trPr>
        <w:tc>
          <w:tcPr>
            <w:tcW w:type="dxa" w:w="1923"/>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7"/>
              </w:rPr>
            </w:r>
            <w:r>
              <w:rPr>
                <w:rFonts w:ascii="Calibri" w:hAnsi="Calibri"/>
                <w:b/>
                <w:color w:val="FFFFFF"/>
                <w:sz w:val="17"/>
              </w:rPr>
              <w:t>Record area</w:t>
            </w:r>
          </w:p>
        </w:tc>
        <w:tc>
          <w:tcPr>
            <w:tcW w:type="dxa" w:w="7337"/>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7"/>
              </w:rPr>
            </w:r>
            <w:r>
              <w:rPr>
                <w:rFonts w:ascii="Calibri" w:hAnsi="Calibri"/>
                <w:b/>
                <w:color w:val="FFFFFF"/>
                <w:sz w:val="17"/>
              </w:rPr>
              <w:t>Required fields</w:t>
            </w:r>
          </w:p>
        </w:tc>
      </w:tr>
      <w:tr>
        <w:trPr>
          <w:cantSplit/>
        </w:trPr>
        <w:tc>
          <w:tcPr>
            <w:tcW w:type="dxa" w:w="1923"/>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Identity</w:t>
            </w:r>
          </w:p>
        </w:tc>
        <w:tc>
          <w:tcPr>
            <w:tcW w:type="dxa" w:w="7337"/>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Requirement ID, revision, title, normative text, class, and applicability.</w:t>
            </w:r>
          </w:p>
        </w:tc>
      </w:tr>
      <w:tr>
        <w:trPr>
          <w:cantSplit/>
        </w:trPr>
        <w:tc>
          <w:tcPr>
            <w:tcW w:type="dxa" w:w="1923"/>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Engineering basis</w:t>
            </w:r>
          </w:p>
        </w:tc>
        <w:tc>
          <w:tcPr>
            <w:tcW w:type="dxa" w:w="7337"/>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Source, rationale, assumptions, dependencies, trust boundary, hazard/threat relationship, and allocated component.</w:t>
            </w:r>
          </w:p>
        </w:tc>
      </w:tr>
      <w:tr>
        <w:trPr>
          <w:cantSplit/>
        </w:trPr>
        <w:tc>
          <w:tcPr>
            <w:tcW w:type="dxa" w:w="1923"/>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Verification</w:t>
            </w:r>
          </w:p>
        </w:tc>
        <w:tc>
          <w:tcPr>
            <w:tcW w:type="dxa" w:w="7337"/>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Method, procedure or test ID, configuration, acceptance threshold, environment, assessor, result, artifact, and date.</w:t>
            </w:r>
          </w:p>
        </w:tc>
      </w:tr>
      <w:tr>
        <w:trPr>
          <w:cantSplit/>
        </w:trPr>
        <w:tc>
          <w:tcPr>
            <w:tcW w:type="dxa" w:w="1923"/>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Disposition</w:t>
            </w:r>
          </w:p>
        </w:tc>
        <w:tc>
          <w:tcPr>
            <w:tcW w:type="dxa" w:w="7337"/>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Implementation state, claim state, finding status, residual risk, waiver/deviation, approving authority, and affected release.</w:t>
            </w:r>
          </w:p>
        </w:tc>
      </w:tr>
      <w:tr>
        <w:trPr>
          <w:cantSplit/>
        </w:trPr>
        <w:tc>
          <w:tcPr>
            <w:tcW w:type="dxa" w:w="1923"/>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Change history</w:t>
            </w:r>
          </w:p>
        </w:tc>
        <w:tc>
          <w:tcPr>
            <w:tcW w:type="dxa" w:w="7337"/>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Old and new text, rationale, impact analysis, originator, reviewers, approval, and effective baseline.</w:t>
            </w:r>
          </w:p>
        </w:tc>
      </w:tr>
    </w:tbl>
    <w:p>
      <w:pPr>
        <w:pStyle w:val="Heading2"/>
        <w:keepNext/>
        <w:pageBreakBefore w:val="0"/>
      </w:pPr>
      <w:r>
        <w:t>9.2  Change evaluation</w:t>
      </w:r>
    </w:p>
    <w:p>
      <w:pPr>
        <w:spacing w:after="60"/>
        <w:ind w:left="360" w:hanging="360"/>
      </w:pPr>
      <w:r>
        <w:rPr>
          <w:b/>
        </w:rPr>
        <w:t xml:space="preserve">1. </w:t>
      </w:r>
      <w:r>
        <w:t>Determine affected requirements, components, schemas, topology, trust, policy, models, hazards, threats, test cases, retained evidence, deployment artifacts, and runbooks.</w:t>
      </w:r>
    </w:p>
    <w:p>
      <w:pPr>
        <w:spacing w:after="60"/>
        <w:ind w:left="360" w:hanging="360"/>
      </w:pPr>
      <w:r>
        <w:rPr>
          <w:b/>
        </w:rPr>
        <w:t xml:space="preserve">2. </w:t>
      </w:r>
      <w:r>
        <w:t>Invalidate decisions, permits, caches, or evidence claims whose bound input changed.</w:t>
      </w:r>
    </w:p>
    <w:p>
      <w:pPr>
        <w:spacing w:after="60"/>
        <w:ind w:left="360" w:hanging="360"/>
      </w:pPr>
      <w:r>
        <w:rPr>
          <w:b/>
        </w:rPr>
        <w:t xml:space="preserve">3. </w:t>
      </w:r>
      <w:r>
        <w:t>Re-run the required positive, negative, fault, performance, and formal checks from a clean exact-source state.</w:t>
      </w:r>
    </w:p>
    <w:p>
      <w:pPr>
        <w:spacing w:after="60"/>
        <w:ind w:left="360" w:hanging="360"/>
      </w:pPr>
      <w:r>
        <w:rPr>
          <w:b/>
        </w:rPr>
        <w:t xml:space="preserve">4. </w:t>
      </w:r>
      <w:r>
        <w:t>Record the change before describing the updated capability as accepted, qualified, deployed, or effective.</w:t>
      </w:r>
    </w:p>
    <w:p>
      <w:pPr>
        <w:pStyle w:val="Heading2"/>
        <w:keepNext/>
        <w:pageBreakBefore w:val="0"/>
      </w:pPr>
      <w:r>
        <w:t>9.3  Decision gates for program leadership</w:t>
      </w:r>
    </w:p>
    <w:tbl>
      <w:tblPr>
        <w:tblStyle w:val="TableGrid"/>
        <w:tblW w:type="dxa" w:w="9260"/>
        <w:jc w:val="center"/>
        <w:tblLayout w:type="fixed"/>
        <w:tblLook w:firstColumn="1" w:firstRow="1" w:lastColumn="0" w:lastRow="0" w:noHBand="0" w:noVBand="1" w:val="04A0"/>
        <w:tblInd w:w="100" w:type="dxa"/>
      </w:tblPr>
      <w:tblGrid>
        <w:gridCol w:w="2351"/>
        <w:gridCol w:w="4131"/>
        <w:gridCol w:w="2778"/>
      </w:tblGrid>
      <w:tr>
        <w:trPr>
          <w:tblHeader w:val="true"/>
          <w:cantSplit/>
        </w:trPr>
        <w:tc>
          <w:tcPr>
            <w:tcW w:type="dxa" w:w="2351"/>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6"/>
              </w:rPr>
            </w:r>
            <w:r>
              <w:rPr>
                <w:rFonts w:ascii="Calibri" w:hAnsi="Calibri"/>
                <w:b/>
                <w:color w:val="FFFFFF"/>
                <w:sz w:val="16"/>
              </w:rPr>
              <w:t>Decision</w:t>
            </w:r>
          </w:p>
        </w:tc>
        <w:tc>
          <w:tcPr>
            <w:tcW w:type="dxa" w:w="4131"/>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6"/>
              </w:rPr>
            </w:r>
            <w:r>
              <w:rPr>
                <w:rFonts w:ascii="Calibri" w:hAnsi="Calibri"/>
                <w:b/>
                <w:color w:val="FFFFFF"/>
                <w:sz w:val="16"/>
              </w:rPr>
              <w:t>Required basis</w:t>
            </w:r>
          </w:p>
        </w:tc>
        <w:tc>
          <w:tcPr>
            <w:tcW w:type="dxa" w:w="277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6"/>
              </w:rPr>
            </w:r>
            <w:r>
              <w:rPr>
                <w:rFonts w:ascii="Calibri" w:hAnsi="Calibri"/>
                <w:b/>
                <w:color w:val="FFFFFF"/>
                <w:sz w:val="16"/>
              </w:rPr>
              <w:t>Consequence</w:t>
            </w:r>
          </w:p>
        </w:tc>
      </w:tr>
      <w:tr>
        <w:trPr>
          <w:cantSplit/>
        </w:trPr>
        <w:tc>
          <w:tcPr>
            <w:tcW w:type="dxa" w:w="2351"/>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Approve the system boundary</w:t>
            </w:r>
          </w:p>
        </w:tc>
        <w:tc>
          <w:tcPr>
            <w:tcW w:type="dxa" w:w="4131"/>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TBR-001, TBR-002, and accountable ownership are closed.</w:t>
            </w:r>
          </w:p>
        </w:tc>
        <w:tc>
          <w:tcPr>
            <w:tcW w:type="dxa" w:w="2778"/>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Without it, ‘all requirements’ cannot be deployment-specific.</w:t>
            </w:r>
          </w:p>
        </w:tc>
      </w:tr>
      <w:tr>
        <w:trPr>
          <w:cantSplit/>
        </w:trPr>
        <w:tc>
          <w:tcPr>
            <w:tcW w:type="dxa" w:w="2351"/>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Approve the assurance architecture</w:t>
            </w:r>
          </w:p>
        </w:tc>
        <w:tc>
          <w:tcPr>
            <w:tcW w:type="dxa" w:w="4131"/>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Identity, policy/approval, sensing/model independence, coordination failure model, and HA choices are closed.</w:t>
            </w:r>
          </w:p>
        </w:tc>
        <w:tc>
          <w:tcPr>
            <w:tcW w:type="dxa" w:w="2778"/>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These choices determine the enforceable trust and safety claim.</w:t>
            </w:r>
          </w:p>
        </w:tc>
      </w:tr>
      <w:tr>
        <w:trPr>
          <w:cantSplit/>
        </w:trPr>
        <w:tc>
          <w:tcPr>
            <w:tcW w:type="dxa" w:w="2351"/>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Authorize representative validation</w:t>
            </w:r>
          </w:p>
        </w:tc>
        <w:tc>
          <w:tcPr>
            <w:tcW w:type="dxa" w:w="4131"/>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G0–G3 accepted; physical/HIL environment and hazards approved.</w:t>
            </w:r>
          </w:p>
        </w:tc>
        <w:tc>
          <w:tcPr>
            <w:tcW w:type="dxa" w:w="2778"/>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Prevents research infrastructure from being treated as authorized OT.</w:t>
            </w:r>
          </w:p>
        </w:tc>
      </w:tr>
      <w:tr>
        <w:trPr>
          <w:cantSplit/>
        </w:trPr>
        <w:tc>
          <w:tcPr>
            <w:tcW w:type="dxa" w:w="2351"/>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Authorize independent qualification</w:t>
            </w:r>
          </w:p>
        </w:tc>
        <w:tc>
          <w:tcPr>
            <w:tcW w:type="dxa" w:w="4131"/>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G4–G6 criteria and evidence packages accepted for assessment.</w:t>
            </w:r>
          </w:p>
        </w:tc>
        <w:tc>
          <w:tcPr>
            <w:tcW w:type="dxa" w:w="2778"/>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Establishes independent custody and exit evidence.</w:t>
            </w:r>
          </w:p>
        </w:tc>
      </w:tr>
      <w:tr>
        <w:trPr>
          <w:cantSplit/>
        </w:trPr>
        <w:tc>
          <w:tcPr>
            <w:tcW w:type="dxa" w:w="2351"/>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Authorize deployment</w:t>
            </w:r>
          </w:p>
        </w:tc>
        <w:tc>
          <w:tcPr>
            <w:tcW w:type="dxa" w:w="4131"/>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G7 accepted by named asset-owner, safety, cybersecurity, operations, and program authorities.</w:t>
            </w:r>
          </w:p>
        </w:tc>
        <w:tc>
          <w:tcPr>
            <w:tcW w:type="dxa" w:w="2778"/>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Deployment remains site-specific and does not establish effectiveness by itself.</w:t>
            </w:r>
          </w:p>
        </w:tc>
      </w:tr>
    </w:tbl>
    <w:p>
      <w:pPr>
        <w:pStyle w:val="Heading1"/>
        <w:keepNext/>
        <w:pageBreakBefore/>
      </w:pPr>
      <w:r>
        <w:t>Appendix A  Requirement inventory</w:t>
      </w:r>
    </w:p>
    <w:tbl>
      <w:tblPr>
        <w:tblStyle w:val="TableGrid"/>
        <w:tblW w:type="dxa" w:w="9260"/>
        <w:jc w:val="center"/>
        <w:tblLayout w:type="fixed"/>
        <w:tblLook w:firstColumn="1" w:firstRow="1" w:lastColumn="0" w:lastRow="0" w:noHBand="0" w:noVBand="1" w:val="04A0"/>
        <w:tblInd w:w="100" w:type="dxa"/>
      </w:tblPr>
      <w:tblGrid>
        <w:gridCol w:w="1068"/>
        <w:gridCol w:w="3775"/>
        <w:gridCol w:w="784"/>
        <w:gridCol w:w="3633"/>
      </w:tblGrid>
      <w:tr>
        <w:trPr>
          <w:tblHeader w:val="true"/>
          <w:cantSplit/>
        </w:trPr>
        <w:tc>
          <w:tcPr>
            <w:tcW w:type="dxa" w:w="1068"/>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6"/>
              </w:rPr>
            </w:r>
            <w:r>
              <w:rPr>
                <w:rFonts w:ascii="Calibri" w:hAnsi="Calibri"/>
                <w:b/>
                <w:color w:val="FFFFFF"/>
                <w:sz w:val="16"/>
              </w:rPr>
              <w:t>Domain</w:t>
            </w:r>
          </w:p>
        </w:tc>
        <w:tc>
          <w:tcPr>
            <w:tcW w:type="dxa" w:w="3775"/>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6"/>
              </w:rPr>
            </w:r>
            <w:r>
              <w:rPr>
                <w:rFonts w:ascii="Calibri" w:hAnsi="Calibri"/>
                <w:b/>
                <w:color w:val="FFFFFF"/>
                <w:sz w:val="16"/>
              </w:rPr>
              <w:t>Title</w:t>
            </w:r>
          </w:p>
        </w:tc>
        <w:tc>
          <w:tcPr>
            <w:tcW w:type="dxa" w:w="784"/>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6"/>
              </w:rPr>
            </w:r>
            <w:r>
              <w:rPr>
                <w:rFonts w:ascii="Calibri" w:hAnsi="Calibri"/>
                <w:b/>
                <w:color w:val="FFFFFF"/>
                <w:sz w:val="16"/>
              </w:rPr>
              <w:t>Count</w:t>
            </w:r>
          </w:p>
        </w:tc>
        <w:tc>
          <w:tcPr>
            <w:tcW w:type="dxa" w:w="3633"/>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6"/>
              </w:rPr>
            </w:r>
            <w:r>
              <w:rPr>
                <w:rFonts w:ascii="Calibri" w:hAnsi="Calibri"/>
                <w:b/>
                <w:color w:val="FFFFFF"/>
                <w:sz w:val="16"/>
              </w:rPr>
              <w:t>Primary allocation</w:t>
            </w:r>
          </w:p>
        </w:tc>
      </w:tr>
      <w:tr>
        <w:trPr>
          <w:cantSplit/>
        </w:trPr>
        <w:tc>
          <w:tcPr>
            <w:tcW w:type="dxa" w:w="1068"/>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SYS</w:t>
            </w:r>
          </w:p>
        </w:tc>
        <w:tc>
          <w:tcPr>
            <w:tcW w:type="dxa" w:w="3775"/>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Mission, scope, and assurance profiles</w:t>
            </w:r>
          </w:p>
        </w:tc>
        <w:tc>
          <w:tcPr>
            <w:tcW w:type="dxa" w:w="784"/>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11</w:t>
            </w:r>
          </w:p>
        </w:tc>
        <w:tc>
          <w:tcPr>
            <w:tcW w:type="dxa" w:w="3633"/>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Program technical authority; system engineering</w:t>
            </w:r>
          </w:p>
        </w:tc>
      </w:tr>
      <w:tr>
        <w:trPr>
          <w:cantSplit/>
        </w:trPr>
        <w:tc>
          <w:tcPr>
            <w:tcW w:type="dxa" w:w="1068"/>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ARCH</w:t>
            </w:r>
          </w:p>
        </w:tc>
        <w:tc>
          <w:tcPr>
            <w:tcW w:type="dxa" w:w="3775"/>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Architecture, separation, and control ownership</w:t>
            </w:r>
          </w:p>
        </w:tc>
        <w:tc>
          <w:tcPr>
            <w:tcW w:type="dxa" w:w="784"/>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9</w:t>
            </w:r>
          </w:p>
        </w:tc>
        <w:tc>
          <w:tcPr>
            <w:tcW w:type="dxa" w:w="3633"/>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Chief architect; platform and OT integration leads</w:t>
            </w:r>
          </w:p>
        </w:tc>
      </w:tr>
      <w:tr>
        <w:trPr>
          <w:cantSplit/>
        </w:trPr>
        <w:tc>
          <w:tcPr>
            <w:tcW w:type="dxa" w:w="1068"/>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AUTH</w:t>
            </w:r>
          </w:p>
        </w:tc>
        <w:tc>
          <w:tcPr>
            <w:tcW w:type="dxa" w:w="3775"/>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Identity, authentication, and trust lifecycle</w:t>
            </w:r>
          </w:p>
        </w:tc>
        <w:tc>
          <w:tcPr>
            <w:tcW w:type="dxa" w:w="784"/>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12</w:t>
            </w:r>
          </w:p>
        </w:tc>
        <w:tc>
          <w:tcPr>
            <w:tcW w:type="dxa" w:w="3633"/>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Identity authority; security engineering; gateway team</w:t>
            </w:r>
          </w:p>
        </w:tc>
      </w:tr>
      <w:tr>
        <w:trPr>
          <w:cantSplit/>
        </w:trPr>
        <w:tc>
          <w:tcPr>
            <w:tcW w:type="dxa" w:w="1068"/>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DELG</w:t>
            </w:r>
          </w:p>
        </w:tc>
        <w:tc>
          <w:tcPr>
            <w:tcW w:type="dxa" w:w="3775"/>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Delegation and authority containment</w:t>
            </w:r>
          </w:p>
        </w:tc>
        <w:tc>
          <w:tcPr>
            <w:tcW w:type="dxa" w:w="784"/>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9</w:t>
            </w:r>
          </w:p>
        </w:tc>
        <w:tc>
          <w:tcPr>
            <w:tcW w:type="dxa" w:w="3633"/>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Authorization service; policy authority; gateway team</w:t>
            </w:r>
          </w:p>
        </w:tc>
      </w:tr>
      <w:tr>
        <w:trPr>
          <w:cantSplit/>
        </w:trPr>
        <w:tc>
          <w:tcPr>
            <w:tcW w:type="dxa" w:w="1068"/>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POL</w:t>
            </w:r>
          </w:p>
        </w:tc>
        <w:tc>
          <w:tcPr>
            <w:tcW w:type="dxa" w:w="3775"/>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Policy, human approval, quarantine, and recovery authority</w:t>
            </w:r>
          </w:p>
        </w:tc>
        <w:tc>
          <w:tcPr>
            <w:tcW w:type="dxa" w:w="784"/>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11</w:t>
            </w:r>
          </w:p>
        </w:tc>
        <w:tc>
          <w:tcPr>
            <w:tcW w:type="dxa" w:w="3633"/>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Policy authority; operations authority; human-factors lead</w:t>
            </w:r>
          </w:p>
        </w:tc>
      </w:tr>
      <w:tr>
        <w:trPr>
          <w:cantSplit/>
        </w:trPr>
        <w:tc>
          <w:tcPr>
            <w:tcW w:type="dxa" w:w="1068"/>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OBS</w:t>
            </w:r>
          </w:p>
        </w:tc>
        <w:tc>
          <w:tcPr>
            <w:tcW w:type="dxa" w:w="3775"/>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Observation, state integrity, and trusted time</w:t>
            </w:r>
          </w:p>
        </w:tc>
        <w:tc>
          <w:tcPr>
            <w:tcW w:type="dxa" w:w="784"/>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10</w:t>
            </w:r>
          </w:p>
        </w:tc>
        <w:tc>
          <w:tcPr>
            <w:tcW w:type="dxa" w:w="3633"/>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Observation service; time service; OT integration team</w:t>
            </w:r>
          </w:p>
        </w:tc>
      </w:tr>
      <w:tr>
        <w:trPr>
          <w:cantSplit/>
        </w:trPr>
        <w:tc>
          <w:tcPr>
            <w:tcW w:type="dxa" w:w="1068"/>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SAFE</w:t>
            </w:r>
          </w:p>
        </w:tc>
        <w:tc>
          <w:tcPr>
            <w:tcW w:type="dxa" w:w="3775"/>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Consequence evaluation and safety enforcement</w:t>
            </w:r>
          </w:p>
        </w:tc>
        <w:tc>
          <w:tcPr>
            <w:tcW w:type="dxa" w:w="784"/>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11</w:t>
            </w:r>
          </w:p>
        </w:tc>
        <w:tc>
          <w:tcPr>
            <w:tcW w:type="dxa" w:w="3633"/>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Safety engineering; model authority; independent evaluator team</w:t>
            </w:r>
          </w:p>
        </w:tc>
      </w:tr>
      <w:tr>
        <w:trPr>
          <w:cantSplit/>
        </w:trPr>
        <w:tc>
          <w:tcPr>
            <w:tcW w:type="dxa" w:w="1068"/>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EXEC</w:t>
            </w:r>
          </w:p>
        </w:tc>
        <w:tc>
          <w:tcPr>
            <w:tcW w:type="dxa" w:w="3775"/>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Permit issuance and near-actuation enforcement</w:t>
            </w:r>
          </w:p>
        </w:tc>
        <w:tc>
          <w:tcPr>
            <w:tcW w:type="dxa" w:w="784"/>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12</w:t>
            </w:r>
          </w:p>
        </w:tc>
        <w:tc>
          <w:tcPr>
            <w:tcW w:type="dxa" w:w="3633"/>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Gateway team; OT adapter/PLC team; security engineering</w:t>
            </w:r>
          </w:p>
        </w:tc>
      </w:tr>
      <w:tr>
        <w:trPr>
          <w:cantSplit/>
        </w:trPr>
        <w:tc>
          <w:tcPr>
            <w:tcW w:type="dxa" w:w="1068"/>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COORD</w:t>
            </w:r>
          </w:p>
        </w:tc>
        <w:tc>
          <w:tcPr>
            <w:tcW w:type="dxa" w:w="3775"/>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Replay, effect certainty, concurrency, and reconciliation</w:t>
            </w:r>
          </w:p>
        </w:tc>
        <w:tc>
          <w:tcPr>
            <w:tcW w:type="dxa" w:w="784"/>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17</w:t>
            </w:r>
          </w:p>
        </w:tc>
        <w:tc>
          <w:tcPr>
            <w:tcW w:type="dxa" w:w="3633"/>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Gateway, coordination, OT adapter, and persistence teams</w:t>
            </w:r>
          </w:p>
        </w:tc>
      </w:tr>
      <w:tr>
        <w:trPr>
          <w:cantSplit/>
        </w:trPr>
        <w:tc>
          <w:tcPr>
            <w:tcW w:type="dxa" w:w="1068"/>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NET</w:t>
            </w:r>
          </w:p>
        </w:tc>
        <w:tc>
          <w:tcPr>
            <w:tcW w:type="dxa" w:w="3775"/>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Network, deployment topology, and trust boundaries</w:t>
            </w:r>
          </w:p>
        </w:tc>
        <w:tc>
          <w:tcPr>
            <w:tcW w:type="dxa" w:w="784"/>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11</w:t>
            </w:r>
          </w:p>
        </w:tc>
        <w:tc>
          <w:tcPr>
            <w:tcW w:type="dxa" w:w="3633"/>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Platform, network, security, and deployment engineering</w:t>
            </w:r>
          </w:p>
        </w:tc>
      </w:tr>
      <w:tr>
        <w:trPr>
          <w:cantSplit/>
        </w:trPr>
        <w:tc>
          <w:tcPr>
            <w:tcW w:type="dxa" w:w="1068"/>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RES</w:t>
            </w:r>
          </w:p>
        </w:tc>
        <w:tc>
          <w:tcPr>
            <w:tcW w:type="dxa" w:w="3775"/>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Resilience, degraded operation, and operate-through-compromise</w:t>
            </w:r>
          </w:p>
        </w:tc>
        <w:tc>
          <w:tcPr>
            <w:tcW w:type="dxa" w:w="784"/>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12</w:t>
            </w:r>
          </w:p>
        </w:tc>
        <w:tc>
          <w:tcPr>
            <w:tcW w:type="dxa" w:w="3633"/>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System resilience; cybersecurity; operations authority</w:t>
            </w:r>
          </w:p>
        </w:tc>
      </w:tr>
      <w:tr>
        <w:trPr>
          <w:cantSplit/>
        </w:trPr>
        <w:tc>
          <w:tcPr>
            <w:tcW w:type="dxa" w:w="1068"/>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EVID</w:t>
            </w:r>
          </w:p>
        </w:tc>
        <w:tc>
          <w:tcPr>
            <w:tcW w:type="dxa" w:w="3775"/>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Evidence, provenance, custody, and accountability</w:t>
            </w:r>
          </w:p>
        </w:tc>
        <w:tc>
          <w:tcPr>
            <w:tcW w:type="dxa" w:w="784"/>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13</w:t>
            </w:r>
          </w:p>
        </w:tc>
        <w:tc>
          <w:tcPr>
            <w:tcW w:type="dxa" w:w="3633"/>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Evidence service; test authority; security operations; records owner</w:t>
            </w:r>
          </w:p>
        </w:tc>
      </w:tr>
      <w:tr>
        <w:trPr>
          <w:cantSplit/>
        </w:trPr>
        <w:tc>
          <w:tcPr>
            <w:tcW w:type="dxa" w:w="1068"/>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IF</w:t>
            </w:r>
          </w:p>
        </w:tc>
        <w:tc>
          <w:tcPr>
            <w:tcW w:type="dxa" w:w="3775"/>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Interfaces, schemas, and data contracts</w:t>
            </w:r>
          </w:p>
        </w:tc>
        <w:tc>
          <w:tcPr>
            <w:tcW w:type="dxa" w:w="784"/>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10</w:t>
            </w:r>
          </w:p>
        </w:tc>
        <w:tc>
          <w:tcPr>
            <w:tcW w:type="dxa" w:w="3633"/>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Interface control authority; software architecture; adapter owners</w:t>
            </w:r>
          </w:p>
        </w:tc>
      </w:tr>
      <w:tr>
        <w:trPr>
          <w:cantSplit/>
        </w:trPr>
        <w:tc>
          <w:tcPr>
            <w:tcW w:type="dxa" w:w="1068"/>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PHY</w:t>
            </w:r>
          </w:p>
        </w:tc>
        <w:tc>
          <w:tcPr>
            <w:tcW w:type="dxa" w:w="3775"/>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Physical-system and OT integration</w:t>
            </w:r>
          </w:p>
        </w:tc>
        <w:tc>
          <w:tcPr>
            <w:tcW w:type="dxa" w:w="784"/>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10</w:t>
            </w:r>
          </w:p>
        </w:tc>
        <w:tc>
          <w:tcPr>
            <w:tcW w:type="dxa" w:w="3633"/>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OT integration; controls engineering; safety authority; asset owner</w:t>
            </w:r>
          </w:p>
        </w:tc>
      </w:tr>
      <w:tr>
        <w:trPr>
          <w:cantSplit/>
        </w:trPr>
        <w:tc>
          <w:tcPr>
            <w:tcW w:type="dxa" w:w="1068"/>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HMI</w:t>
            </w:r>
          </w:p>
        </w:tc>
        <w:tc>
          <w:tcPr>
            <w:tcW w:type="dxa" w:w="3775"/>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Operator interaction, explainability, and public demonstration</w:t>
            </w:r>
          </w:p>
        </w:tc>
        <w:tc>
          <w:tcPr>
            <w:tcW w:type="dxa" w:w="784"/>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8</w:t>
            </w:r>
          </w:p>
        </w:tc>
        <w:tc>
          <w:tcPr>
            <w:tcW w:type="dxa" w:w="3633"/>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Human-systems integration; operations; public demo owner</w:t>
            </w:r>
          </w:p>
        </w:tc>
      </w:tr>
      <w:tr>
        <w:trPr>
          <w:cantSplit/>
        </w:trPr>
        <w:tc>
          <w:tcPr>
            <w:tcW w:type="dxa" w:w="1068"/>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PERF</w:t>
            </w:r>
          </w:p>
        </w:tc>
        <w:tc>
          <w:tcPr>
            <w:tcW w:type="dxa" w:w="3775"/>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Performance, scale, capacity, and cost</w:t>
            </w:r>
          </w:p>
        </w:tc>
        <w:tc>
          <w:tcPr>
            <w:tcW w:type="dxa" w:w="784"/>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10</w:t>
            </w:r>
          </w:p>
        </w:tc>
        <w:tc>
          <w:tcPr>
            <w:tcW w:type="dxa" w:w="3633"/>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Performance engineering; platform engineering; program management</w:t>
            </w:r>
          </w:p>
        </w:tc>
      </w:tr>
      <w:tr>
        <w:trPr>
          <w:cantSplit/>
        </w:trPr>
        <w:tc>
          <w:tcPr>
            <w:tcW w:type="dxa" w:w="1068"/>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SEC</w:t>
            </w:r>
          </w:p>
        </w:tc>
        <w:tc>
          <w:tcPr>
            <w:tcW w:type="dxa" w:w="3775"/>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Platform security, privacy, and software supply chain</w:t>
            </w:r>
          </w:p>
        </w:tc>
        <w:tc>
          <w:tcPr>
            <w:tcW w:type="dxa" w:w="784"/>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14</w:t>
            </w:r>
          </w:p>
        </w:tc>
        <w:tc>
          <w:tcPr>
            <w:tcW w:type="dxa" w:w="3633"/>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Product security; platform engineering; privacy and supply-chain authorities</w:t>
            </w:r>
          </w:p>
        </w:tc>
      </w:tr>
      <w:tr>
        <w:trPr>
          <w:cantSplit/>
        </w:trPr>
        <w:tc>
          <w:tcPr>
            <w:tcW w:type="dxa" w:w="1068"/>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OPS</w:t>
            </w:r>
          </w:p>
        </w:tc>
        <w:tc>
          <w:tcPr>
            <w:tcW w:type="dxa" w:w="3775"/>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Operations, maintenance, monitoring, and supportability</w:t>
            </w:r>
          </w:p>
        </w:tc>
        <w:tc>
          <w:tcPr>
            <w:tcW w:type="dxa" w:w="784"/>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10</w:t>
            </w:r>
          </w:p>
        </w:tc>
        <w:tc>
          <w:tcPr>
            <w:tcW w:type="dxa" w:w="3633"/>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Operations authority; site reliability; identity, policy, and OT administrators</w:t>
            </w:r>
          </w:p>
        </w:tc>
      </w:tr>
      <w:tr>
        <w:trPr>
          <w:cantSplit/>
        </w:trPr>
        <w:tc>
          <w:tcPr>
            <w:tcW w:type="dxa" w:w="1068"/>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VV</w:t>
            </w:r>
          </w:p>
        </w:tc>
        <w:tc>
          <w:tcPr>
            <w:tcW w:type="dxa" w:w="3775"/>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Verification, validation, and qualification</w:t>
            </w:r>
          </w:p>
        </w:tc>
        <w:tc>
          <w:tcPr>
            <w:tcW w:type="dxa" w:w="784"/>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13</w:t>
            </w:r>
          </w:p>
        </w:tc>
        <w:tc>
          <w:tcPr>
            <w:tcW w:type="dxa" w:w="3633"/>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Independent test authority; safety and security assessors; CI owners</w:t>
            </w:r>
          </w:p>
        </w:tc>
      </w:tr>
      <w:tr>
        <w:trPr>
          <w:cantSplit/>
        </w:trPr>
        <w:tc>
          <w:tcPr>
            <w:tcW w:type="dxa" w:w="1068"/>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GOV</w:t>
            </w:r>
          </w:p>
        </w:tc>
        <w:tc>
          <w:tcPr>
            <w:tcW w:type="dxa" w:w="3775"/>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Governance, configuration control, release, and authorization</w:t>
            </w:r>
          </w:p>
        </w:tc>
        <w:tc>
          <w:tcPr>
            <w:tcW w:type="dxa" w:w="784"/>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10</w:t>
            </w:r>
          </w:p>
        </w:tc>
        <w:tc>
          <w:tcPr>
            <w:tcW w:type="dxa" w:w="3633"/>
            <w:shd w:fill="F2F2F2"/>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Program authority; configuration control board; safety, security, and asset-owner authorities</w:t>
            </w:r>
          </w:p>
        </w:tc>
      </w:tr>
      <w:tr>
        <w:trPr>
          <w:cantSplit/>
        </w:trPr>
        <w:tc>
          <w:tcPr>
            <w:tcW w:type="dxa" w:w="1068"/>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TOTAL</w:t>
            </w:r>
          </w:p>
        </w:tc>
        <w:tc>
          <w:tcPr>
            <w:tcW w:type="dxa" w:w="3775"/>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Normative end-state requirements</w:t>
            </w:r>
          </w:p>
        </w:tc>
        <w:tc>
          <w:tcPr>
            <w:tcW w:type="dxa" w:w="784"/>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223</w:t>
            </w:r>
          </w:p>
        </w:tc>
        <w:tc>
          <w:tcPr>
            <w:tcW w:type="dxa" w:w="3633"/>
            <w:tcMar>
              <w:top w:w="80" w:type="dxa"/>
              <w:start w:w="100" w:type="dxa"/>
              <w:bottom w:w="80" w:type="dxa"/>
              <w:end w:w="100" w:type="dxa"/>
            </w:tcMar>
            <w:vAlign w:val="center"/>
          </w:tcPr>
          <w:p>
            <w:pPr>
              <w:spacing w:after="20" w:line="240" w:lineRule="auto"/>
              <w:jc w:val="left"/>
            </w:pPr>
            <w:r>
              <w:rPr>
                <w:rFonts w:ascii="Calibri" w:hAnsi="Calibri"/>
                <w:sz w:val="16"/>
              </w:rPr>
            </w:r>
            <w:r>
              <w:rPr>
                <w:rFonts w:ascii="Calibri" w:hAnsi="Calibri"/>
                <w:b w:val="0"/>
                <w:sz w:val="16"/>
              </w:rPr>
              <w:t>All allocated authorities</w:t>
            </w:r>
          </w:p>
        </w:tc>
      </w:tr>
    </w:tbl>
    <w:p>
      <w:pPr>
        <w:pStyle w:val="Heading1"/>
        <w:keepNext/>
        <w:pageBreakBefore/>
      </w:pPr>
      <w:r>
        <w:t>Appendix B  Definitions</w:t>
      </w:r>
    </w:p>
    <w:tbl>
      <w:tblPr>
        <w:tblStyle w:val="TableGrid"/>
        <w:tblW w:type="dxa" w:w="9260"/>
        <w:jc w:val="center"/>
        <w:tblLayout w:type="fixed"/>
        <w:tblLook w:firstColumn="1" w:firstRow="1" w:lastColumn="0" w:lastRow="0" w:noHBand="0" w:noVBand="1" w:val="04A0"/>
        <w:tblInd w:w="100" w:type="dxa"/>
      </w:tblPr>
      <w:tblGrid>
        <w:gridCol w:w="2351"/>
        <w:gridCol w:w="6909"/>
      </w:tblGrid>
      <w:tr>
        <w:trPr>
          <w:tblHeader w:val="true"/>
          <w:cantSplit/>
        </w:trPr>
        <w:tc>
          <w:tcPr>
            <w:tcW w:type="dxa" w:w="2351"/>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7"/>
              </w:rPr>
            </w:r>
            <w:r>
              <w:rPr>
                <w:rFonts w:ascii="Calibri" w:hAnsi="Calibri"/>
                <w:b/>
                <w:color w:val="FFFFFF"/>
                <w:sz w:val="17"/>
              </w:rPr>
              <w:t>Term</w:t>
            </w:r>
          </w:p>
        </w:tc>
        <w:tc>
          <w:tcPr>
            <w:tcW w:type="dxa" w:w="6909"/>
            <w:tcMar>
              <w:top w:w="80" w:type="dxa"/>
              <w:start w:w="100" w:type="dxa"/>
              <w:bottom w:w="80" w:type="dxa"/>
              <w:end w:w="100" w:type="dxa"/>
            </w:tcMar>
            <w:vAlign w:val="center"/>
            <w:shd w:fill="17365D"/>
          </w:tcPr>
          <w:p>
            <w:pPr>
              <w:spacing w:after="20" w:line="240" w:lineRule="auto"/>
              <w:jc w:val="center"/>
            </w:pPr>
            <w:r>
              <w:rPr>
                <w:rFonts w:ascii="Calibri" w:hAnsi="Calibri"/>
                <w:b/>
                <w:color w:val="FFFFFF"/>
                <w:sz w:val="17"/>
              </w:rPr>
            </w:r>
            <w:r>
              <w:rPr>
                <w:rFonts w:ascii="Calibri" w:hAnsi="Calibri"/>
                <w:b/>
                <w:color w:val="FFFFFF"/>
                <w:sz w:val="17"/>
              </w:rPr>
              <w:t>Definition</w:t>
            </w:r>
          </w:p>
        </w:tc>
      </w:tr>
      <w:tr>
        <w:trPr>
          <w:cantSplit/>
        </w:trPr>
        <w:tc>
          <w:tcPr>
            <w:tcW w:type="dxa" w:w="2351"/>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Agent</w:t>
            </w:r>
          </w:p>
        </w:tc>
        <w:tc>
          <w:tcPr>
            <w:tcW w:type="dxa" w:w="6909"/>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An AI-enabled or automated workload that proposes an action but has no inherent consequential authority.</w:t>
            </w:r>
          </w:p>
        </w:tc>
      </w:tr>
      <w:tr>
        <w:trPr>
          <w:cantSplit/>
        </w:trPr>
        <w:tc>
          <w:tcPr>
            <w:tcW w:type="dxa" w:w="2351"/>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Assurance control plane</w:t>
            </w:r>
          </w:p>
        </w:tc>
        <w:tc>
          <w:tcPr>
            <w:tcW w:type="dxa" w:w="6909"/>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The independently administered functions that establish whether one bounded effect is eligible and produce accountable evidence.</w:t>
            </w:r>
          </w:p>
        </w:tc>
      </w:tr>
      <w:tr>
        <w:trPr>
          <w:cantSplit/>
        </w:trPr>
        <w:tc>
          <w:tcPr>
            <w:tcW w:type="dxa" w:w="2351"/>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Consequential action</w:t>
            </w:r>
          </w:p>
        </w:tc>
        <w:tc>
          <w:tcPr>
            <w:tcW w:type="dxa" w:w="6909"/>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An action capable of changing an OT process, configuration, protection state, device state, or mission-relevant operating condition.</w:t>
            </w:r>
          </w:p>
        </w:tc>
      </w:tr>
      <w:tr>
        <w:trPr>
          <w:cantSplit/>
        </w:trPr>
        <w:tc>
          <w:tcPr>
            <w:tcW w:type="dxa" w:w="2351"/>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Delegation</w:t>
            </w:r>
          </w:p>
        </w:tc>
        <w:tc>
          <w:tcPr>
            <w:tcW w:type="dxa" w:w="6909"/>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A signed, attenuated grant of authority derived from a trusted root and bounded by scope, time, risk, and depth.</w:t>
            </w:r>
          </w:p>
        </w:tc>
      </w:tr>
      <w:tr>
        <w:trPr>
          <w:cantSplit/>
        </w:trPr>
        <w:tc>
          <w:tcPr>
            <w:tcW w:type="dxa" w:w="2351"/>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Effect identity</w:t>
            </w:r>
          </w:p>
        </w:tc>
        <w:tc>
          <w:tcPr>
            <w:tcW w:type="dxa" w:w="6909"/>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A deterministic identifier for one intended semantic physical effect, independent of message delivery attempts.</w:t>
            </w:r>
          </w:p>
        </w:tc>
      </w:tr>
      <w:tr>
        <w:trPr>
          <w:cantSplit/>
        </w:trPr>
        <w:tc>
          <w:tcPr>
            <w:tcW w:type="dxa" w:w="2351"/>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Evidence anchor</w:t>
            </w:r>
          </w:p>
        </w:tc>
        <w:tc>
          <w:tcPr>
            <w:tcW w:type="dxa" w:w="6909"/>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A separately controlled timestamp, transparency, ledger, or equivalent mechanism that commits to evidence outside the producing host or domain.</w:t>
            </w:r>
          </w:p>
        </w:tc>
      </w:tr>
      <w:tr>
        <w:trPr>
          <w:cantSplit/>
        </w:trPr>
        <w:tc>
          <w:tcPr>
            <w:tcW w:type="dxa" w:w="2351"/>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Execution permit</w:t>
            </w:r>
          </w:p>
        </w:tc>
        <w:tc>
          <w:tcPr>
            <w:tcW w:type="dxa" w:w="6909"/>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A short-lived, signed, audience- and target-bound authorization for one exact command under one exact verified context.</w:t>
            </w:r>
          </w:p>
        </w:tc>
      </w:tr>
      <w:tr>
        <w:trPr>
          <w:cantSplit/>
        </w:trPr>
        <w:tc>
          <w:tcPr>
            <w:tcW w:type="dxa" w:w="2351"/>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Independent</w:t>
            </w:r>
          </w:p>
        </w:tc>
        <w:tc>
          <w:tcPr>
            <w:tcW w:type="dxa" w:w="6909"/>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Organizationally, administratively, technically, or physically separated to the degree defined by the assurance case; not merely a different module in the same custody boundary.</w:t>
            </w:r>
          </w:p>
        </w:tc>
      </w:tr>
      <w:tr>
        <w:trPr>
          <w:cantSplit/>
        </w:trPr>
        <w:tc>
          <w:tcPr>
            <w:tcW w:type="dxa" w:w="2351"/>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Near-actuation enforcement</w:t>
            </w:r>
          </w:p>
        </w:tc>
        <w:tc>
          <w:tcPr>
            <w:tcW w:type="dxa" w:w="6909"/>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Permit and state validation at the closest practical boundary that exclusively controls the consequential plant-apply operation.</w:t>
            </w:r>
          </w:p>
        </w:tc>
      </w:tr>
      <w:tr>
        <w:trPr>
          <w:cantSplit/>
        </w:trPr>
        <w:tc>
          <w:tcPr>
            <w:tcW w:type="dxa" w:w="2351"/>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Representative validation</w:t>
            </w:r>
          </w:p>
        </w:tc>
        <w:tc>
          <w:tcPr>
            <w:tcW w:type="dxa" w:w="6909"/>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Testing in an approved multi-host and OT/HIL environment that reflects selected deployment characteristics but is not production authorization.</w:t>
            </w:r>
          </w:p>
        </w:tc>
      </w:tr>
      <w:tr>
        <w:trPr>
          <w:cantSplit/>
        </w:trPr>
        <w:tc>
          <w:tcPr>
            <w:tcW w:type="dxa" w:w="2351"/>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TBR</w:t>
            </w:r>
          </w:p>
        </w:tc>
        <w:tc>
          <w:tcPr>
            <w:tcW w:type="dxa" w:w="6909"/>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A controlled unresolved decision or value whose closure requires named authority and objective evidence.</w:t>
            </w:r>
          </w:p>
        </w:tc>
      </w:tr>
      <w:tr>
        <w:trPr>
          <w:cantSplit/>
        </w:trPr>
        <w:tc>
          <w:tcPr>
            <w:tcW w:type="dxa" w:w="2351"/>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Unknown effect</w:t>
            </w:r>
          </w:p>
        </w:tc>
        <w:tc>
          <w:tcPr>
            <w:tcW w:type="dxa" w:w="6909"/>
            <w:shd w:fill="F2F2F2"/>
            <w:tcMar>
              <w:top w:w="80" w:type="dxa"/>
              <w:start w:w="100" w:type="dxa"/>
              <w:bottom w:w="80" w:type="dxa"/>
              <w:end w:w="100" w:type="dxa"/>
            </w:tcMar>
            <w:vAlign w:val="center"/>
          </w:tcPr>
          <w:p>
            <w:pPr>
              <w:spacing w:after="20" w:line="240" w:lineRule="auto"/>
              <w:jc w:val="left"/>
            </w:pPr>
            <w:r>
              <w:rPr>
                <w:rFonts w:ascii="Calibri" w:hAnsi="Calibri"/>
                <w:sz w:val="17"/>
              </w:rPr>
            </w:r>
            <w:r>
              <w:rPr>
                <w:rFonts w:ascii="Calibri" w:hAnsi="Calibri"/>
                <w:b w:val="0"/>
                <w:sz w:val="17"/>
              </w:rPr>
              <w:t>A state in which a consequential dispatch may have occurred but available authoritative evidence cannot establish its physical outcome.</w:t>
            </w:r>
          </w:p>
        </w:tc>
      </w:tr>
    </w:tbl>
    <w:p>
      <w:pPr>
        <w:pStyle w:val="Heading1"/>
        <w:keepNext/>
        <w:pageBreakBefore/>
      </w:pPr>
      <w:r>
        <w:t>Appendix C  Final quality and release checklist</w:t>
      </w:r>
    </w:p>
    <w:p>
      <w:pPr>
        <w:spacing w:after="60"/>
        <w:ind w:left="259" w:hanging="259"/>
      </w:pPr>
      <w:r>
        <w:rPr>
          <w:b/>
        </w:rPr>
        <w:t xml:space="preserve">☐ </w:t>
      </w:r>
      <w:r>
        <w:t>All applicable mandatory and conditional requirements have an accepted disposition.</w:t>
      </w:r>
    </w:p>
    <w:p>
      <w:pPr>
        <w:spacing w:after="60"/>
        <w:ind w:left="259" w:hanging="259"/>
      </w:pPr>
      <w:r>
        <w:rPr>
          <w:b/>
        </w:rPr>
        <w:t xml:space="preserve">☐ </w:t>
      </w:r>
      <w:r>
        <w:t>All acceptance-affecting TBRs are closed by the designated authority.</w:t>
      </w:r>
    </w:p>
    <w:p>
      <w:pPr>
        <w:spacing w:after="60"/>
        <w:ind w:left="259" w:hanging="259"/>
      </w:pPr>
      <w:r>
        <w:rPr>
          <w:b/>
        </w:rPr>
        <w:t xml:space="preserve">☐ </w:t>
      </w:r>
      <w:r>
        <w:t>The traceability matrix is complete and bidirectional.</w:t>
      </w:r>
    </w:p>
    <w:p>
      <w:pPr>
        <w:spacing w:after="60"/>
        <w:ind w:left="259" w:hanging="259"/>
      </w:pPr>
      <w:r>
        <w:rPr>
          <w:b/>
        </w:rPr>
        <w:t xml:space="preserve">☐ </w:t>
      </w:r>
      <w:r>
        <w:t>Source, dependencies, schemas, topology, images, configuration, and evidence are exact and immutable.</w:t>
      </w:r>
    </w:p>
    <w:p>
      <w:pPr>
        <w:spacing w:after="60"/>
        <w:ind w:left="259" w:hanging="259"/>
      </w:pPr>
      <w:r>
        <w:rPr>
          <w:b/>
        </w:rPr>
        <w:t xml:space="preserve">☐ </w:t>
      </w:r>
      <w:r>
        <w:t>Positive, negative, fault, formal, performance, physical/HIL, and independent verification evidence is retained as required.</w:t>
      </w:r>
    </w:p>
    <w:p>
      <w:pPr>
        <w:spacing w:after="60"/>
        <w:ind w:left="259" w:hanging="259"/>
      </w:pPr>
      <w:r>
        <w:rPr>
          <w:b/>
        </w:rPr>
        <w:t xml:space="preserve">☐ </w:t>
      </w:r>
      <w:r>
        <w:t>No current failed CI, critical/high finding, evidence-integrity failure, or unresolved effect is hidden by the release decision.</w:t>
      </w:r>
    </w:p>
    <w:p>
      <w:pPr>
        <w:spacing w:after="60"/>
        <w:ind w:left="259" w:hanging="259"/>
      </w:pPr>
      <w:r>
        <w:rPr>
          <w:b/>
        </w:rPr>
        <w:t xml:space="preserve">☐ </w:t>
      </w:r>
      <w:r>
        <w:t>Claim language matches the strongest evidence level and names its environment and date.</w:t>
      </w:r>
    </w:p>
    <w:p>
      <w:pPr>
        <w:spacing w:after="60"/>
        <w:ind w:left="259" w:hanging="259"/>
      </w:pPr>
      <w:r>
        <w:rPr>
          <w:b/>
        </w:rPr>
        <w:t xml:space="preserve">☐ </w:t>
      </w:r>
      <w:r>
        <w:t>Deployment-specific residual risk is accepted by named authorities.</w:t>
      </w:r>
    </w:p>
    <w:p>
      <w:pPr>
        <w:spacing w:after="60"/>
        <w:ind w:left="259" w:hanging="259"/>
      </w:pPr>
      <w:r>
        <w:rPr>
          <w:b/>
        </w:rPr>
        <w:t xml:space="preserve">☐ </w:t>
      </w:r>
      <w:r>
        <w:t>Rollback, recovery, quarantine, and safe shutdown procedures are exercised.</w:t>
      </w:r>
    </w:p>
    <w:p>
      <w:pPr>
        <w:spacing w:after="60"/>
        <w:ind w:left="259" w:hanging="259"/>
      </w:pPr>
      <w:r>
        <w:rPr>
          <w:b/>
        </w:rPr>
        <w:t xml:space="preserve">☐ </w:t>
      </w:r>
      <w:r>
        <w:t>The authoritative document metadata identifies Angelis Pseftis as the sole author and creator.</w:t>
      </w:r>
    </w:p>
    <w:sectPr w:rsidR="00FC693F" w:rsidRPr="0006063C" w:rsidSect="00034616">
      <w:headerReference w:type="default" r:id="rId9"/>
      <w:footerReference w:type="default" r:id="rId10"/>
      <w:pgSz w:w="12240" w:h="15840"/>
      <w:pgMar w:top="1152" w:right="1440" w:bottom="1080"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dxa" w:w="9300"/>
      <w:jc w:val="center"/>
      <w:tblLayout w:type="fixed"/>
      <w:tblLook w:firstColumn="1" w:firstRow="1" w:lastColumn="0" w:lastRow="0" w:noHBand="0" w:noVBand="1" w:val="04A0"/>
      <w:tblInd w:w="60" w:type="dxa"/>
    </w:tblPr>
    <w:tblGrid>
      <w:gridCol w:w="3148"/>
      <w:gridCol w:w="3291"/>
      <w:gridCol w:w="2861"/>
    </w:tblGrid>
    <w:tr>
      <w:trPr>
        <w:cantSplit/>
        <w:tblHeader w:val="true"/>
      </w:trPr>
      <w:tc>
        <w:tcPr>
          <w:tcW w:type="dxa" w:w="3148"/>
          <w:tcMar>
            <w:top w:w="40" w:type="dxa"/>
            <w:start w:w="60" w:type="dxa"/>
            <w:bottom w:w="40" w:type="dxa"/>
            <w:end w:w="60" w:type="dxa"/>
          </w:tcMar>
        </w:tcPr>
        <w:p>
          <w:r>
            <w:rPr>
              <w:sz w:val="16"/>
            </w:rPr>
          </w:r>
          <w:r>
            <w:rPr>
              <w:rFonts w:ascii="Calibri" w:hAnsi="Calibri"/>
              <w:b w:val="0"/>
              <w:color w:val="404040"/>
              <w:sz w:val="16"/>
            </w:rPr>
            <w:t>Angelis Pseftis</w:t>
          </w:r>
        </w:p>
      </w:tc>
      <w:tc>
        <w:tcPr>
          <w:tcW w:type="dxa" w:w="3291"/>
          <w:tcMar>
            <w:top w:w="40" w:type="dxa"/>
            <w:start w:w="60" w:type="dxa"/>
            <w:bottom w:w="40" w:type="dxa"/>
            <w:end w:w="60" w:type="dxa"/>
          </w:tcMar>
        </w:tcPr>
        <w:p>
          <w:pPr>
            <w:jc w:val="center"/>
          </w:pPr>
          <w:r>
            <w:rPr>
              <w:sz w:val="16"/>
            </w:rPr>
          </w:r>
          <w:r>
            <w:rPr>
              <w:rFonts w:ascii="Calibri" w:hAnsi="Calibri"/>
              <w:b/>
              <w:color w:val="9C6500"/>
              <w:sz w:val="16"/>
            </w:rPr>
            <w:t>PROPOSED — NOT APPROVED</w:t>
          </w:r>
        </w:p>
      </w:tc>
      <w:tc>
        <w:tcPr>
          <w:tcW w:type="dxa" w:w="2861"/>
          <w:tcMar>
            <w:top w:w="40" w:type="dxa"/>
            <w:start w:w="60" w:type="dxa"/>
            <w:bottom w:w="40" w:type="dxa"/>
            <w:end w:w="60" w:type="dxa"/>
          </w:tcMar>
        </w:tcPr>
        <w:p>
          <w:pPr>
            <w:jc w:val="right"/>
          </w:pPr>
          <w:r>
            <w:rPr>
              <w:sz w:val="16"/>
            </w:rPr>
            <w:t xml:space="preserve">Page </w:t>
          </w:r>
          <w:r>
            <w:rPr>
              <w:sz w:val="16"/>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dxa" w:w="9280"/>
      <w:jc w:val="center"/>
      <w:tblLayout w:type="fixed"/>
      <w:tblLook w:firstColumn="1" w:firstRow="1" w:lastColumn="0" w:lastRow="0" w:noHBand="0" w:noVBand="1" w:val="04A0"/>
      <w:tblInd w:w="80" w:type="dxa"/>
    </w:tblPr>
    <w:tblGrid>
      <w:gridCol w:w="5140"/>
      <w:gridCol w:w="4140"/>
    </w:tblGrid>
    <w:tr>
      <w:trPr>
        <w:cantSplit/>
        <w:tblHeader w:val="true"/>
      </w:trPr>
      <w:tc>
        <w:tcPr>
          <w:tcW w:type="dxa" w:w="5140"/>
          <w:tcMar>
            <w:top w:w="60" w:type="dxa"/>
            <w:start w:w="80" w:type="dxa"/>
            <w:bottom w:w="60" w:type="dxa"/>
            <w:end w:w="80" w:type="dxa"/>
          </w:tcMar>
          <w:shd w:fill="17365D"/>
        </w:tcPr>
        <w:p>
          <w:r>
            <w:rPr>
              <w:sz w:val="15"/>
            </w:rPr>
          </w:r>
          <w:r>
            <w:rPr>
              <w:rFonts w:ascii="Calibri" w:hAnsi="Calibri"/>
              <w:b/>
              <w:color w:val="FFFFFF"/>
              <w:sz w:val="15"/>
            </w:rPr>
            <w:t>AEGIS-OT  |  END-STATE SYSTEM REQUIREMENTS</w:t>
          </w:r>
        </w:p>
      </w:tc>
      <w:tc>
        <w:tcPr>
          <w:tcW w:type="dxa" w:w="4140"/>
          <w:tcMar>
            <w:top w:w="60" w:type="dxa"/>
            <w:start w:w="80" w:type="dxa"/>
            <w:bottom w:w="60" w:type="dxa"/>
            <w:end w:w="80" w:type="dxa"/>
          </w:tcMar>
          <w:shd w:fill="17365D"/>
        </w:tcPr>
        <w:p>
          <w:pPr>
            <w:jc w:val="right"/>
          </w:pPr>
          <w:r>
            <w:rPr>
              <w:sz w:val="15"/>
            </w:rPr>
          </w:r>
          <w:r>
            <w:rPr>
              <w:rFonts w:ascii="Calibri" w:hAnsi="Calibri"/>
              <w:b/>
              <w:color w:val="FFFFFF"/>
              <w:sz w:val="15"/>
            </w:rPr>
            <w:t>AEGIS-OT-SRS-001  |  REV 1.0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4040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Light" w:hAnsi="Calibri Light"/>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Calibri" w:hAnsi="Calibri"/>
      <w:i/>
      <w:iCs/>
      <w:color w:val="2E74B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60" w:line="252"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DomainIntro">
    <w:name w:val="Requirement Domain Intro"/>
    <w:basedOn w:val="Normal"/>
    <w:pPr>
      <w:spacing w:after="120"/>
    </w:pPr>
    <w:rPr>
      <w:rFonts w:ascii="Calibri" w:hAnsi="Calibri"/>
      <w:i/>
      <w:color w:val="40404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35</Pages>
  <Words>11904</Words>
  <Characters>78695</Characters>
  <Application>Microsoft Macintosh Word</Application>
  <DocSecurity>0</DocSecurity>
  <Lines>0</Lines>
  <Paragraphs>4914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90338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Aegis-OT End-State System Requirements</dc:title>
  <dc:subject>Proposed requirements baseline for the Aegis-OT runtime-assurance control plane</dc:subject>
  <dc:creator>Angelis Pseftis</dc:creator>
  <cp:keywords>Aegis-OT, requirements, OT, runtime assurance, cybersecurity, safety, evidence, verification</cp:keywords>
  <dc:description>Single authoritative proposed end-state requirements document. Not approved; not a deployment or operational-effectiveness claim.</dc:description>
  <cp:lastModifiedBy>Angelis Pseftis</cp:lastModifiedBy>
  <cp:revision>1</cp:revision>
  <dcterms:created xsi:type="dcterms:W3CDTF">2026-08-25T12:00:00Z</dcterms:created>
  <dcterms:modified xsi:type="dcterms:W3CDTF">2026-08-25T23:50:44Z</dcterms:modified>
  <cp:category>Systems Engineering Requirements</cp:category>
</cp:coreProperties>
</file>