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0.1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pStyle w:val="Heading2"/>
        <w:keepNext/>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936"/>
            <w:vAlign w:val="center"/>
            <w:shd w:fill="EAF2F8"/>
            <w:tcMar>
              <w:top w:w="100" w:type="dxa"/>
              <w:start w:w="120" w:type="dxa"/>
              <w:bottom w:w="100" w:type="dxa"/>
              <w:end w:w="120" w:type="dxa"/>
            </w:tcMar>
          </w:tcPr>
          <w:p>
            <w:r>
              <w:rPr>
                <w:rFonts w:ascii="Arial" w:hAnsi="Arial"/>
                <w:b/>
                <w:color w:val="102A43"/>
                <w:sz w:val="18"/>
              </w:rPr>
              <w:t>Revision</w:t>
            </w:r>
          </w:p>
        </w:tc>
        <w:tc>
          <w:tcPr>
            <w:tcW w:type="dxa" w:w="1728"/>
            <w:vAlign w:val="center"/>
            <w:shd w:fill="EAF2F8"/>
            <w:tcMar>
              <w:top w:w="100" w:type="dxa"/>
              <w:start w:w="120" w:type="dxa"/>
              <w:bottom w:w="100" w:type="dxa"/>
              <w:end w:w="120" w:type="dxa"/>
            </w:tcMar>
          </w:tcPr>
          <w:p>
            <w:r>
              <w:rPr>
                <w:rFonts w:ascii="Arial" w:hAnsi="Arial"/>
                <w:b/>
                <w:color w:val="102A43"/>
                <w:sz w:val="18"/>
              </w:rPr>
              <w:t>UTC timestamp</w:t>
            </w:r>
          </w:p>
        </w:tc>
        <w:tc>
          <w:tcPr>
            <w:tcW w:type="dxa" w:w="1512"/>
            <w:vAlign w:val="center"/>
            <w:shd w:fill="EAF2F8"/>
            <w:tcMar>
              <w:top w:w="100" w:type="dxa"/>
              <w:start w:w="120" w:type="dxa"/>
              <w:bottom w:w="100" w:type="dxa"/>
              <w:end w:w="120" w:type="dxa"/>
            </w:tcMar>
          </w:tcPr>
          <w:p>
            <w:r>
              <w:rPr>
                <w:rFonts w:ascii="Arial" w:hAnsi="Arial"/>
                <w:b/>
                <w:color w:val="102A43"/>
                <w:sz w:val="18"/>
              </w:rPr>
              <w:t>Editor</w:t>
            </w:r>
          </w:p>
        </w:tc>
        <w:tc>
          <w:tcPr>
            <w:tcW w:type="dxa" w:w="3672"/>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512"/>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936"/>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672"/>
            <w:vAlign w:val="center"/>
            <w:tcMar>
              <w:top w:w="100" w:type="dxa"/>
              <w:start w:w="120" w:type="dxa"/>
              <w:bottom w:w="100" w:type="dxa"/>
              <w:end w:w="120" w:type="dxa"/>
            </w:tcMar>
          </w:tcPr>
          <w:p>
            <w:pPr>
              <w:spacing w:after="0"/>
            </w:pPr>
            <w:r>
              <w:rPr>
                <w:rFonts w:ascii="Arial" w:hAnsi="Arial"/>
                <w:b w:val="0"/>
                <w:color w:val="102A43"/>
                <w:sz w:val="17"/>
              </w:rPr>
              <w:t>Established the reconstructed research protocol, evidence boundary, requirements, architecture, threat model, formal strategy, experimental method, current implementation evidence, and completion gates.</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results/reproduction-v0.1/manifest.json</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pPr>
        <w:pStyle w:val="Heading1"/>
        <w:keepNext/>
      </w:pPr>
      <w:r>
        <w:t>Contents</w:t>
      </w:r>
    </w:p>
    <w:p>
      <w:pPr>
        <w:pStyle w:val="ListBullet"/>
        <w:spacing w:after="80" w:line="276" w:lineRule="auto"/>
        <w:ind w:left="720" w:hanging="360"/>
      </w:pPr>
      <w:r>
        <w:rPr>
          <w:rFonts w:ascii="Arial" w:hAnsi="Arial"/>
          <w:b w:val="0"/>
          <w:color w:val="102A43"/>
          <w:sz w:val="21"/>
        </w:rPr>
        <w:t>1 Abstract</w:t>
      </w:r>
    </w:p>
    <w:p>
      <w:pPr>
        <w:pStyle w:val="ListBullet"/>
        <w:spacing w:after="80" w:line="276" w:lineRule="auto"/>
        <w:ind w:left="720" w:hanging="360"/>
      </w:pPr>
      <w:r>
        <w:rPr>
          <w:rFonts w:ascii="Arial" w:hAnsi="Arial"/>
          <w:b w:val="0"/>
          <w:color w:val="102A43"/>
          <w:sz w:val="21"/>
        </w:rPr>
        <w:t>2 Executive Summary</w:t>
      </w:r>
    </w:p>
    <w:p>
      <w:pPr>
        <w:pStyle w:val="ListBullet"/>
        <w:spacing w:after="80" w:line="276" w:lineRule="auto"/>
        <w:ind w:left="720" w:hanging="360"/>
      </w:pPr>
      <w:r>
        <w:rPr>
          <w:rFonts w:ascii="Arial" w:hAnsi="Arial"/>
          <w:b w:val="0"/>
          <w:color w:val="102A43"/>
          <w:sz w:val="21"/>
        </w:rPr>
        <w:t>3 Introduction and Research Gap</w:t>
      </w:r>
    </w:p>
    <w:p>
      <w:pPr>
        <w:pStyle w:val="ListBullet"/>
        <w:spacing w:after="80" w:line="276" w:lineRule="auto"/>
        <w:ind w:left="720" w:hanging="360"/>
      </w:pPr>
      <w:r>
        <w:rPr>
          <w:rFonts w:ascii="Arial" w:hAnsi="Arial"/>
          <w:b w:val="0"/>
          <w:color w:val="102A43"/>
          <w:sz w:val="21"/>
        </w:rPr>
        <w:t>4 Research Objectives, Questions, and Hypotheses</w:t>
      </w:r>
    </w:p>
    <w:p>
      <w:pPr>
        <w:pStyle w:val="ListBullet"/>
        <w:spacing w:after="80" w:line="276" w:lineRule="auto"/>
        <w:ind w:left="720" w:hanging="360"/>
      </w:pPr>
      <w:r>
        <w:rPr>
          <w:rFonts w:ascii="Arial" w:hAnsi="Arial"/>
          <w:b w:val="0"/>
          <w:color w:val="102A43"/>
          <w:sz w:val="21"/>
        </w:rPr>
        <w:t>5 Scope, Assumptions, and Claim Boundaries</w:t>
      </w:r>
    </w:p>
    <w:p>
      <w:pPr>
        <w:pStyle w:val="ListBullet"/>
        <w:spacing w:after="80" w:line="276" w:lineRule="auto"/>
        <w:ind w:left="720" w:hanging="360"/>
      </w:pPr>
      <w:r>
        <w:rPr>
          <w:rFonts w:ascii="Arial" w:hAnsi="Arial"/>
          <w:b w:val="0"/>
          <w:color w:val="102A43"/>
          <w:sz w:val="21"/>
        </w:rPr>
        <w:t>6 Threat Model</w:t>
      </w:r>
    </w:p>
    <w:p>
      <w:pPr>
        <w:pStyle w:val="ListBullet"/>
        <w:spacing w:after="80" w:line="276" w:lineRule="auto"/>
        <w:ind w:left="720" w:hanging="360"/>
      </w:pPr>
      <w:r>
        <w:rPr>
          <w:rFonts w:ascii="Arial" w:hAnsi="Arial"/>
          <w:b w:val="0"/>
          <w:color w:val="102A43"/>
          <w:sz w:val="21"/>
        </w:rPr>
        <w:t>7 System Requirements</w:t>
      </w:r>
    </w:p>
    <w:p>
      <w:pPr>
        <w:pStyle w:val="ListBullet"/>
        <w:spacing w:after="80" w:line="276" w:lineRule="auto"/>
        <w:ind w:left="720" w:hanging="360"/>
      </w:pPr>
      <w:r>
        <w:rPr>
          <w:rFonts w:ascii="Arial" w:hAnsi="Arial"/>
          <w:b w:val="0"/>
          <w:color w:val="102A43"/>
          <w:sz w:val="21"/>
        </w:rPr>
        <w:t>8 Reference Architecture</w:t>
      </w:r>
    </w:p>
    <w:p>
      <w:pPr>
        <w:pStyle w:val="ListBullet"/>
        <w:spacing w:after="80" w:line="276" w:lineRule="auto"/>
        <w:ind w:left="720" w:hanging="360"/>
      </w:pPr>
      <w:r>
        <w:rPr>
          <w:rFonts w:ascii="Arial" w:hAnsi="Arial"/>
          <w:b w:val="0"/>
          <w:color w:val="102A43"/>
          <w:sz w:val="21"/>
        </w:rPr>
        <w:t>9 Authorization and Safety Model</w:t>
      </w:r>
    </w:p>
    <w:p>
      <w:pPr>
        <w:pStyle w:val="ListBullet"/>
        <w:spacing w:after="80" w:line="276" w:lineRule="auto"/>
        <w:ind w:left="720" w:hanging="360"/>
      </w:pPr>
      <w:r>
        <w:rPr>
          <w:rFonts w:ascii="Arial" w:hAnsi="Arial"/>
          <w:b w:val="0"/>
          <w:color w:val="102A43"/>
          <w:sz w:val="21"/>
        </w:rPr>
        <w:t>10 Formal Specification Strategy</w:t>
      </w:r>
    </w:p>
    <w:p>
      <w:pPr>
        <w:pStyle w:val="ListBullet"/>
        <w:spacing w:after="80" w:line="276" w:lineRule="auto"/>
        <w:ind w:left="720" w:hanging="360"/>
      </w:pPr>
      <w:r>
        <w:rPr>
          <w:rFonts w:ascii="Arial" w:hAnsi="Arial"/>
          <w:b w:val="0"/>
          <w:color w:val="102A43"/>
          <w:sz w:val="21"/>
        </w:rPr>
        <w:t>11 Experimental Methodology</w:t>
      </w:r>
    </w:p>
    <w:p>
      <w:pPr>
        <w:pStyle w:val="ListBullet"/>
        <w:spacing w:after="80" w:line="276" w:lineRule="auto"/>
        <w:ind w:left="720" w:hanging="360"/>
      </w:pPr>
      <w:r>
        <w:rPr>
          <w:rFonts w:ascii="Arial" w:hAnsi="Arial"/>
          <w:b w:val="0"/>
          <w:color w:val="102A43"/>
          <w:sz w:val="21"/>
        </w:rPr>
        <w:t>12 Implementation and Verification Status</w:t>
      </w:r>
    </w:p>
    <w:p>
      <w:pPr>
        <w:pStyle w:val="ListBullet"/>
        <w:spacing w:after="80" w:line="276" w:lineRule="auto"/>
        <w:ind w:left="720" w:hanging="360"/>
      </w:pPr>
      <w:r>
        <w:rPr>
          <w:rFonts w:ascii="Arial" w:hAnsi="Arial"/>
          <w:b w:val="0"/>
          <w:color w:val="102A43"/>
          <w:sz w:val="21"/>
        </w:rPr>
        <w:t>13 Preliminary Controlled Results</w:t>
      </w:r>
    </w:p>
    <w:p>
      <w:pPr>
        <w:pStyle w:val="ListBullet"/>
        <w:spacing w:after="80" w:line="276" w:lineRule="auto"/>
        <w:ind w:left="720" w:hanging="360"/>
      </w:pPr>
      <w:r>
        <w:rPr>
          <w:rFonts w:ascii="Arial" w:hAnsi="Arial"/>
          <w:b w:val="0"/>
          <w:color w:val="102A43"/>
          <w:sz w:val="21"/>
        </w:rPr>
        <w:t>14 Multi-VM Integration Plan</w:t>
      </w:r>
    </w:p>
    <w:p>
      <w:pPr>
        <w:pStyle w:val="ListBullet"/>
        <w:spacing w:after="80" w:line="276" w:lineRule="auto"/>
        <w:ind w:left="720" w:hanging="360"/>
      </w:pPr>
      <w:r>
        <w:rPr>
          <w:rFonts w:ascii="Arial" w:hAnsi="Arial"/>
          <w:b w:val="0"/>
          <w:color w:val="102A43"/>
          <w:sz w:val="21"/>
        </w:rPr>
        <w:t>15 Operate-Through-Compromise Test Program</w:t>
      </w:r>
    </w:p>
    <w:p>
      <w:pPr>
        <w:pStyle w:val="ListBullet"/>
        <w:spacing w:after="80" w:line="276" w:lineRule="auto"/>
        <w:ind w:left="720" w:hanging="360"/>
      </w:pPr>
      <w:r>
        <w:rPr>
          <w:rFonts w:ascii="Arial" w:hAnsi="Arial"/>
          <w:b w:val="0"/>
          <w:color w:val="102A43"/>
          <w:sz w:val="21"/>
        </w:rPr>
        <w:t>16 Scale and Economic Analysis Plan</w:t>
      </w:r>
    </w:p>
    <w:p>
      <w:pPr>
        <w:pStyle w:val="ListBullet"/>
        <w:spacing w:after="80" w:line="276" w:lineRule="auto"/>
        <w:ind w:left="720" w:hanging="360"/>
      </w:pPr>
      <w:r>
        <w:rPr>
          <w:rFonts w:ascii="Arial" w:hAnsi="Arial"/>
          <w:b w:val="0"/>
          <w:color w:val="102A43"/>
          <w:sz w:val="21"/>
        </w:rPr>
        <w:t>17 Reproducibility and Data Management</w:t>
      </w:r>
    </w:p>
    <w:p>
      <w:pPr>
        <w:pStyle w:val="ListBullet"/>
        <w:spacing w:after="80" w:line="276" w:lineRule="auto"/>
        <w:ind w:left="720" w:hanging="360"/>
      </w:pPr>
      <w:r>
        <w:rPr>
          <w:rFonts w:ascii="Arial" w:hAnsi="Arial"/>
          <w:b w:val="0"/>
          <w:color w:val="102A43"/>
          <w:sz w:val="21"/>
        </w:rPr>
        <w:t>18 Risks, Limitations, and Validity Threats</w:t>
      </w:r>
    </w:p>
    <w:p>
      <w:pPr>
        <w:pStyle w:val="ListBullet"/>
        <w:spacing w:after="80" w:line="276" w:lineRule="auto"/>
        <w:ind w:left="720" w:hanging="360"/>
      </w:pPr>
      <w:r>
        <w:rPr>
          <w:rFonts w:ascii="Arial" w:hAnsi="Arial"/>
          <w:b w:val="0"/>
          <w:color w:val="102A43"/>
          <w:sz w:val="21"/>
        </w:rPr>
        <w:t>19 Work Plan and Completion Criteria</w:t>
      </w:r>
    </w:p>
    <w:p>
      <w:pPr>
        <w:pStyle w:val="ListBullet"/>
        <w:spacing w:after="80" w:line="276" w:lineRule="auto"/>
        <w:ind w:left="720" w:hanging="360"/>
      </w:pPr>
      <w:r>
        <w:rPr>
          <w:rFonts w:ascii="Arial" w:hAnsi="Arial"/>
          <w:b w:val="0"/>
          <w:color w:val="102A43"/>
          <w:sz w:val="21"/>
        </w:rPr>
        <w:t>20 Conclusions</w:t>
      </w:r>
    </w:p>
    <w:p>
      <w:pPr>
        <w:pStyle w:val="ListBullet"/>
        <w:spacing w:after="80" w:line="276" w:lineRule="auto"/>
        <w:ind w:left="720" w:hanging="360"/>
      </w:pPr>
      <w:r>
        <w:rPr>
          <w:rFonts w:ascii="Arial" w:hAnsi="Arial"/>
          <w:b w:val="0"/>
          <w:color w:val="102A43"/>
          <w:sz w:val="21"/>
        </w:rPr>
        <w:t>21 References</w:t>
      </w:r>
    </w:p>
    <w:p>
      <w:pPr>
        <w:pStyle w:val="ListBullet"/>
        <w:spacing w:after="80" w:line="276" w:lineRule="auto"/>
        <w:ind w:left="720" w:hanging="360"/>
      </w:pPr>
      <w:r>
        <w:rPr>
          <w:rFonts w:ascii="Arial" w:hAnsi="Arial"/>
          <w:b w:val="0"/>
          <w:color w:val="102A43"/>
          <w:sz w:val="21"/>
        </w:rPr>
        <w:t>22 Requirements Traceability Appendix</w:t>
      </w:r>
    </w:p>
    <w:p>
      <w:pPr>
        <w:pStyle w:val="ListBullet"/>
        <w:spacing w:after="80" w:line="276" w:lineRule="auto"/>
        <w:ind w:left="720" w:hanging="360"/>
      </w:pPr>
      <w:r>
        <w:rPr>
          <w:rFonts w:ascii="Arial" w:hAnsi="Arial"/>
          <w:b w:val="0"/>
          <w:color w:val="102A43"/>
          <w:sz w:val="21"/>
        </w:rPr>
        <w:t>23 Data and Message Schemas Appendix</w:t>
      </w:r>
    </w:p>
    <w:p>
      <w:pPr>
        <w:pStyle w:val="ListBullet"/>
        <w:spacing w:after="80" w:line="276" w:lineRule="auto"/>
        <w:ind w:left="720" w:hanging="360"/>
      </w:pPr>
      <w:r>
        <w:rPr>
          <w:rFonts w:ascii="Arial" w:hAnsi="Arial"/>
          <w:b w:val="0"/>
          <w:color w:val="102A43"/>
          <w:sz w:val="21"/>
        </w:rPr>
        <w:t>24 Reproduction Runbook Appendix</w:t>
      </w:r>
    </w:p>
    <w:p>
      <w:pPr>
        <w:pStyle w:val="ListBullet"/>
        <w:spacing w:after="80" w:line="276" w:lineRule="auto"/>
        <w:ind w:left="720" w:hanging="360"/>
      </w:pPr>
      <w:r>
        <w:rPr>
          <w:rFonts w:ascii="Arial" w:hAnsi="Arial"/>
          <w:b w:val="0"/>
          <w:color w:val="102A43"/>
          <w:sz w:val="21"/>
        </w:rPr>
        <w:t>25 Version-Control Audit Trail Appendix</w:t>
      </w:r>
    </w:p>
    <w:p>
      <w:r>
        <w:br w:type="page"/>
      </w:r>
    </w:p>
    <w:p>
      <w:pPr>
        <w:pStyle w:val="Heading1"/>
        <w:keepNext/>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v0.1 implementation binds typed proposals to Ed25519-signed delegation chains, contextual policy, state freshness, replay protection, a deterministic safety kernel, a command adapter, and hash-chained evidence. A separate post-decision rule oracle is used for initial experiments, although both it and the enforcer depend on the same simplified transition model. Current results therefore establish only internal control-path behavior in a synthetic local environment.</w:t>
      </w:r>
    </w:p>
    <w:p>
      <w:pPr>
        <w:pStyle w:val="Heading1"/>
        <w:keepNext/>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80" w:line="276" w:lineRule="auto"/>
        <w:ind w:left="720" w:hanging="360"/>
      </w:pPr>
      <w:r>
        <w:rPr>
          <w:rFonts w:ascii="Arial" w:hAnsi="Arial"/>
          <w:b w:val="0"/>
          <w:color w:val="102A43"/>
          <w:sz w:val="21"/>
        </w:rPr>
        <w:t>Current verified implementation evidence: 26 passing tests, clean static type checking, clean linting, and 88 percent measured line coverage on the local Python 3.14 host.</w:t>
      </w:r>
    </w:p>
    <w:p>
      <w:pPr>
        <w:pStyle w:val="ListBullet"/>
        <w:spacing w:after="80" w:line="276" w:lineRule="auto"/>
        <w:ind w:left="720" w:hanging="360"/>
      </w:pPr>
      <w:r>
        <w:rPr>
          <w:rFonts w:ascii="Arial" w:hAnsi="Arial"/>
          <w:b w:val="0"/>
          <w:color w:val="102A43"/>
          <w:sz w:val="21"/>
        </w:rPr>
        <w:t>Current experiment evidence: 200 synthetic trials per baseline using a shared seed set and master seed 20260824.</w:t>
      </w:r>
    </w:p>
    <w:p>
      <w:pPr>
        <w:pStyle w:val="ListBullet"/>
        <w:spacing w:after="80" w:line="276" w:lineRule="auto"/>
        <w:ind w:left="720" w:hanging="360"/>
      </w:pPr>
      <w:r>
        <w:rPr>
          <w:rFonts w:ascii="Arial" w:hAnsi="Arial"/>
          <w:b w:val="0"/>
          <w:color w:val="102A43"/>
          <w:sz w:val="21"/>
        </w:rPr>
        <w:t>Current limitation: perfect performance by the assured baseline is expected under the simplified rules and cannot support a claim of field effectiveness.</w:t>
      </w:r>
    </w:p>
    <w:p>
      <w:pPr>
        <w:pStyle w:val="ListBullet"/>
        <w:spacing w:after="80" w:line="276" w:lineRule="auto"/>
        <w:ind w:left="720" w:hanging="360"/>
      </w:pPr>
      <w:r>
        <w:rPr>
          <w:rFonts w:ascii="Arial" w:hAnsi="Arial"/>
          <w:b w:val="0"/>
          <w:color w:val="102A43"/>
          <w:sz w:val="21"/>
        </w:rPr>
        <w:t>Next decision gate: strengthen delegation and concurrency testing, run the TLA+ model and weakened variants, and replace the shared transition model with an independently executed power-system reference.</w:t>
      </w:r>
    </w:p>
    <w:p>
      <w:pPr>
        <w:pStyle w:val="Heading1"/>
        <w:keepNext/>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pPr>
      <w:r>
        <w:t>5. Scope, Assumptions, and Claim Boundaries</w:t>
      </w:r>
    </w:p>
    <w:p>
      <w:pPr>
        <w:pStyle w:val="ListBullet"/>
        <w:spacing w:after="80" w:line="276"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80" w:line="276"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80" w:line="276"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80" w:line="276" w:lineRule="auto"/>
        <w:ind w:left="720" w:hanging="360"/>
      </w:pPr>
      <w:r>
        <w:rPr>
          <w:rFonts w:ascii="Arial" w:hAnsi="Arial"/>
          <w:b w:val="0"/>
          <w:color w:val="102A43"/>
          <w:sz w:val="21"/>
        </w:rPr>
        <w:t>Empirical findings apply only to recorded versions, configurations, seeds, scenarios, and hosts.</w:t>
      </w:r>
    </w:p>
    <w:p>
      <w:pPr>
        <w:pStyle w:val="ListBullet"/>
        <w:spacing w:after="80" w:line="276" w:lineRule="auto"/>
        <w:ind w:left="720" w:hanging="360"/>
      </w:pPr>
      <w:r>
        <w:rPr>
          <w:rFonts w:ascii="Arial" w:hAnsi="Arial"/>
          <w:b w:val="0"/>
          <w:color w:val="102A43"/>
          <w:sz w:val="21"/>
        </w:rPr>
        <w:t>The v0.1 safety thresholds are provisional research parameters, not universal utility settings.</w:t>
      </w:r>
    </w:p>
    <w:p>
      <w:pPr>
        <w:pStyle w:val="Heading1"/>
        <w:keepNext/>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bl>
    <w:p>
      <w:pPr>
        <w:spacing w:after="40"/>
      </w:pPr>
    </w:p>
    <w:p>
      <w:pPr>
        <w:pStyle w:val="Heading1"/>
        <w:keepNext/>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pPr>
      <w:r>
        <w:t>10. Formal Specification Strategy</w:t>
      </w:r>
    </w:p>
    <w:p>
      <w:pPr>
        <w:spacing w:after="160" w:line="293" w:lineRule="auto"/>
      </w:pPr>
      <w:r>
        <w:rPr>
          <w:rFonts w:ascii="Arial" w:hAnsi="Arial"/>
          <w:b w:val="0"/>
          <w:color w:val="102A43"/>
          <w:sz w:val="21"/>
        </w:rPr>
        <w:t>The initial TLA+ scaffold models submission, authorization, denial, execution, revocation, nonce use, and evidence existence. It includes invariants for authentication, scope, modeled safety, replay, evidence completeness, and revoked-grant execution. This document does not claim that TLC has been run. The next milestone must record the exact tool version, model hash, state count, runtime, invariant results, and counterexamples from deliberately weakened configurations.</w:t>
      </w:r>
    </w:p>
    <w:p>
      <w:pPr>
        <w:pStyle w:val="Heading1"/>
        <w:keepNext/>
      </w:pPr>
      <w:r>
        <w:t>11. Experimental Methodology</w:t>
      </w:r>
    </w:p>
    <w:p>
      <w:pPr>
        <w:spacing w:after="160" w:line="293" w:lineRule="auto"/>
      </w:pPr>
      <w:r>
        <w:rPr>
          <w:rFonts w:ascii="Arial" w:hAnsi="Arial"/>
          <w:b w:val="0"/>
          <w:color w:val="102A43"/>
          <w:sz w:val="21"/>
        </w:rPr>
        <w:t>The reconstructed smoke experiment executes four baselines against the same 200 seeded isolation scenarios. The scenario generator varies critical-load impact and classifies the resulting candidate state using a post-decision oracle implemented outside the gateway. Direct access, identity-only, and static resource/risk policy baselines execute the proposed action; the assured baseline also evaluates delegation, contextual policy, freshness, replay, and modeled safety.</w:t>
      </w:r>
    </w:p>
    <w:p>
      <w:pPr>
        <w:spacing w:after="160" w:line="293" w:lineRule="auto"/>
      </w:pPr>
      <w:r>
        <w:rPr>
          <w:rFonts w:ascii="Arial" w:hAnsi="Arial"/>
          <w:b w:val="0"/>
          <w:color w:val="102A43"/>
          <w:sz w:val="21"/>
        </w:rPr>
        <w:t>Primary measures are unsafe-action escape, false block, mission-correct outcome, decision latency, and safety-kernel/oracle disagreement. This smoke design is exploratory: it has one master seed, a deterministic agent, synthetic prevalence, weak comparison baselines, and no confidence intervals or external physical simulator.</w:t>
      </w:r>
    </w:p>
    <w:p>
      <w:pPr>
        <w:pStyle w:val="Heading1"/>
        <w:keepNext/>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Implemented with Pydantic validation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rule evaluators using a shared surrogate transition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Not independent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 records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Tamper-evident while trusted head is preserved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26 tests; ruff and strict mypy clean; 88 percent measured line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CI not yet observed</w:t>
            </w:r>
          </w:p>
        </w:tc>
      </w:tr>
    </w:tbl>
    <w:p>
      <w:pPr>
        <w:spacing w:after="40"/>
      </w:pPr>
    </w:p>
    <w:p>
      <w:pPr>
        <w:pStyle w:val="Heading1"/>
        <w:keepNext/>
      </w:pPr>
      <w:r>
        <w:t>13. Preliminary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vAlign w:val="center"/>
            <w:shd w:fill="EAF2F8"/>
            <w:tcMar>
              <w:top w:w="100" w:type="dxa"/>
              <w:start w:w="120" w:type="dxa"/>
              <w:bottom w:w="100" w:type="dxa"/>
              <w:end w:w="120" w:type="dxa"/>
            </w:tcMar>
          </w:tcPr>
          <w:p>
            <w:r>
              <w:rPr>
                <w:rFonts w:ascii="Arial" w:hAnsi="Arial"/>
                <w:b/>
                <w:color w:val="102A43"/>
                <w:sz w:val="18"/>
              </w:rPr>
              <w:t>Baseline</w:t>
            </w:r>
          </w:p>
        </w:tc>
        <w:tc>
          <w:tcPr>
            <w:tcW w:type="dxa" w:w="1656"/>
            <w:vAlign w:val="center"/>
            <w:shd w:fill="EAF2F8"/>
            <w:tcMar>
              <w:top w:w="100" w:type="dxa"/>
              <w:start w:w="120" w:type="dxa"/>
              <w:bottom w:w="100" w:type="dxa"/>
              <w:end w:w="120" w:type="dxa"/>
            </w:tcMar>
          </w:tcPr>
          <w:p>
            <w:r>
              <w:rPr>
                <w:rFonts w:ascii="Arial" w:hAnsi="Arial"/>
                <w:b/>
                <w:color w:val="102A43"/>
                <w:sz w:val="18"/>
              </w:rPr>
              <w:t>Unsafe escape</w:t>
            </w:r>
          </w:p>
        </w:tc>
        <w:tc>
          <w:tcPr>
            <w:tcW w:type="dxa" w:w="1512"/>
            <w:vAlign w:val="center"/>
            <w:shd w:fill="EAF2F8"/>
            <w:tcMar>
              <w:top w:w="100" w:type="dxa"/>
              <w:start w:w="120" w:type="dxa"/>
              <w:bottom w:w="100" w:type="dxa"/>
              <w:end w:w="120" w:type="dxa"/>
            </w:tcMar>
          </w:tcPr>
          <w:p>
            <w:r>
              <w:rPr>
                <w:rFonts w:ascii="Arial" w:hAnsi="Arial"/>
                <w:b/>
                <w:color w:val="102A43"/>
                <w:sz w:val="18"/>
              </w:rPr>
              <w:t>False block</w:t>
            </w:r>
          </w:p>
        </w:tc>
        <w:tc>
          <w:tcPr>
            <w:tcW w:type="dxa" w:w="1728"/>
            <w:vAlign w:val="center"/>
            <w:shd w:fill="EAF2F8"/>
            <w:tcMar>
              <w:top w:w="100" w:type="dxa"/>
              <w:start w:w="120" w:type="dxa"/>
              <w:bottom w:w="100" w:type="dxa"/>
              <w:end w:w="120" w:type="dxa"/>
            </w:tcMar>
          </w:tcPr>
          <w:p>
            <w:r>
              <w:rPr>
                <w:rFonts w:ascii="Arial" w:hAnsi="Arial"/>
                <w:b/>
                <w:color w:val="102A43"/>
                <w:sz w:val="18"/>
              </w:rPr>
              <w:t>Mission success</w:t>
            </w:r>
          </w:p>
        </w:tc>
        <w:tc>
          <w:tcPr>
            <w:tcW w:type="dxa" w:w="2520"/>
            <w:vAlign w:val="center"/>
            <w:shd w:fill="EAF2F8"/>
            <w:tcMar>
              <w:top w:w="100" w:type="dxa"/>
              <w:start w:w="120" w:type="dxa"/>
              <w:bottom w:w="100" w:type="dxa"/>
              <w:end w:w="120" w:type="dxa"/>
            </w:tcMar>
          </w:tcPr>
          <w:p>
            <w:r>
              <w:rPr>
                <w:rFonts w:ascii="Arial" w:hAnsi="Arial"/>
                <w:b/>
                <w:color w:val="102A43"/>
                <w:sz w:val="18"/>
              </w:rPr>
              <w:t>Mean latency</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B0_DIRECT</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B1_IDENTITY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B2_STATIC_POLICY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0.0002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B3_ASSURED</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1.0545 ms</w:t>
            </w:r>
          </w:p>
        </w:tc>
      </w:tr>
    </w:tbl>
    <w:p>
      <w:pPr>
        <w:spacing w:after="40"/>
      </w:pPr>
    </w:p>
    <w:p>
      <w:pPr>
        <w:jc w:val="center"/>
      </w:pPr>
      <w:r>
        <w:drawing>
          <wp:inline xmlns:a="http://schemas.openxmlformats.org/drawingml/2006/main" xmlns:pic="http://schemas.openxmlformats.org/drawingml/2006/picture">
            <wp:extent cx="5715000" cy="3492500"/>
            <wp:docPr id="3" name="Picture 3" descr="Grouped bar chart comparing unsafe-action escape and mission success for direct, identity-only, static-policy, and assured baselines over 200 shared-seed synthetic trials." title="Grouped bar chart comparing unsafe-action escape and mission success for direct, identity-only, static-policy, and assured baselines over 200 shared-seed synthetic trial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492500"/>
                    </a:xfrm>
                    <a:prstGeom prst="rect"/>
                  </pic:spPr>
                </pic:pic>
              </a:graphicData>
            </a:graphic>
          </wp:inline>
        </w:drawing>
      </w:r>
    </w:p>
    <w:p>
      <w:pPr>
        <w:keepNext/>
        <w:jc w:val="center"/>
      </w:pPr>
      <w:r>
        <w:rPr>
          <w:rFonts w:ascii="Arial" w:hAnsi="Arial"/>
          <w:b/>
          <w:color w:val="52606D"/>
          <w:sz w:val="18"/>
        </w:rPr>
        <w:t>Figure 3. Preliminary synthetic baseline outcomes.</w:t>
      </w:r>
    </w:p>
    <w:p>
      <w:pPr>
        <w:spacing w:after="160" w:line="293" w:lineRule="auto"/>
      </w:pPr>
      <w:r>
        <w:rPr>
          <w:rFonts w:ascii="Arial" w:hAnsi="Arial"/>
          <w:b w:val="0"/>
          <w:color w:val="102A43"/>
          <w:sz w:val="21"/>
        </w:rPr>
        <w:t>Interpretation: the result demonstrates that the implemented assured path blocks the unsafe conditions encoded by the initial surrogate while permitting all encoded safe conditions. It does not demonstrate that real agents, PLCs, grids, operators, or incidents would produce the same result. The zero disagreement count is expected because both evaluators apply equivalent limits to the same simplified predicted state.</w:t>
      </w:r>
    </w:p>
    <w:p>
      <w:pPr>
        <w:pStyle w:val="Heading1"/>
        <w:keepNext/>
      </w:pPr>
      <w:r>
        <w:t>14.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pPr>
      <w:r>
        <w:t>15. Operate-Through-Compromise Test Program</w:t>
      </w:r>
    </w:p>
    <w:p>
      <w:pPr>
        <w:pStyle w:val="ListBullet"/>
        <w:spacing w:after="80" w:line="276" w:lineRule="auto"/>
        <w:ind w:left="720" w:hanging="360"/>
      </w:pPr>
      <w:r>
        <w:rPr>
          <w:rFonts w:ascii="Arial" w:hAnsi="Arial"/>
          <w:b w:val="0"/>
          <w:color w:val="102A43"/>
          <w:sz w:val="21"/>
        </w:rPr>
        <w:t>Compromise a leaf agent while unrelated agents retain bounded mission functions.</w:t>
      </w:r>
    </w:p>
    <w:p>
      <w:pPr>
        <w:pStyle w:val="ListBullet"/>
        <w:spacing w:after="80" w:line="276" w:lineRule="auto"/>
        <w:ind w:left="720" w:hanging="360"/>
      </w:pPr>
      <w:r>
        <w:rPr>
          <w:rFonts w:ascii="Arial" w:hAnsi="Arial"/>
          <w:b w:val="0"/>
          <w:color w:val="102A43"/>
          <w:sz w:val="21"/>
        </w:rPr>
        <w:t>Compromise or revoke a supervisor and measure descendant authority and propagation delay.</w:t>
      </w:r>
    </w:p>
    <w:p>
      <w:pPr>
        <w:pStyle w:val="ListBullet"/>
        <w:spacing w:after="80" w:line="276"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80" w:line="276"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80" w:line="276"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pPr>
      <w:r>
        <w:t>16.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pPr>
      <w:r>
        <w:t>17. Reproducibility and Data Management</w:t>
      </w:r>
    </w:p>
    <w:p>
      <w:pPr>
        <w:spacing w:after="160" w:line="293" w:lineRule="auto"/>
      </w:pPr>
      <w:r>
        <w:rPr>
          <w:rFonts w:ascii="Arial" w:hAnsi="Arial"/>
          <w:b w:val="0"/>
          <w:color w:val="102A43"/>
          <w:sz w:val="21"/>
        </w:rPr>
        <w:t>The experiment manifest records the working-tree state, configuration hash, master and individual seeds, baseline definitions, component versions, host details, raw-data path, SHA-256 result hash, analyst, and known limitations. Raw JSONL is retained separately from derived summaries. The exploratory run that used different seed sets across baselines is preserved under results/exploratory-invalid-independent-seeds and excluded from controlled comparison.</w:t>
      </w:r>
    </w:p>
    <w:p>
      <w:pPr>
        <w:pStyle w:val="Heading1"/>
        <w:keepNext/>
      </w:pPr>
      <w:r>
        <w:t>18.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Shared transition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Kernel and oracle disagreement is not a strong independence test</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 separately executed power-flow simulator and reviewed truth set</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Weak baselines</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Effect size can be inflated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contextual ABAC, risk-aware, and ablation baselines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Trust boundaries and availability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One seed set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Uncertainty is not characterized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at least 30 independent seeds per condition and confidence intervals</w:t>
            </w:r>
          </w:p>
        </w:tc>
      </w:tr>
    </w:tbl>
    <w:p>
      <w:pPr>
        <w:spacing w:after="40"/>
      </w:pPr>
    </w:p>
    <w:p>
      <w:pPr>
        <w:pStyle w:val="Heading1"/>
        <w:keepNext/>
      </w:pPr>
      <w:r>
        <w:t>19.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A demonstration, green test suite, or perfect synthetic baseline does not satisfy the final completion definition.</w:t>
      </w:r>
    </w:p>
    <w:p>
      <w:pPr>
        <w:pStyle w:val="Heading1"/>
        <w:keepNext/>
      </w:pPr>
      <w:r>
        <w:t>20. Conclusions</w:t>
      </w:r>
    </w:p>
    <w:p>
      <w:pPr>
        <w:spacing w:after="160" w:line="293" w:lineRule="auto"/>
      </w:pPr>
      <w:r>
        <w:rPr>
          <w:rFonts w:ascii="Arial" w:hAnsi="Arial"/>
          <w:b w:val="0"/>
          <w:color w:val="102A43"/>
          <w:sz w:val="21"/>
        </w:rPr>
        <w:t>The reconstructed v0.1 foundation is sufficient to test a narrow proposition: under its explicit synthetic rules, the gateway can distinguish safe from unsafe isolation proposals and preserve evidence of the decision. It is not sufficient to conclude that autonomous agents can be trusted on real critical infrastructure. The next defensible advance is independent model checking and physical outcome evaluation, followed by stronger baselines and deployed trust boundaries.</w:t>
      </w:r>
    </w:p>
    <w:p>
      <w:pPr>
        <w:pStyle w:val="Heading1"/>
        <w:keepNext/>
      </w:pPr>
      <w:r>
        <w:t>21. References</w:t>
      </w:r>
    </w:p>
    <w:p>
      <w:pPr>
        <w:pStyle w:val="ListBullet"/>
        <w:spacing w:after="80" w:line="276"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80" w:line="276"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80" w:line="276"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80" w:line="276"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80" w:line="276"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Heading1"/>
        <w:keepNext/>
      </w:pPr>
      <w:r>
        <w:t>22.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amplification, expiry, forgery, ancestor revocation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More property and fuzz coverage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Hypothesis comparison and unsafe denial</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Shared transition model</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and tampering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signature or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change integration test</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real PLC acknowledgment</w:t>
            </w:r>
          </w:p>
        </w:tc>
      </w:tr>
    </w:tbl>
    <w:p>
      <w:pPr>
        <w:spacing w:after="40"/>
      </w:pPr>
    </w:p>
    <w:p>
      <w:pPr>
        <w:pStyle w:val="Heading1"/>
        <w:keepNext/>
      </w:pPr>
      <w:r>
        <w:t>23.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Decision records bind outcome, reasons, policy and safety versions, state version, decision time, and evidence-record hash. JSON Schema source is maintained under schemas/ and Pydantic models are authoritative for the current implementation.</w:t>
      </w:r>
    </w:p>
    <w:p>
      <w:pPr>
        <w:pStyle w:val="Heading1"/>
        <w:keepNext/>
      </w:pPr>
      <w:r>
        <w:t>24. Reproduction Runbook Appendix</w:t>
      </w:r>
    </w:p>
    <w:p>
      <w:pPr>
        <w:pStyle w:val="ListBullet"/>
        <w:spacing w:after="80" w:line="276" w:lineRule="auto"/>
        <w:ind w:left="720" w:hanging="360"/>
      </w:pPr>
      <w:r>
        <w:rPr>
          <w:rFonts w:ascii="Arial" w:hAnsi="Arial"/>
          <w:b w:val="0"/>
          <w:color w:val="102A43"/>
          <w:sz w:val="21"/>
        </w:rPr>
        <w:t>Create and activate a clean Python 3.11-or-later virtual environment.</w:t>
      </w:r>
    </w:p>
    <w:p>
      <w:pPr>
        <w:pStyle w:val="ListBullet"/>
        <w:spacing w:after="80" w:line="276" w:lineRule="auto"/>
        <w:ind w:left="720" w:hanging="360"/>
      </w:pPr>
      <w:r>
        <w:rPr>
          <w:rFonts w:ascii="Arial" w:hAnsi="Arial"/>
          <w:b w:val="0"/>
          <w:color w:val="102A43"/>
          <w:sz w:val="21"/>
        </w:rPr>
        <w:t>Install with pip install -e ".[dev,docs]"; do not rely on PYTHONPATH.</w:t>
      </w:r>
    </w:p>
    <w:p>
      <w:pPr>
        <w:pStyle w:val="ListBullet"/>
        <w:spacing w:after="80" w:line="276" w:lineRule="auto"/>
        <w:ind w:left="720" w:hanging="360"/>
      </w:pPr>
      <w:r>
        <w:rPr>
          <w:rFonts w:ascii="Arial" w:hAnsi="Arial"/>
          <w:b w:val="0"/>
          <w:color w:val="102A43"/>
          <w:sz w:val="21"/>
        </w:rPr>
        <w:t>Run ruff check ., mypy src, and pytest --cov=aegis_ot --cov-report=term-missing.</w:t>
      </w:r>
    </w:p>
    <w:p>
      <w:pPr>
        <w:pStyle w:val="ListBullet"/>
        <w:spacing w:after="80" w:line="276" w:lineRule="auto"/>
        <w:ind w:left="720" w:hanging="360"/>
      </w:pPr>
      <w:r>
        <w:rPr>
          <w:rFonts w:ascii="Arial" w:hAnsi="Arial"/>
          <w:b w:val="0"/>
          <w:color w:val="102A43"/>
          <w:sz w:val="21"/>
        </w:rPr>
        <w:t>Run python -m aegis_ot demo --output-dir results/demo.</w:t>
      </w:r>
    </w:p>
    <w:p>
      <w:pPr>
        <w:pStyle w:val="ListBullet"/>
        <w:spacing w:after="80" w:line="276" w:lineRule="auto"/>
        <w:ind w:left="720" w:hanging="360"/>
      </w:pPr>
      <w:r>
        <w:rPr>
          <w:rFonts w:ascii="Arial" w:hAnsi="Arial"/>
          <w:b w:val="0"/>
          <w:color w:val="102A43"/>
          <w:sz w:val="21"/>
        </w:rPr>
        <w:t>Run python -m aegis_ot experiment --trials 200 --seed 20260824 --output-dir results/reproduction-v0.1.</w:t>
      </w:r>
    </w:p>
    <w:p>
      <w:pPr>
        <w:pStyle w:val="ListBullet"/>
        <w:spacing w:after="80" w:line="276" w:lineRule="auto"/>
        <w:ind w:left="720" w:hanging="360"/>
      </w:pPr>
      <w:r>
        <w:rPr>
          <w:rFonts w:ascii="Arial" w:hAnsi="Arial"/>
          <w:b w:val="0"/>
          <w:color w:val="102A43"/>
          <w:sz w:val="21"/>
        </w:rPr>
        <w:t>Verify the manifest raw-data hash and dirty-tree declaration before reporting results.</w:t>
      </w:r>
    </w:p>
    <w:p>
      <w:pPr>
        <w:pStyle w:val="ListBullet"/>
        <w:spacing w:after="80" w:line="276" w:lineRule="auto"/>
        <w:ind w:left="720" w:hanging="360"/>
      </w:pPr>
      <w:r>
        <w:rPr>
          <w:rFonts w:ascii="Arial" w:hAnsi="Arial"/>
          <w:b w:val="0"/>
          <w:color w:val="102A43"/>
          <w:sz w:val="21"/>
        </w:rPr>
        <w:t>Build figures and the canonical document from committed scripts, then render and inspect every page.</w:t>
      </w:r>
    </w:p>
    <w:p>
      <w:pPr>
        <w:pStyle w:val="Heading1"/>
        <w:keepNext/>
      </w:pPr>
      <w:r>
        <w:t>25.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The initial controlled commit remains pending at document-build time so the experiment manifest correctly records an unknown commit and dirty working tree. A post-commit reproduction run is required before any tagged release.</w:t>
      </w:r>
    </w:p>
    <w:sectPr w:rsidR="00FC693F" w:rsidRPr="0006063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2353</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1</cp:revision>
  <dcterms:created xsi:type="dcterms:W3CDTF">2026-08-24T14:39:38Z</dcterms:created>
  <dcterms:modified xsi:type="dcterms:W3CDTF">2026-08-24T14:42:26Z</dcterms:modified>
  <cp:category/>
</cp:coreProperties>
</file>