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</w:pPr>
    </w:p>
    <w:p>
      <w:pPr>
        <w:spacing w:before="0" w:after="80" w:line="240" w:lineRule="auto"/>
      </w:pPr>
      <w:r>
        <w:rPr>
          <w:rFonts w:ascii="Calibri" w:hAnsi="Calibri"/>
          <w:b/>
          <w:color w:val="0B2545"/>
          <w:sz w:val="46"/>
        </w:rPr>
        <w:t>ENGINEERING STATUS AND FORWARD PLAN</w:t>
      </w:r>
    </w:p>
    <w:p>
      <w:pPr>
        <w:spacing w:before="0" w:after="280" w:line="240" w:lineRule="auto"/>
      </w:pPr>
      <w:r>
        <w:rPr>
          <w:rFonts w:ascii="Calibri" w:hAnsi="Calibri"/>
          <w:color w:val="5F6B76"/>
          <w:sz w:val="28"/>
        </w:rPr>
        <w:t>AI Decision Firewall - Phase 3 simulation-only operational MVP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Prior evidence baseline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0.2.0-alpha.5 | commit f7f6b5c | Phase 2.4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Published predecessor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0.2.0-alpha.6 | commit 854b15c | CI and Dependency Graph succeeded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Phase 3 candidate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0.3.0-alpha.1 | 288/288 local regression | exact commit and CI pending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Review date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2026-08-15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Authority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In-memory synthetic simulation only; no live connector or operational authority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Evidence boundary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3 local CE-1 only; P2-CE-005 remains CE-0 NOT_EVALUATED</w:t>
            </w:r>
          </w:p>
        </w:tc>
      </w:tr>
    </w:tbl>
    <w:p>
      <w:pPr>
        <w:spacing w:before="160" w:after="160" w:line="240" w:lineRule="auto"/>
        <w:pBdr>
          <w:bottom w:val="single" w:sz="14" w:space="1" w:color="2E74B5"/>
        </w:pBdr>
      </w:pPr>
    </w:p>
    <w:p>
      <w:pPr>
        <w:pStyle w:val="Heading1"/>
        <w:keepNext/>
        <w:keepLines/>
        <w:spacing w:before="320" w:after="160" w:line="240" w:lineRule="auto"/>
      </w:pPr>
      <w:r>
        <w:rPr>
          <w:rFonts w:ascii="Calibri" w:hAnsi="Calibri"/>
          <w:b w:val="0"/>
        </w:rPr>
        <w:t>Executive assessment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The program has two distinct current boundaries.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 xml:space="preserve">First, Phase 2.5 is published on </w:t>
      </w:r>
      <w:r>
        <w:rPr>
          <w:rFonts w:ascii="Courier New" w:hAnsi="Courier New"/>
          <w:b w:val="0"/>
          <w:color w:val="0B2545"/>
          <w:sz w:val="19"/>
        </w:rPr>
        <w:t>main</w:t>
      </w:r>
      <w:r>
        <w:rPr>
          <w:rFonts w:ascii="Calibri" w:hAnsi="Calibri"/>
          <w:b w:val="0"/>
        </w:rPr>
        <w:t xml:space="preserve"> at exact Commit </w:t>
      </w:r>
      <w:r>
        <w:rPr>
          <w:rFonts w:ascii="Courier New" w:hAnsi="Courier New"/>
          <w:b w:val="0"/>
          <w:color w:val="0B2545"/>
          <w:sz w:val="19"/>
        </w:rPr>
        <w:t>854b15c56397a81de6326b719d3d7d1dc847608f</w:t>
      </w:r>
      <w:r>
        <w:rPr>
          <w:rFonts w:ascii="Calibri" w:hAnsi="Calibri"/>
          <w:b w:val="0"/>
        </w:rPr>
        <w:t xml:space="preserve">. GitHub CI and Dependency Graph checks passed for that exact commit. It retains the local 222/222 Phase 2.5 technical result, separate 9/9 public-site result, and 231/231 then-current repository aggregate. </w:t>
      </w:r>
      <w:r>
        <w:rPr>
          <w:rFonts w:ascii="Courier New" w:hAnsi="Courier New"/>
          <w:b w:val="0"/>
          <w:color w:val="0B2545"/>
          <w:sz w:val="19"/>
        </w:rPr>
        <w:t>P2-CE-005</w:t>
      </w:r>
      <w:r>
        <w:rPr>
          <w:rFonts w:ascii="Calibri" w:hAnsi="Calibri"/>
          <w:b w:val="0"/>
        </w:rPr>
        <w:t xml:space="preserve"> was not executed or published and remains CE-0 </w:t>
      </w:r>
      <w:r>
        <w:rPr>
          <w:rFonts w:ascii="Courier New" w:hAnsi="Courier New"/>
          <w:b w:val="0"/>
          <w:color w:val="0B2545"/>
          <w:sz w:val="19"/>
        </w:rPr>
        <w:t>NOT_EVALUATED</w:t>
      </w:r>
      <w:r>
        <w:rPr>
          <w:rFonts w:ascii="Calibri" w:hAnsi="Calibri"/>
          <w:b w:val="0"/>
        </w:rPr>
        <w:t>; green package CI is not campaign evidence.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 xml:space="preserve">Second, Phase 3 is a working </w:t>
      </w:r>
      <w:r>
        <w:rPr>
          <w:rFonts w:ascii="Calibri" w:hAnsi="Calibri"/>
          <w:b/>
        </w:rPr>
        <w:t xml:space="preserve">local </w:t>
      </w:r>
      <w:r>
        <w:rPr>
          <w:rFonts w:ascii="Courier New" w:hAnsi="Courier New"/>
          <w:b/>
          <w:color w:val="0B2545"/>
          <w:sz w:val="19"/>
        </w:rPr>
        <w:t>0.3.0-alpha.1</w:t>
      </w:r>
      <w:r>
        <w:rPr>
          <w:rFonts w:ascii="Calibri" w:hAnsi="Calibri"/>
          <w:b/>
        </w:rPr>
        <w:t xml:space="preserve"> simulation-only operational-MVP candidate</w:t>
      </w:r>
      <w:r>
        <w:rPr>
          <w:rFonts w:ascii="Calibri" w:hAnsi="Calibri"/>
          <w:b w:val="0"/>
        </w:rPr>
        <w:t>. It adds a raw external request, opaque-credential identity resolution, signed target-bound evidence, trusted policy/target context, deterministic four-way decision, consequence evaluation, exact-scope single-use authorization, mandatory in-memory broker, functionally separate same-project target readback, bounded human approval, lifecycle audit, metrics, two SOC demonstrations, and a 46-scenario adversarial corpus. The current checkout passed 57/57 focused Phase 3 tests; both demo acceptance checks reported PASS; the corpus reported 46/46; and the full repository regression passed 288/288. No Phase 3 commit, publication, or exact-commit CI result exists yet.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All Phase 3 observations are CE-1 implementation-conformance evidence over synthetic inputs and effects. They do not establish live containment, operational efficacy or calibration, production safety, statistical risk, or external independence.</w:t>
      </w:r>
    </w:p>
    <w:p>
      <w:pPr>
        <w:pStyle w:val="Heading1"/>
        <w:keepNext w:val="0"/>
        <w:keepLines/>
        <w:pageBreakBefore/>
        <w:spacing w:before="320" w:after="160" w:line="240" w:lineRule="auto"/>
      </w:pPr>
      <w:r>
        <w:rPr>
          <w:rFonts w:ascii="Calibri" w:hAnsi="Calibri"/>
          <w:b w:val="0"/>
        </w:rPr>
        <w:t>Decision table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rHeight w:hRule="auto"/>
          <w:cantSplit/>
          <w:tblHeader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State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Current truth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Published Phase 2.5 code/package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 xml:space="preserve">Exact Commit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854b15c56397a81de6326b719d3d7d1dc847608f</w:t>
            </w:r>
            <w:r>
              <w:rPr>
                <w:rFonts w:ascii="Calibri" w:hAnsi="Calibri"/>
                <w:b w:val="0"/>
              </w:rPr>
              <w:t xml:space="preserve"> on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main</w:t>
            </w:r>
            <w:r>
              <w:rPr>
                <w:rFonts w:ascii="Calibri" w:hAnsi="Calibri"/>
                <w:b w:val="0"/>
              </w:rPr>
              <w:t>; exact-commit CI and Dependency Graph green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Published Phase 2 evidence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b w:val="0"/>
                <w:color w:val="0B2545"/>
                <w:sz w:val="19"/>
              </w:rPr>
              <w:t>P2-CE-001</w:t>
            </w:r>
            <w:r>
              <w:rPr>
                <w:rFonts w:ascii="Calibri" w:hAnsi="Calibri"/>
                <w:b w:val="0"/>
              </w:rPr>
              <w:t xml:space="preserve"> through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P2-CE-004</w:t>
            </w:r>
            <w:r>
              <w:rPr>
                <w:rFonts w:ascii="Calibri" w:hAnsi="Calibri"/>
                <w:b w:val="0"/>
              </w:rPr>
              <w:t>, version bound to their records and limitations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2.5 campaign evidence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b w:val="0"/>
                <w:color w:val="0B2545"/>
                <w:sz w:val="19"/>
              </w:rPr>
              <w:t>P2-CE-005</w:t>
            </w:r>
            <w:r>
              <w:rPr>
                <w:rFonts w:ascii="Calibri" w:hAnsi="Calibri"/>
                <w:b w:val="0"/>
              </w:rPr>
              <w:t xml:space="preserve"> CE-0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NOT_EVALUATED</w:t>
            </w:r>
            <w:r>
              <w:rPr>
                <w:rFonts w:ascii="Calibri" w:hAnsi="Calibri"/>
                <w:b w:val="0"/>
              </w:rPr>
              <w:t>; no execution, result ledger, pass rate, CE-2 record, or evidence-only Commit B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3 implementation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Working local candidate; raw request through optional synthetic effect and separate readback implemented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3 local T&amp;E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Required high-risk/no-effect and low-risk/verified-effect demo acceptance PASS; deterministic corpus 46/46; focused tests 57/57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3 repository aggregate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288/288 passed in the settled local checkout; exact-commit CI pending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Phase 3 external gates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Final exact commit, explicit publication authorization, GitHub CI and Dependency Graph</w:t>
            </w:r>
          </w:p>
        </w:tc>
      </w:tr>
      <w:tr>
        <w:trPr>
          <w:trHeight w:hRule="auto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Data/action boundary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Synthetic only; no historical organizational data, live feed, test tenant, production connector, credential, or live action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/>
        <w:spacing w:before="320" w:after="160" w:line="240" w:lineRule="auto"/>
      </w:pPr>
      <w:r>
        <w:rPr>
          <w:rFonts w:ascii="Calibri" w:hAnsi="Calibri"/>
          <w:b w:val="0"/>
        </w:rPr>
        <w:t>What Phase 3 adds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65583" cy="6583680"/>
            <wp:docPr id="1" name="Picture 1" descr="Figure 1. Phase 3 simulation-only operational MVP control flow and accountability boundary." title="Figure 1. Phase 3 simulation-only operational MVP control flow and accountability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hase3_operational_mv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5583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Phase 3 simulation-only operational MVP control flow and accountability boundary.</w:t>
      </w:r>
    </w:p>
    <w:p>
      <w:pPr>
        <w:pStyle w:val="Heading2"/>
        <w:keepNext/>
        <w:keepLines/>
        <w:spacing w:before="240" w:after="120" w:line="240" w:lineRule="auto"/>
      </w:pPr>
      <w:r>
        <w:rPr>
          <w:rFonts w:ascii="Calibri" w:hAnsi="Calibri"/>
          <w:b w:val="0"/>
        </w:rPr>
        <w:t>Request and trust plane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Closed v0.3.0 raw-request and policy schemas with strict duplicate/non-finite,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size/depth, version, field, and timestamp handling.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 xml:space="preserve">Opaque invocation credential resolution to a signed </w:t>
      </w:r>
      <w:r>
        <w:rPr>
          <w:rFonts w:ascii="Courier New" w:hAnsi="Courier New"/>
          <w:b w:val="0"/>
          <w:color w:val="0B2545"/>
          <w:sz w:val="19"/>
        </w:rPr>
        <w:t>ResolvedPrincipal</w:t>
      </w:r>
      <w:r>
        <w:rPr>
          <w:rFonts w:ascii="Calibri" w:hAnsi="Calibri"/>
          <w:b w:val="0"/>
        </w:rPr>
        <w:t>, plus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trusted policy registries for agent authority, source properties, action constraints, target criticality/dependencies/consequences, and firewall-owned time.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Runtime HMAC evidence attestation over source, provenance, observation time,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content, semantic support/contradiction, relevance, and subject target.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Freshness-at-decision, reliability, relevance, corroboration, conflict,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missing-source, content-integrity, and poisoned-text assessment.</w:t>
      </w:r>
    </w:p>
    <w:p>
      <w:pPr>
        <w:pStyle w:val="Heading2"/>
        <w:keepNext/>
        <w:keepLines/>
        <w:spacing w:before="240" w:after="120" w:line="240" w:lineRule="auto"/>
      </w:pPr>
      <w:r>
        <w:rPr>
          <w:rFonts w:ascii="Calibri" w:hAnsi="Calibri"/>
          <w:b w:val="0"/>
        </w:rPr>
        <w:t>Decision and consequence plane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 xml:space="preserve">Exact </w:t>
      </w:r>
      <w:r>
        <w:rPr>
          <w:rFonts w:ascii="Courier New" w:hAnsi="Courier New"/>
          <w:b w:val="0"/>
          <w:color w:val="0B2545"/>
          <w:sz w:val="19"/>
        </w:rPr>
        <w:t>ALLOW</w:t>
      </w:r>
      <w:r>
        <w:rPr>
          <w:rFonts w:ascii="Calibri" w:hAnsi="Calibri"/>
          <w:b w:val="0"/>
        </w:rPr>
        <w:t xml:space="preserve">, </w:t>
      </w:r>
      <w:r>
        <w:rPr>
          <w:rFonts w:ascii="Courier New" w:hAnsi="Courier New"/>
          <w:b w:val="0"/>
          <w:color w:val="0B2545"/>
          <w:sz w:val="19"/>
        </w:rPr>
        <w:t>DENY</w:t>
      </w:r>
      <w:r>
        <w:rPr>
          <w:rFonts w:ascii="Calibri" w:hAnsi="Calibri"/>
          <w:b w:val="0"/>
        </w:rPr>
        <w:t xml:space="preserve">, </w:t>
      </w:r>
      <w:r>
        <w:rPr>
          <w:rFonts w:ascii="Courier New" w:hAnsi="Courier New"/>
          <w:b w:val="0"/>
          <w:color w:val="0B2545"/>
          <w:sz w:val="19"/>
        </w:rPr>
        <w:t>ESCALATE</w:t>
      </w:r>
      <w:r>
        <w:rPr>
          <w:rFonts w:ascii="Calibri" w:hAnsi="Calibri"/>
          <w:b w:val="0"/>
        </w:rPr>
        <w:t xml:space="preserve">, and </w:t>
      </w:r>
      <w:r>
        <w:rPr>
          <w:rFonts w:ascii="Courier New" w:hAnsi="Courier New"/>
          <w:b w:val="0"/>
          <w:color w:val="0B2545"/>
          <w:sz w:val="19"/>
        </w:rPr>
        <w:t>ALLOW_CONSTRAINED</w:t>
      </w:r>
      <w:r>
        <w:rPr>
          <w:rFonts w:ascii="Calibri" w:hAnsi="Calibri"/>
          <w:b w:val="0"/>
        </w:rPr>
        <w:t xml:space="preserve"> outcomes.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Structured stable reason codes, applicable rules, evidence/authority/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consequence findings, constraints, policy digest, and decision-context digest.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Explicit consequence evaluation for reversibility, criticality, dependencies,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cascade, blast radius, downtime, mission, safety, availability, and required human authority.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Recommendation/confidence separation: agent output remains advisory and never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grants authority.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Functionally separate deterministic decision verification before token issue.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Code-owned policy safety invariants for unique closed rule precedence,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evidence trust/strength/corroboration/zero-conflict floors, severe-consequence approval floors, and Tier-0 treatment for every domain controller.</w:t>
      </w:r>
    </w:p>
    <w:p>
      <w:pPr>
        <w:pStyle w:val="Heading2"/>
        <w:keepNext/>
        <w:keepLines/>
        <w:spacing w:before="240" w:after="120" w:line="240" w:lineRule="auto"/>
      </w:pPr>
      <w:r>
        <w:rPr>
          <w:rFonts w:ascii="Calibri" w:hAnsi="Calibri"/>
          <w:b w:val="0"/>
        </w:rPr>
        <w:t>Authorization, execution, and verification plane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HMAC authorization binding issuer instance, request, decision, agent, action,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target, canonical permitted parameters, issue/expiry time, policy identity and digest, decision context, target precondition, nonce, and signature.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Atomic process-local single-use consumption, including failed attempts;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sequential, concurrent, prior-instance, expired, altered, and wrong-scope reuse is rejected.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Mandatory broker and in-memory target mutation guarded by a private execution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capability and a target-state precondition.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Separate read-only target observation; broker-reported success cannot produce</w:t>
      </w:r>
    </w:p>
    <w:p>
      <w:pPr>
        <w:spacing w:before="0" w:after="120" w:line="264" w:lineRule="auto"/>
      </w:pPr>
      <w:r>
        <w:rPr>
          <w:rFonts w:ascii="Courier New" w:hAnsi="Courier New"/>
          <w:b w:val="0"/>
          <w:color w:val="0B2545"/>
          <w:sz w:val="19"/>
        </w:rPr>
        <w:t>VERIFIED</w:t>
      </w:r>
      <w:r>
        <w:rPr>
          <w:rFonts w:ascii="Calibri" w:hAnsi="Calibri"/>
          <w:b w:val="0"/>
        </w:rPr>
        <w:t xml:space="preserve">. Final classes include </w:t>
      </w:r>
      <w:r>
        <w:rPr>
          <w:rFonts w:ascii="Courier New" w:hAnsi="Courier New"/>
          <w:b w:val="0"/>
          <w:color w:val="0B2545"/>
          <w:sz w:val="19"/>
        </w:rPr>
        <w:t>FAILED</w:t>
      </w:r>
      <w:r>
        <w:rPr>
          <w:rFonts w:ascii="Calibri" w:hAnsi="Calibri"/>
          <w:b w:val="0"/>
        </w:rPr>
        <w:t xml:space="preserve">, </w:t>
      </w:r>
      <w:r>
        <w:rPr>
          <w:rFonts w:ascii="Courier New" w:hAnsi="Courier New"/>
          <w:b w:val="0"/>
          <w:color w:val="0B2545"/>
          <w:sz w:val="19"/>
        </w:rPr>
        <w:t>PARTIAL</w:t>
      </w:r>
      <w:r>
        <w:rPr>
          <w:rFonts w:ascii="Calibri" w:hAnsi="Calibri"/>
          <w:b w:val="0"/>
        </w:rPr>
        <w:t xml:space="preserve">, </w:t>
      </w:r>
      <w:r>
        <w:rPr>
          <w:rFonts w:ascii="Courier New" w:hAnsi="Courier New"/>
          <w:b w:val="0"/>
          <w:color w:val="0B2545"/>
          <w:sz w:val="19"/>
        </w:rPr>
        <w:t>UNEXPECTED_EFFECT</w:t>
      </w:r>
      <w:r>
        <w:rPr>
          <w:rFonts w:ascii="Calibri" w:hAnsi="Calibri"/>
          <w:b w:val="0"/>
        </w:rPr>
        <w:t xml:space="preserve">, and </w:t>
      </w:r>
      <w:r>
        <w:rPr>
          <w:rFonts w:ascii="Courier New" w:hAnsi="Courier New"/>
          <w:b w:val="0"/>
          <w:color w:val="0B2545"/>
          <w:sz w:val="19"/>
        </w:rPr>
        <w:t>ROLLBACK_REQUIRED</w:t>
      </w:r>
      <w:r>
        <w:rPr>
          <w:rFonts w:ascii="Calibri" w:hAnsi="Calibri"/>
          <w:b w:val="0"/>
        </w:rPr>
        <w:t>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Signed registered expiring human-approval requirement. A separately resolved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opaque human credential can create one atomically recorded exact-scope signed reevaluation receipt; the approval gate cannot mint a token, cause reevaluation, or invoke the broker.</w:t>
      </w:r>
    </w:p>
    <w:p>
      <w:pPr>
        <w:pStyle w:val="Heading2"/>
        <w:keepNext/>
        <w:keepLines/>
        <w:spacing w:before="240" w:after="120" w:line="240" w:lineRule="auto"/>
      </w:pPr>
      <w:r>
        <w:rPr>
          <w:rFonts w:ascii="Calibri" w:hAnsi="Calibri"/>
          <w:b w:val="0"/>
        </w:rPr>
        <w:t>Audit and observability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Correlated hash-linked request lifecycle through validation/decision,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authorization or suppression, broker/attempt, verification, and final state.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Explicit nonexecuting and broker-rejected terminal paths without fabricated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downstream events.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Exact executed-path request/decision/token/attempt/target/state/effect/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 xml:space="preserve">verification correlation. A post-effect prewrite audit failure closes through one honest </w:t>
      </w:r>
      <w:r>
        <w:rPr>
          <w:rFonts w:ascii="Courier New" w:hAnsi="Courier New"/>
          <w:b w:val="0"/>
          <w:color w:val="0B2545"/>
          <w:sz w:val="19"/>
        </w:rPr>
        <w:t>POST_EFFECT_ACCOUNTING_FAILURE</w:t>
      </w:r>
      <w:r>
        <w:rPr>
          <w:rFonts w:ascii="Calibri" w:hAnsi="Calibri"/>
          <w:b w:val="0"/>
        </w:rPr>
        <w:t xml:space="preserve">, returns </w:t>
      </w:r>
      <w:r>
        <w:rPr>
          <w:rFonts w:ascii="Courier New" w:hAnsi="Courier New"/>
          <w:b w:val="0"/>
          <w:color w:val="0B2545"/>
          <w:sz w:val="19"/>
        </w:rPr>
        <w:t>ROLLBACK_REQUIRED</w:t>
      </w:r>
      <w:r>
        <w:rPr>
          <w:rFonts w:ascii="Calibri" w:hAnsi="Calibri"/>
          <w:b w:val="0"/>
        </w:rPr>
        <w:t>, and reconciles the decision/verification-failure counters exactly once; it does not automate rollback.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Decision/rule/conflict/authorization/broker/verification/latency metrics.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Demo and corpus outputs omit reusable token signatures and runtime keys and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refuse to overwrite nonempty destinations.</w:t>
      </w:r>
    </w:p>
    <w:p>
      <w:pPr>
        <w:pStyle w:val="Heading1"/>
        <w:keepNext w:val="0"/>
        <w:keepLines/>
        <w:spacing w:before="320" w:after="160" w:line="240" w:lineRule="auto"/>
      </w:pPr>
      <w:r>
        <w:rPr>
          <w:rFonts w:ascii="Calibri" w:hAnsi="Calibri"/>
          <w:b w:val="0"/>
        </w:rPr>
        <w:t>Demonstrated mission paths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240"/>
        <w:gridCol w:w="3960"/>
      </w:tblGrid>
      <w:tr>
        <w:trPr>
          <w:trHeight w:hRule="auto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Demonstration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Trusted conditions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</w:rPr>
              <w:t>Observed local result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Tier-0 domain controller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 xml:space="preserve">AI requests isolation at confidence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0.96</w:t>
            </w:r>
            <w:r>
              <w:rPr>
                <w:rFonts w:ascii="Calibri" w:hAnsi="Calibri"/>
                <w:b w:val="0"/>
              </w:rPr>
              <w:t>; stale and conflicting evidence; authentication-service dependency and cascading consequence; agent lacks Tier-0 authority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b w:val="0"/>
                <w:color w:val="0B2545"/>
                <w:sz w:val="19"/>
              </w:rPr>
              <w:t>ESCALATE</w:t>
            </w:r>
            <w:r>
              <w:rPr>
                <w:rFonts w:ascii="Calibri" w:hAnsi="Calibri"/>
                <w:b w:val="0"/>
              </w:rPr>
              <w:t>; bound human-review requirement; no authorization, broker call, or state change</w:t>
            </w:r>
          </w:p>
        </w:tc>
      </w:tr>
      <w:tr>
        <w:trPr>
          <w:trHeight w:hRule="auto"/>
          <w:cantSplit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Low-criticality workstation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</w:rPr>
              <w:t>Credential-resolved workstation-containment authority; fresh corroborated HMAC-attested evidence; reversible bounded action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b w:val="0"/>
                <w:color w:val="0B2545"/>
                <w:sz w:val="19"/>
              </w:rPr>
              <w:t>ALLOW</w:t>
            </w:r>
            <w:r>
              <w:rPr>
                <w:rFonts w:ascii="Calibri" w:hAnsi="Calibri"/>
                <w:b w:val="0"/>
              </w:rPr>
              <w:t xml:space="preserve">; one exact-scope authorization and synthetic broker attempt; functionally separate same-project observation </w:t>
            </w:r>
            <w:r>
              <w:rPr>
                <w:rFonts w:ascii="Courier New" w:hAnsi="Courier New"/>
                <w:b w:val="0"/>
                <w:color w:val="0B2545"/>
                <w:sz w:val="19"/>
              </w:rPr>
              <w:t>VERIFIED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</w:rPr>
        <w:t>The deterministic corpus adds 46 declared canonical, evidence, authority, consequence, token/replay/bypass, broker/verifier, metamorphic, and combined attack cases. All 46 matched their project-controlled expectations locally. This is complete coverage of the declared corpus, not exhaustive security coverage or a statistical failure estimate.</w:t>
      </w:r>
    </w:p>
    <w:p>
      <w:pPr>
        <w:pStyle w:val="Heading1"/>
        <w:keepNext/>
        <w:keepLines/>
        <w:spacing w:before="320" w:after="160" w:line="240" w:lineRule="auto"/>
      </w:pPr>
      <w:r>
        <w:rPr>
          <w:rFonts w:ascii="Calibri" w:hAnsi="Calibri"/>
          <w:b w:val="0"/>
        </w:rPr>
        <w:t>Safety defects found and closed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Adversarial review found and closed release-blocking defects across cascading consequence and signed subject-target evidence binding; opaque credential and trust-domain key handling; polymorphic/late-mutable security values; machine policy safety floors; request/token/verifier/approval replay and failure atomicity; injected clock, identifier, verifier, broker, observer, and audit dependency failures; and executed-path/post-effect audit correlation. The 57-test focused suite includes dedicated negative regressions for these classes. These corrections are meaningful CE-1 implementation evidence, not exhaustive security assurance.</w:t>
      </w:r>
    </w:p>
    <w:p>
      <w:pPr>
        <w:pStyle w:val="Heading1"/>
        <w:keepNext/>
        <w:keepLines/>
        <w:spacing w:before="320" w:after="160" w:line="240" w:lineRule="auto"/>
      </w:pPr>
      <w:r>
        <w:rPr>
          <w:rFonts w:ascii="Calibri" w:hAnsi="Calibri"/>
          <w:b w:val="0"/>
        </w:rPr>
        <w:t>Security and evidence boundaries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The broker capability, private target method, and exact environment type are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application-level Python controls. They are not OS/process isolation, a reference monitor, or protection against arbitrary hostile same-process code.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Request and authorization ledgers are process-local memory. They are not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durable, distributed, crash consistent, or sufficient for multi-node replay prevention/idempotency.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Evidence attestations use domain-separated runtime HMAC synthetic keys. They do not establish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enterprise device identity, PKI/HSM custody, source authenticity, nonrepudiation, rotation/revocation, or independent provenance.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Decision and target verifiers are functionally separate non-model components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in the same project/process. They are not an external oracle or organizationally independent assurance.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Human approval authorizes a reevaluation receipt for an exact scope only. It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is not an action token, cannot execute, and does not itself cause reevaluation.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Audit is self-custodied and hash linked, not externally anchored, WORM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protected, trusted-time bound, or resistant to complete authorized replacement/truncation.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</w:rPr>
        <w:t>Two synthetic targets and injected faults do not establish vendor semantics,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real topology, eventual consistency, rollback feasibility, human workflow, mission outcome, or operational safety.</w:t>
      </w:r>
    </w:p>
    <w:p>
      <w:pPr>
        <w:pStyle w:val="Heading1"/>
        <w:keepNext/>
        <w:keepLines/>
        <w:pageBreakBefore/>
        <w:spacing w:before="320" w:after="160" w:line="240" w:lineRule="auto"/>
      </w:pPr>
      <w:r>
        <w:rPr>
          <w:rFonts w:ascii="Calibri" w:hAnsi="Calibri"/>
          <w:b w:val="0"/>
        </w:rPr>
        <w:t>Reproduce the local Phase 3 observations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PYTHONDONTWRITEBYTECODE=1 PYTHONPATH=src python3 -m unittest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tests.test_phase3_contracts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tests.test_phase3_decision_path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tests.test_phase3_authorization_boundary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tests.test_phase3_adversarial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tests.test_phase3_end_to_end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tests.test_phase3_corpus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tests.test_phase3_release_blockers -v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demo_dir="$(mktemp -d /tmp/adf-phase3-demo.XXXXXX)"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PYTHONDONTWRITEBYTECODE=1 PYTHONPATH=src python3 run_phase3.py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--output-dir "$demo_dir"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corpus_dir="$(mktemp -d /tmp/adf-phase3-corpus.XXXXXX)"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PYTHONDONTWRITEBYTECODE=1 PYTHONPATH=src python3 run_phase3_corpus.py \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 xml:space="preserve">  --output-dir "$corpus_dir"</w:t>
      </w:r>
    </w:p>
    <w:p>
      <w:pPr>
        <w:spacing w:before="0" w:after="60" w:line="240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</w:rPr>
        <w:t>Reproduce the settled local repository aggregate:</w:t>
      </w:r>
    </w:p>
    <w:p>
      <w:pPr>
        <w:spacing w:before="0" w:after="0" w:line="240" w:lineRule="auto"/>
        <w:ind w:left="216" w:right="216"/>
      </w:pPr>
      <w:r>
        <w:rPr>
          <w:rFonts w:ascii="Consolas" w:hAnsi="Consolas"/>
          <w:color w:val="0B2545"/>
          <w:sz w:val="15"/>
        </w:rPr>
        <w:t>PYTHONDONTWRITEBYTECODE=1 PYTHONPATH=src python3 -m unittest discover -s tests -v</w:t>
      </w:r>
    </w:p>
    <w:p>
      <w:pPr>
        <w:spacing w:before="0" w:after="60" w:line="240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</w:rPr>
        <w:t>Successful local return is diagnostic evidence for the checkout that ran. It does not substitute for an exact commit, CI, manifest verification, or external review.</w:t>
      </w:r>
    </w:p>
    <w:p>
      <w:pPr>
        <w:pStyle w:val="Heading1"/>
        <w:keepNext/>
        <w:keepLines/>
        <w:spacing w:before="320" w:after="160" w:line="240" w:lineRule="auto"/>
      </w:pPr>
      <w:r>
        <w:rPr>
          <w:rFonts w:ascii="Calibri" w:hAnsi="Calibri"/>
          <w:b w:val="0"/>
        </w:rPr>
        <w:t>Forward plan and gates</w:t>
      </w:r>
    </w:p>
    <w:p>
      <w:pPr>
        <w:spacing w:before="0" w:after="160" w:line="280" w:lineRule="auto"/>
        <w:ind w:left="605" w:hanging="403"/>
      </w:pPr>
      <w:r>
        <w:rPr>
          <w:rFonts w:ascii="Calibri" w:hAnsi="Calibri"/>
          <w:b w:val="0"/>
        </w:rPr>
        <w:t xml:space="preserve">1. </w:t>
      </w:r>
      <w:r>
        <w:rPr>
          <w:rFonts w:ascii="Calibri" w:hAnsi="Calibri"/>
          <w:b/>
        </w:rPr>
        <w:t>Close the local candidate.</w:t>
      </w:r>
      <w:r>
        <w:rPr>
          <w:rFonts w:ascii="Calibri" w:hAnsi="Calibri"/>
          <w:b w:val="0"/>
        </w:rPr>
        <w:t xml:space="preserve"> Reconcile traceability and diagrams and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resolve every release-blocking finding.</w:t>
      </w:r>
    </w:p>
    <w:p>
      <w:pPr>
        <w:spacing w:before="0" w:after="160" w:line="280" w:lineRule="auto"/>
        <w:ind w:left="605" w:hanging="403"/>
      </w:pPr>
      <w:r>
        <w:rPr>
          <w:rFonts w:ascii="Calibri" w:hAnsi="Calibri"/>
          <w:b w:val="0"/>
        </w:rPr>
        <w:t xml:space="preserve">2. </w:t>
      </w:r>
      <w:r>
        <w:rPr>
          <w:rFonts w:ascii="Calibri" w:hAnsi="Calibri"/>
          <w:b/>
        </w:rPr>
        <w:t>Freeze and verify.</w:t>
      </w:r>
      <w:r>
        <w:rPr>
          <w:rFonts w:ascii="Calibri" w:hAnsi="Calibri"/>
          <w:b w:val="0"/>
        </w:rPr>
        <w:t xml:space="preserve"> Run the focused Phase 3 modules, final repository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aggregate, both demos, corpus, documentation/link/schema/CSV checks, and integrity/package checks against settled bytes.</w:t>
      </w:r>
    </w:p>
    <w:p>
      <w:pPr>
        <w:spacing w:before="0" w:after="160" w:line="280" w:lineRule="auto"/>
        <w:ind w:left="605" w:hanging="403"/>
      </w:pPr>
      <w:r>
        <w:rPr>
          <w:rFonts w:ascii="Calibri" w:hAnsi="Calibri"/>
          <w:b w:val="0"/>
        </w:rPr>
        <w:t xml:space="preserve">3. </w:t>
      </w:r>
      <w:r>
        <w:rPr>
          <w:rFonts w:ascii="Calibri" w:hAnsi="Calibri"/>
          <w:b/>
        </w:rPr>
        <w:t>Commit and publish deliberately.</w:t>
      </w:r>
      <w:r>
        <w:rPr>
          <w:rFonts w:ascii="Calibri" w:hAnsi="Calibri"/>
          <w:b w:val="0"/>
        </w:rPr>
        <w:t xml:space="preserve"> Create one exact Phase 3 commit, record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its results, publish only under explicit authorization, and require green exact-commit GitHub CI and Dependency Graph checks.</w:t>
      </w:r>
    </w:p>
    <w:p>
      <w:pPr>
        <w:spacing w:before="0" w:after="160" w:line="280" w:lineRule="auto"/>
        <w:ind w:left="605" w:hanging="403"/>
      </w:pPr>
      <w:r>
        <w:rPr>
          <w:rFonts w:ascii="Calibri" w:hAnsi="Calibri"/>
          <w:b w:val="0"/>
        </w:rPr>
        <w:t xml:space="preserve">4. </w:t>
      </w:r>
      <w:r>
        <w:rPr>
          <w:rFonts w:ascii="Calibri" w:hAnsi="Calibri"/>
          <w:b/>
        </w:rPr>
        <w:t>Keep data-bearing work separate.</w:t>
      </w:r>
      <w:r>
        <w:rPr>
          <w:rFonts w:ascii="Calibri" w:hAnsi="Calibri"/>
          <w:b w:val="0"/>
        </w:rPr>
        <w:t xml:space="preserve"> </w:t>
      </w:r>
      <w:r>
        <w:rPr>
          <w:rFonts w:ascii="Courier New" w:hAnsi="Courier New"/>
          <w:b w:val="0"/>
          <w:color w:val="0B2545"/>
          <w:sz w:val="19"/>
        </w:rPr>
        <w:t>P2-CE-005</w:t>
      </w:r>
      <w:r>
        <w:rPr>
          <w:rFonts w:ascii="Calibri" w:hAnsi="Calibri"/>
          <w:b w:val="0"/>
        </w:rPr>
        <w:t>, if pursued, retains its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two-commit protocol. Historical replay requires an authenticated restricted Gate B package. Neither is implied by Phase 3 simulation success.</w:t>
      </w:r>
    </w:p>
    <w:p>
      <w:pPr>
        <w:spacing w:before="0" w:after="160" w:line="280" w:lineRule="auto"/>
        <w:ind w:left="605" w:hanging="403"/>
      </w:pPr>
      <w:r>
        <w:rPr>
          <w:rFonts w:ascii="Calibri" w:hAnsi="Calibri"/>
          <w:b w:val="0"/>
        </w:rPr>
        <w:t xml:space="preserve">5. </w:t>
      </w:r>
      <w:r>
        <w:rPr>
          <w:rFonts w:ascii="Calibri" w:hAnsi="Calibri"/>
          <w:b/>
        </w:rPr>
        <w:t>Require a new architecture before integration.</w:t>
      </w:r>
      <w:r>
        <w:rPr>
          <w:rFonts w:ascii="Calibri" w:hAnsi="Calibri"/>
          <w:b w:val="0"/>
        </w:rPr>
        <w:t xml:space="preserve"> A read-only service or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>controlled non-production action phase requires enterprise identity and source trust, process isolation, managed keys, durable distributed idempotency, vendor-specific broker/readback, rollback/reconciliation, external audit custody, change/incident authority, and authorizing-official acceptance.</w:t>
      </w:r>
    </w:p>
    <w:p>
      <w:pPr>
        <w:spacing w:before="0" w:after="120" w:line="264" w:lineRule="auto"/>
      </w:pPr>
      <w:r>
        <w:rPr>
          <w:rFonts w:ascii="Calibri" w:hAnsi="Calibri"/>
          <w:b w:val="0"/>
        </w:rPr>
        <w:t xml:space="preserve">See the </w:t>
      </w:r>
      <w:hyperlink r:id="rId14">
        <w:r>
          <w:rPr>
            <w:rFonts w:ascii="Calibri" w:hAnsi="Calibri"/>
            <w:color w:val="2E74B5"/>
            <w:u w:val="single"/>
          </w:rPr>
          <w:t>Phase 3 index</w:t>
        </w:r>
      </w:hyperlink>
      <w:r>
        <w:rPr>
          <w:rFonts w:ascii="Calibri" w:hAnsi="Calibri"/>
          <w:b w:val="0"/>
        </w:rPr>
        <w:t xml:space="preserve">, </w:t>
      </w:r>
      <w:hyperlink r:id="rId15">
        <w:r>
          <w:rPr>
            <w:rFonts w:ascii="Calibri" w:hAnsi="Calibri"/>
            <w:color w:val="2E74B5"/>
            <w:u w:val="single"/>
          </w:rPr>
          <w:t>architecture</w:t>
        </w:r>
      </w:hyperlink>
      <w:r>
        <w:rPr>
          <w:rFonts w:ascii="Calibri" w:hAnsi="Calibri"/>
          <w:b w:val="0"/>
        </w:rPr>
        <w:t xml:space="preserve">, </w:t>
      </w:r>
      <w:hyperlink r:id="rId16">
        <w:r>
          <w:rPr>
            <w:rFonts w:ascii="Calibri" w:hAnsi="Calibri"/>
            <w:color w:val="2E74B5"/>
            <w:u w:val="single"/>
          </w:rPr>
          <w:t>security and safety case</w:t>
        </w:r>
      </w:hyperlink>
      <w:r>
        <w:rPr>
          <w:rFonts w:ascii="Calibri" w:hAnsi="Calibri"/>
          <w:b w:val="0"/>
        </w:rPr>
        <w:t xml:space="preserve">, </w:t>
      </w:r>
      <w:hyperlink r:id="rId17">
        <w:r>
          <w:rPr>
            <w:rFonts w:ascii="Calibri" w:hAnsi="Calibri"/>
            <w:color w:val="2E74B5"/>
            <w:u w:val="single"/>
          </w:rPr>
          <w:t>T&amp;E plan</w:t>
        </w:r>
      </w:hyperlink>
      <w:r>
        <w:rPr>
          <w:rFonts w:ascii="Calibri" w:hAnsi="Calibri"/>
          <w:b w:val="0"/>
        </w:rPr>
        <w:t xml:space="preserve">, and </w:t>
      </w:r>
      <w:hyperlink r:id="rId18">
        <w:r>
          <w:rPr>
            <w:rFonts w:ascii="Calibri" w:hAnsi="Calibri"/>
            <w:color w:val="2E74B5"/>
            <w:u w:val="single"/>
          </w:rPr>
          <w:t>requirements traceability</w:t>
        </w:r>
      </w:hyperlink>
      <w:r>
        <w:rPr>
          <w:rFonts w:ascii="Calibri" w:hAnsi="Calibri"/>
          <w:b w:val="0"/>
        </w:rPr>
        <w:t>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F6B76"/>
        <w:sz w:val="16"/>
      </w:rPr>
      <w:t xml:space="preserve">Phase 3 simulation-only candidate - not operationally approved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F6B76"/>
        <w:sz w:val="16"/>
      </w:rPr>
      <w:t xml:space="preserve">Phase 3 simulation-only candidate - not operationally approved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1" w:color="D7DBE2"/>
      </w:pBdr>
    </w:pPr>
    <w:r>
      <w:rPr>
        <w:rFonts w:ascii="Calibri" w:hAnsi="Calibri"/>
        <w:b/>
        <w:color w:val="5F6B76"/>
        <w:sz w:val="17"/>
      </w:rPr>
      <w:t>AI Decision Firewall | Engineering Status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1" w:color="D7DBE2"/>
      </w:pBdr>
    </w:pPr>
    <w:r>
      <w:rPr>
        <w:rFonts w:ascii="Calibri" w:hAnsi="Calibri"/>
        <w:b/>
        <w:color w:val="5F6B76"/>
        <w:sz w:val="17"/>
      </w:rPr>
      <w:t>AI Decision Firewall | Engineering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80" w:after="120"/>
    </w:pPr>
    <w:rPr>
      <w:rFonts w:ascii="Calibri" w:hAnsi="Calibri"/>
      <w:i/>
      <w:color w:val="5F6B76"/>
      <w:sz w:val="18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phase3/README.md" TargetMode="External"/><Relationship Id="rId15" Type="http://schemas.openxmlformats.org/officeDocument/2006/relationships/hyperlink" Target="phase3/ARCHITECTURE.md" TargetMode="External"/><Relationship Id="rId16" Type="http://schemas.openxmlformats.org/officeDocument/2006/relationships/hyperlink" Target="phase3/SECURITY_AND_SAFETY_CASE.md" TargetMode="External"/><Relationship Id="rId17" Type="http://schemas.openxmlformats.org/officeDocument/2006/relationships/hyperlink" Target="phase3/TEST_AND_EVALUATION_PLAN.md" TargetMode="External"/><Relationship Id="rId18" Type="http://schemas.openxmlformats.org/officeDocument/2006/relationships/hyperlink" Target="phase3/REQUIREMENTS_TRACEABILITY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Decision Firewall Engineering Status and Forward Plan</dc:title>
  <dc:subject>Phase 3 simulation-only operational MVP candidate status</dc:subject>
  <dc:creator>AI Decision Firewall project</dc:creator>
  <cp:keywords>decision assurance, simulation safety, authorization, audit</cp:keywords>
  <dc:description>generated by python-docx</dc:description>
  <cp:lastModifiedBy/>
  <cp:revision>1</cp:revision>
  <dcterms:created xsi:type="dcterms:W3CDTF">2026-08-15T00:00:00Z</dcterms:created>
  <dcterms:modified xsi:type="dcterms:W3CDTF">2026-08-15T20:45:01Z</dcterms:modified>
  <cp:category/>
</cp:coreProperties>
</file>