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p14">
  <w:body>
    <w:p w14:paraId="5213AF9C"/>
    <w:p w14:paraId="6456F817"/>
    <w:p w14:paraId="3FAD6647"/>
    <w:p w14:paraId="4F26AE6D">
      <w:pPr>
        <w:spacing w:after="200"/>
        <w:jc w:val="center"/>
      </w:pPr>
      <w:r>
        <w:rPr>
          <w:rFonts w:ascii="PingFang SC" w:hAnsi="PingFang SC" w:eastAsia="PingFang SC"/>
          <w:b/>
          <w:color w:val="222222"/>
          <w:sz w:val="52"/>
        </w:rPr>
        <w:t>绘画心理观察报告</w:t>
      </w:r>
    </w:p>
    <w:p w14:paraId="47A2D0AD">
      <w:pPr>
        <w:spacing w:after="900"/>
        <w:jc w:val="center"/>
        <w:rPr>
          <w:rFonts w:hint="eastAsia" w:eastAsia="PingFang SC"/>
          <w:color w:val="1F497D" w:themeColor="text2"/>
          <w:sz w:val="24"/>
          <w:szCs w:val="24"/>
          <w:lang w:val="en-US" w:eastAsia="zh-CN"/>
          <w14:textFill>
            <w14:solidFill>
              <w14:schemeClr w14:val="tx2"/>
            </w14:solidFill>
          </w14:textFill>
        </w:rPr>
      </w:pPr>
      <w:r>
        <w:rPr>
          <w:rFonts w:ascii="PingFang SC" w:hAnsi="PingFang SC" w:eastAsia="PingFang SC"/>
          <w:b w:val="0"/>
          <w:color w:val="1F497D" w:themeColor="text2"/>
          <w:sz w:val="24"/>
          <w:szCs w:val="24"/>
          <w14:textFill>
            <w14:solidFill>
              <w14:schemeClr w14:val="tx2"/>
            </w14:solidFill>
          </w14:textFill>
        </w:rPr>
        <w:t xml:space="preserve">画面表达 · 情绪观察 · </w:t>
      </w:r>
      <w:r>
        <w:rPr>
          <w:rFonts w:hint="eastAsia" w:ascii="PingFang SC" w:hAnsi="PingFang SC" w:eastAsia="PingFang SC"/>
          <w:b w:val="0"/>
          <w:color w:val="1F497D" w:themeColor="text2"/>
          <w:sz w:val="24"/>
          <w:szCs w:val="24"/>
          <w:lang w:val="en-US" w:eastAsia="zh-CN"/>
          <w14:textFill>
            <w14:solidFill>
              <w14:schemeClr w14:val="tx2"/>
            </w14:solidFill>
          </w14:textFill>
        </w:rPr>
        <w:t>家庭疗愈咨询</w:t>
      </w:r>
    </w:p>
    <w:p w14:paraId="744BB07E">
      <w:pPr>
        <w:spacing w:before="1900"/>
        <w:jc w:val="center"/>
        <w:rPr>
          <w:color w:val="E46C0A" w:themeColor="accent6" w:themeShade="BF"/>
          <w:sz w:val="28"/>
          <w:szCs w:val="28"/>
        </w:rPr>
      </w:pPr>
      <w:r>
        <w:rPr>
          <w:rFonts w:ascii="PingFang SC" w:hAnsi="PingFang SC" w:eastAsia="PingFang SC"/>
          <w:b/>
          <w:color w:val="E46C0A" w:themeColor="accent6" w:themeShade="BF"/>
          <w:sz w:val="28"/>
          <w:szCs w:val="28"/>
        </w:rPr>
        <w:t>乐臻成长学院</w:t>
      </w:r>
    </w:p>
    <w:p w14:paraId="67800D10">
      <w:pPr>
        <w:jc w:val="center"/>
        <w:rPr>
          <w:sz w:val="20"/>
          <w:szCs w:val="20"/>
        </w:rPr>
      </w:pPr>
      <w:r>
        <w:rPr>
          <w:rFonts w:ascii="PingFang SC" w:hAnsi="PingFang SC" w:eastAsia="PingFang SC"/>
          <w:b w:val="0"/>
          <w:color w:val="667085"/>
          <w:sz w:val="20"/>
          <w:szCs w:val="20"/>
        </w:rPr>
        <w:t>仅作为家庭沟通与专业观察参考</w:t>
      </w:r>
    </w:p>
    <w:p w14:paraId="2965C886">
      <w:r>
        <w:br w:type="page"/>
      </w:r>
    </w:p>
    <w:p w14:paraId="47FB7C20">
      <w:pPr>
        <w:spacing w:before="80" w:after="160"/>
      </w:pPr>
      <w:r>
        <w:rPr>
          <w:rFonts w:ascii="PingFang SC" w:hAnsi="PingFang SC" w:eastAsia="PingFang SC"/>
          <w:b/>
          <w:color w:val="222222"/>
          <w:sz w:val="28"/>
        </w:rPr>
        <w:t>一、基本信息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520"/>
      </w:tblGrid>
      <w:tr w14:paraId="7C14E5AB">
        <w:trPr>
          <w:jc w:val="center"/>
        </w:trPr>
        <w:tc>
          <w:tcPr>
            <w:tcW w:w="2381" w:type="dxa"/>
            <w:tcBorders>
              <w:top w:val="single" w:color="E7EAF0" w:sz="6" w:space="0"/>
              <w:left w:val="single" w:color="E7EAF0" w:sz="6" w:space="0"/>
              <w:bottom w:val="single" w:color="E7EAF0" w:sz="6" w:space="0"/>
              <w:right w:val="single" w:color="E7EAF0" w:sz="6" w:space="0"/>
            </w:tcBorders>
            <w:shd w:val="clear" w:color="auto" w:fill="FAFBFC"/>
            <w:vAlign w:val="center"/>
          </w:tcPr>
          <w:p w14:paraId="3DA9A9F4">
            <w:pPr>
              <w:jc w:val="center"/>
              <w:rPr>
                <w:b w:val="0"/>
                <w:bCs/>
                <w:sz w:val="22"/>
                <w:szCs w:val="22"/>
              </w:rPr>
            </w:pPr>
            <w:r>
              <w:rPr>
                <w:rFonts w:ascii="PingFang SC" w:hAnsi="PingFang SC" w:eastAsia="PingFang SC"/>
                <w:b w:val="0"/>
                <w:bCs/>
                <w:color w:val="222222"/>
                <w:sz w:val="22"/>
                <w:szCs w:val="22"/>
              </w:rPr>
              <w:t>姓名</w:t>
            </w:r>
          </w:p>
        </w:tc>
        <w:tc>
          <w:tcPr>
            <w:tcW w:w="6520" w:type="dxa"/>
            <w:tcBorders>
              <w:top w:val="single" w:color="E7EAF0" w:sz="6" w:space="0"/>
              <w:left w:val="single" w:color="E7EAF0" w:sz="6" w:space="0"/>
              <w:bottom w:val="single" w:color="E7EAF0" w:sz="6" w:space="0"/>
              <w:right w:val="single" w:color="E7EAF0" w:sz="6" w:space="0"/>
            </w:tcBorders>
            <w:shd w:val="clear" w:color="auto" w:fill="FFFFFF"/>
            <w:vAlign w:val="center"/>
          </w:tcPr>
          <w:p w14:paraId="78F8689A">
            <w:pPr>
              <w:jc w:val="left"/>
              <w:rPr>
                <w:sz w:val="22"/>
                <w:szCs w:val="22"/>
              </w:rPr>
            </w:pPr>
            <w:r>
              <w:rPr>
                <w:rFonts w:ascii="PingFang SC" w:hAnsi="PingFang SC" w:eastAsia="PingFang SC"/>
                <w:b w:val="0"/>
                <w:color w:val="667085"/>
                <w:sz w:val="22"/>
                <w:szCs w:val="22"/>
              </w:rPr>
              <w:t>{{姓名}}</w:t>
            </w:r>
          </w:p>
        </w:tc>
      </w:tr>
      <w:tr w14:paraId="28D0F483">
        <w:trPr>
          <w:jc w:val="center"/>
        </w:trPr>
        <w:tc>
          <w:tcPr>
            <w:tcW w:w="2381" w:type="dxa"/>
            <w:tcBorders>
              <w:top w:val="single" w:color="E7EAF0" w:sz="6" w:space="0"/>
              <w:left w:val="single" w:color="E7EAF0" w:sz="6" w:space="0"/>
              <w:bottom w:val="single" w:color="E7EAF0" w:sz="6" w:space="0"/>
              <w:right w:val="single" w:color="E7EAF0" w:sz="6" w:space="0"/>
            </w:tcBorders>
            <w:shd w:val="clear" w:color="auto" w:fill="FAFBFC"/>
            <w:vAlign w:val="center"/>
          </w:tcPr>
          <w:p w14:paraId="3A0115EE">
            <w:pPr>
              <w:jc w:val="center"/>
              <w:rPr>
                <w:b w:val="0"/>
                <w:bCs/>
                <w:sz w:val="22"/>
                <w:szCs w:val="22"/>
              </w:rPr>
            </w:pPr>
            <w:r>
              <w:rPr>
                <w:rFonts w:ascii="PingFang SC" w:hAnsi="PingFang SC" w:eastAsia="PingFang SC"/>
                <w:b w:val="0"/>
                <w:bCs/>
                <w:color w:val="222222"/>
                <w:sz w:val="22"/>
                <w:szCs w:val="22"/>
              </w:rPr>
              <w:t>年龄</w:t>
            </w:r>
          </w:p>
        </w:tc>
        <w:tc>
          <w:tcPr>
            <w:tcW w:w="6520" w:type="dxa"/>
            <w:tcBorders>
              <w:top w:val="single" w:color="E7EAF0" w:sz="6" w:space="0"/>
              <w:left w:val="single" w:color="E7EAF0" w:sz="6" w:space="0"/>
              <w:bottom w:val="single" w:color="E7EAF0" w:sz="6" w:space="0"/>
              <w:right w:val="single" w:color="E7EAF0" w:sz="6" w:space="0"/>
            </w:tcBorders>
            <w:shd w:val="clear" w:color="auto" w:fill="FFFFFF"/>
            <w:vAlign w:val="center"/>
          </w:tcPr>
          <w:p w14:paraId="3413BC03">
            <w:pPr>
              <w:jc w:val="left"/>
              <w:rPr>
                <w:sz w:val="22"/>
                <w:szCs w:val="22"/>
              </w:rPr>
            </w:pPr>
            <w:r>
              <w:rPr>
                <w:rFonts w:ascii="PingFang SC" w:hAnsi="PingFang SC" w:eastAsia="PingFang SC"/>
                <w:b w:val="0"/>
                <w:color w:val="667085"/>
                <w:sz w:val="22"/>
                <w:szCs w:val="22"/>
              </w:rPr>
              <w:t>{{年龄}}</w:t>
            </w:r>
          </w:p>
        </w:tc>
      </w:tr>
      <w:tr w14:paraId="382A69CD">
        <w:trPr>
          <w:jc w:val="center"/>
        </w:trPr>
        <w:tc>
          <w:tcPr>
            <w:tcW w:w="2381" w:type="dxa"/>
            <w:tcBorders>
              <w:top w:val="single" w:color="E7EAF0" w:sz="6" w:space="0"/>
              <w:left w:val="single" w:color="E7EAF0" w:sz="6" w:space="0"/>
              <w:bottom w:val="single" w:color="E7EAF0" w:sz="6" w:space="0"/>
              <w:right w:val="single" w:color="E7EAF0" w:sz="6" w:space="0"/>
            </w:tcBorders>
            <w:shd w:val="clear" w:color="auto" w:fill="FAFBFC"/>
            <w:vAlign w:val="center"/>
          </w:tcPr>
          <w:p w14:paraId="4C2C868D">
            <w:pPr>
              <w:jc w:val="center"/>
              <w:rPr>
                <w:b w:val="0"/>
                <w:bCs/>
                <w:sz w:val="22"/>
                <w:szCs w:val="22"/>
              </w:rPr>
            </w:pPr>
            <w:r>
              <w:rPr>
                <w:rFonts w:ascii="PingFang SC" w:hAnsi="PingFang SC" w:eastAsia="PingFang SC"/>
                <w:b w:val="0"/>
                <w:bCs/>
                <w:color w:val="222222"/>
                <w:sz w:val="22"/>
                <w:szCs w:val="22"/>
              </w:rPr>
              <w:t>性别</w:t>
            </w:r>
          </w:p>
        </w:tc>
        <w:tc>
          <w:tcPr>
            <w:tcW w:w="6520" w:type="dxa"/>
            <w:tcBorders>
              <w:top w:val="single" w:color="E7EAF0" w:sz="6" w:space="0"/>
              <w:left w:val="single" w:color="E7EAF0" w:sz="6" w:space="0"/>
              <w:bottom w:val="single" w:color="E7EAF0" w:sz="6" w:space="0"/>
              <w:right w:val="single" w:color="E7EAF0" w:sz="6" w:space="0"/>
            </w:tcBorders>
            <w:shd w:val="clear" w:color="auto" w:fill="FFFFFF"/>
            <w:vAlign w:val="center"/>
          </w:tcPr>
          <w:p w14:paraId="3DCC49AF">
            <w:pPr>
              <w:jc w:val="left"/>
              <w:rPr>
                <w:sz w:val="22"/>
                <w:szCs w:val="22"/>
              </w:rPr>
            </w:pPr>
            <w:r>
              <w:rPr>
                <w:rFonts w:ascii="PingFang SC" w:hAnsi="PingFang SC" w:eastAsia="PingFang SC"/>
                <w:b w:val="0"/>
                <w:color w:val="667085"/>
                <w:sz w:val="22"/>
                <w:szCs w:val="22"/>
              </w:rPr>
              <w:t>{{性别}}</w:t>
            </w:r>
          </w:p>
        </w:tc>
      </w:tr>
      <w:tr w14:paraId="52BE393C">
        <w:trPr>
          <w:jc w:val="center"/>
        </w:trPr>
        <w:tc>
          <w:tcPr>
            <w:tcW w:w="2381" w:type="dxa"/>
            <w:tcBorders>
              <w:top w:val="single" w:color="E7EAF0" w:sz="6" w:space="0"/>
              <w:left w:val="single" w:color="E7EAF0" w:sz="6" w:space="0"/>
              <w:bottom w:val="single" w:color="E7EAF0" w:sz="6" w:space="0"/>
              <w:right w:val="single" w:color="E7EAF0" w:sz="6" w:space="0"/>
            </w:tcBorders>
            <w:shd w:val="clear" w:color="auto" w:fill="FAFBFC"/>
            <w:vAlign w:val="center"/>
          </w:tcPr>
          <w:p w14:paraId="39F9DCE1">
            <w:pPr>
              <w:jc w:val="center"/>
              <w:rPr>
                <w:b w:val="0"/>
                <w:bCs/>
                <w:sz w:val="22"/>
                <w:szCs w:val="22"/>
              </w:rPr>
            </w:pPr>
            <w:r>
              <w:rPr>
                <w:rFonts w:ascii="PingFang SC" w:hAnsi="PingFang SC" w:eastAsia="PingFang SC"/>
                <w:b w:val="0"/>
                <w:bCs/>
                <w:color w:val="222222"/>
                <w:sz w:val="22"/>
                <w:szCs w:val="22"/>
              </w:rPr>
              <w:t>在读年级</w:t>
            </w:r>
          </w:p>
        </w:tc>
        <w:tc>
          <w:tcPr>
            <w:tcW w:w="6520" w:type="dxa"/>
            <w:tcBorders>
              <w:top w:val="single" w:color="E7EAF0" w:sz="6" w:space="0"/>
              <w:left w:val="single" w:color="E7EAF0" w:sz="6" w:space="0"/>
              <w:bottom w:val="single" w:color="E7EAF0" w:sz="6" w:space="0"/>
              <w:right w:val="single" w:color="E7EAF0" w:sz="6" w:space="0"/>
            </w:tcBorders>
            <w:shd w:val="clear" w:color="auto" w:fill="FFFFFF"/>
            <w:vAlign w:val="center"/>
          </w:tcPr>
          <w:p w14:paraId="5CD6F959">
            <w:pPr>
              <w:jc w:val="left"/>
              <w:rPr>
                <w:sz w:val="22"/>
                <w:szCs w:val="22"/>
              </w:rPr>
            </w:pPr>
            <w:r>
              <w:rPr>
                <w:rFonts w:ascii="PingFang SC" w:hAnsi="PingFang SC" w:eastAsia="PingFang SC"/>
                <w:b w:val="0"/>
                <w:color w:val="667085"/>
                <w:sz w:val="22"/>
                <w:szCs w:val="22"/>
              </w:rPr>
              <w:t>{{在读年级}}</w:t>
            </w:r>
          </w:p>
        </w:tc>
      </w:tr>
      <w:tr w14:paraId="213DB746">
        <w:trPr>
          <w:jc w:val="center"/>
        </w:trPr>
        <w:tc>
          <w:tcPr>
            <w:tcW w:w="2381" w:type="dxa"/>
            <w:tcBorders>
              <w:top w:val="single" w:color="E7EAF0" w:sz="6" w:space="0"/>
              <w:left w:val="single" w:color="E7EAF0" w:sz="6" w:space="0"/>
              <w:bottom w:val="single" w:color="E7EAF0" w:sz="6" w:space="0"/>
              <w:right w:val="single" w:color="E7EAF0" w:sz="6" w:space="0"/>
            </w:tcBorders>
            <w:shd w:val="clear" w:color="auto" w:fill="FAFBFC"/>
            <w:vAlign w:val="center"/>
          </w:tcPr>
          <w:p w14:paraId="44C44F75">
            <w:pPr>
              <w:jc w:val="center"/>
              <w:rPr>
                <w:b w:val="0"/>
                <w:bCs/>
                <w:sz w:val="22"/>
                <w:szCs w:val="22"/>
              </w:rPr>
            </w:pPr>
            <w:r>
              <w:rPr>
                <w:rFonts w:ascii="PingFang SC" w:hAnsi="PingFang SC" w:eastAsia="PingFang SC"/>
                <w:b w:val="0"/>
                <w:bCs/>
                <w:color w:val="222222"/>
                <w:sz w:val="22"/>
                <w:szCs w:val="22"/>
              </w:rPr>
              <w:t>测评日期</w:t>
            </w:r>
          </w:p>
        </w:tc>
        <w:tc>
          <w:tcPr>
            <w:tcW w:w="6520" w:type="dxa"/>
            <w:tcBorders>
              <w:top w:val="single" w:color="E7EAF0" w:sz="6" w:space="0"/>
              <w:left w:val="single" w:color="E7EAF0" w:sz="6" w:space="0"/>
              <w:bottom w:val="single" w:color="E7EAF0" w:sz="6" w:space="0"/>
              <w:right w:val="single" w:color="E7EAF0" w:sz="6" w:space="0"/>
            </w:tcBorders>
            <w:shd w:val="clear" w:color="auto" w:fill="FFFFFF"/>
            <w:vAlign w:val="center"/>
          </w:tcPr>
          <w:p w14:paraId="34025417">
            <w:pPr>
              <w:jc w:val="left"/>
              <w:rPr>
                <w:sz w:val="22"/>
                <w:szCs w:val="22"/>
              </w:rPr>
            </w:pPr>
            <w:r>
              <w:rPr>
                <w:rFonts w:ascii="PingFang SC" w:hAnsi="PingFang SC" w:eastAsia="PingFang SC"/>
                <w:b w:val="0"/>
                <w:color w:val="667085"/>
                <w:sz w:val="22"/>
                <w:szCs w:val="22"/>
              </w:rPr>
              <w:t>{{测评日期}}</w:t>
            </w:r>
          </w:p>
        </w:tc>
      </w:tr>
      <w:tr w14:paraId="5FC722F9">
        <w:trPr>
          <w:jc w:val="center"/>
        </w:trPr>
        <w:tc>
          <w:tcPr>
            <w:tcW w:w="2381" w:type="dxa"/>
            <w:tcBorders>
              <w:top w:val="single" w:color="E7EAF0" w:sz="6" w:space="0"/>
              <w:left w:val="single" w:color="E7EAF0" w:sz="6" w:space="0"/>
              <w:bottom w:val="single" w:color="E7EAF0" w:sz="6" w:space="0"/>
              <w:right w:val="single" w:color="E7EAF0" w:sz="6" w:space="0"/>
            </w:tcBorders>
            <w:shd w:val="clear" w:color="auto" w:fill="FAFBFC"/>
            <w:vAlign w:val="center"/>
          </w:tcPr>
          <w:p w14:paraId="19986809">
            <w:pPr>
              <w:jc w:val="center"/>
              <w:rPr>
                <w:b w:val="0"/>
                <w:bCs/>
                <w:sz w:val="22"/>
                <w:szCs w:val="22"/>
              </w:rPr>
            </w:pPr>
            <w:r>
              <w:rPr>
                <w:rFonts w:ascii="PingFang SC" w:hAnsi="PingFang SC" w:eastAsia="PingFang SC"/>
                <w:b w:val="0"/>
                <w:bCs/>
                <w:color w:val="222222"/>
                <w:sz w:val="22"/>
                <w:szCs w:val="22"/>
              </w:rPr>
              <w:t>绘画主题</w:t>
            </w:r>
          </w:p>
        </w:tc>
        <w:tc>
          <w:tcPr>
            <w:tcW w:w="6520" w:type="dxa"/>
            <w:tcBorders>
              <w:top w:val="single" w:color="E7EAF0" w:sz="6" w:space="0"/>
              <w:left w:val="single" w:color="E7EAF0" w:sz="6" w:space="0"/>
              <w:bottom w:val="single" w:color="E7EAF0" w:sz="6" w:space="0"/>
              <w:right w:val="single" w:color="E7EAF0" w:sz="6" w:space="0"/>
            </w:tcBorders>
            <w:shd w:val="clear" w:color="auto" w:fill="FFFFFF"/>
            <w:vAlign w:val="center"/>
          </w:tcPr>
          <w:p w14:paraId="12E06769">
            <w:pPr>
              <w:jc w:val="left"/>
              <w:rPr>
                <w:sz w:val="22"/>
                <w:szCs w:val="22"/>
              </w:rPr>
            </w:pPr>
            <w:r>
              <w:rPr>
                <w:rFonts w:ascii="PingFang SC" w:hAnsi="PingFang SC" w:eastAsia="PingFang SC"/>
                <w:b w:val="0"/>
                <w:color w:val="667085"/>
                <w:sz w:val="22"/>
                <w:szCs w:val="22"/>
              </w:rPr>
              <w:t>{{绘画主题}}</w:t>
            </w:r>
          </w:p>
        </w:tc>
      </w:tr>
    </w:tbl>
    <w:p w14:paraId="20BBE328">
      <w:pPr>
        <w:spacing w:after="80"/>
      </w:pPr>
      <w:r>
        <w:rPr>
          <w:rFonts w:ascii="PingFang SC" w:hAnsi="PingFang SC" w:eastAsia="PingFang SC"/>
          <w:b/>
          <w:color w:val="222222"/>
          <w:sz w:val="28"/>
        </w:rPr>
        <w:t>二、整体观察</w:t>
      </w:r>
    </w:p>
    <w:p w14:paraId="0BFC9648">
      <w:pPr>
        <w:spacing w:after="140" w:line="312" w:lineRule="auto"/>
        <w:rPr>
          <w:sz w:val="24"/>
          <w:szCs w:val="24"/>
        </w:rPr>
      </w:pPr>
      <w:r>
        <w:rPr>
          <w:rFonts w:ascii="PingFang SC" w:hAnsi="PingFang SC" w:eastAsia="PingFang SC"/>
          <w:b w:val="0"/>
          <w:color w:val="222222"/>
          <w:sz w:val="24"/>
          <w:szCs w:val="24"/>
        </w:rPr>
        <w:t>{{测评师解读}}</w:t>
      </w:r>
    </w:p>
    <w:p>
      <w:pPr>
        <w:spacing w:after="80"/>
      </w:pPr>
      <w:r>
        <w:rPr>
          <w:rFonts w:ascii="PingFang SC" w:hAnsi="PingFang SC" w:eastAsia="PingFang SC"/>
          <w:b/>
          <w:color w:val="222222"/>
          <w:sz w:val="28"/>
        </w:rPr>
        <w:t xml:space="preserve">后续支持</w:t>
      </w:r>
    </w:p>
    <w:p>
      <w:r>
        <w:t xml:space="preserve">如家长希望进一步了解孩子的情绪表达、亲子沟通或学习适应情况，可预约一对一咨询，由专业老师结合孩子日常表现与家庭情况进行深入沟通。</w:t>
      </w:r>
    </w:p>
    <w:p w14:paraId="02A9A653">
      <w:pPr>
        <w:spacing w:before="40" w:after="80"/>
        <w:rPr>
          <w:rFonts w:ascii="PingFang SC" w:hAnsi="PingFang SC" w:eastAsia="PingFang SC"/>
          <w:b/>
          <w:color w:val="222222"/>
          <w:sz w:val="28"/>
        </w:rPr>
      </w:pPr>
      <w:r>
        <w:rPr>
          <w:rFonts w:ascii="PingFang SC" w:hAnsi="PingFang SC" w:eastAsia="PingFang SC"/>
          <w:b/>
          <w:color w:val="222222"/>
          <w:sz w:val="28"/>
        </w:rPr>
        <w:t>温馨提示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01138371">
        <w:tc>
          <w:tcPr>
            <w:tcW w:w="9412" w:type="dxa"/>
            <w:tcBorders>
              <w:top w:val="single" w:color="F5F6F8" w:sz="0" w:space="0"/>
              <w:left w:val="single" w:color="F5F6F8" w:sz="0" w:space="0"/>
              <w:bottom w:val="single" w:color="F5F6F8" w:sz="0" w:space="0"/>
              <w:right w:val="single" w:color="F5F6F8" w:sz="0" w:space="0"/>
            </w:tcBorders>
            <w:shd w:val="clear" w:color="auto" w:fill="F5F6F8"/>
          </w:tcPr>
          <w:p w14:paraId="24D79672">
            <w:pPr>
              <w:spacing w:before="40" w:after="40"/>
            </w:pPr>
            <w:r>
              <w:rPr>
                <w:rFonts w:ascii="PingFang SC" w:hAnsi="PingFang SC" w:eastAsia="PingFang SC"/>
                <w:b w:val="0"/>
                <w:color w:val="4E5560"/>
                <w:sz w:val="24"/>
                <w:szCs w:val="24"/>
              </w:rPr>
              <w:t>本报告仅作为了解儿童心理状态、情绪表达和亲子沟通的参考，不作为医学诊断依据。绘画心理分析具有情境性，需结合孩子的年龄、成长环境、日常行为表现及必要的专业访谈综合判断。</w:t>
            </w:r>
          </w:p>
        </w:tc>
      </w:tr>
    </w:tbl>
    <w:p w14:paraId="00997EF8"/>
    <w:sectPr>
      <w:headerReference r:id="rId5" w:type="default"/>
      <w:footerReference r:id="rId6" w:type="default"/>
      <w:pgSz w:w="11906" w:h="16838"/>
      <w:pgMar w:top="1191" w:right="1247" w:bottom="1020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47772D">
    <w:pPr>
      <w:pStyle w:val="24"/>
      <w:jc w:val="center"/>
    </w:pPr>
    <w:r>
      <w:rPr>
        <w:rFonts w:ascii="PingFang SC" w:hAnsi="PingFang SC" w:eastAsia="PingFang SC"/>
        <w:b w:val="0"/>
        <w:color w:val="667085"/>
        <w:sz w:val="15"/>
      </w:rPr>
      <w:t>本报告仅作为家庭沟通与专业观察参考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15D796">
    <w:pPr>
      <w:pStyle w:val="25"/>
      <w:jc w:val="right"/>
    </w:pPr>
    <w:r>
      <w:rPr>
        <w:rFonts w:ascii="PingFang SC" w:hAnsi="PingFang SC" w:eastAsia="PingFang SC"/>
        <w:b w:val="0"/>
        <w:color w:val="667085"/>
        <w:sz w:val="16"/>
      </w:rPr>
      <w:t>乐臻成长学院 · 绘画心理观察报告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B7C512"/>
    <w:multiLevelType w:val="singleLevel"/>
    <w:tmpl w:val="CFB7C512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people.xml><?xml version="1.0" encoding="utf-8"?>
<w15:people xmlns:w15="http://schemas.microsoft.com/office/word/2012/wordml">
  <w15:person w15:author="Coze">
    <w15:presenceInfo w15:providerId="None" w15:userId="Coz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FCF406E"/>
    <w:rsid w:val="2F6CA1D7"/>
    <w:rsid w:val="3EF2BBFE"/>
    <w:rsid w:val="BFFF9C17"/>
    <w:rsid w:val="CFD324F3"/>
    <w:rsid w:val="DBAB103C"/>
    <w:rsid w:val="E7FFFC40"/>
    <w:rsid w:val="ECFC9669"/>
    <w:rsid w:val="EEFF2897"/>
    <w:rsid w:val="EFFD7F45"/>
    <w:rsid w:val="FBE7D772"/>
    <w:rsid w:val="154C348B"/>
    <w:rsid w:val="22E00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?>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11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ruiyi</cp:lastModifiedBy>
  <dcterms:modified xsi:type="dcterms:W3CDTF">2026-07-17T18:10:20Z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7E81B23893F2AE8B0CE5596AF405AD82_43</vt:lpwstr>
  </property>
  <property fmtid="{D5CDD505-2E9C-101B-9397-08002B2CF9AE}" pid="4" name="AIGC">
    <vt:lpwstr>{"Label":"1","ContentProducer":"001191110102MACQD9K64018705","ProduceID":"3260467101049850_0/project_7663407923661603112-files/绘画心理报告技能/test_drawing_output.docx","ReservedCode1":"","ContentPropagator":"001191110102MACQD9K64028705","PropagateID":"3260467101049850#1784432153294","ReservedCode2":""}</vt:lpwstr>
  </property>
</Properties>
</file>