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2C5EB6" w:rsidP="00A2269D">
      <w:pPr>
        <w:pStyle w:val="Titel"/>
      </w:pPr>
      <w:r w:rsidRPr="002C5EB6">
        <w:t>Semesterarbeit Teil 4a: Visualisierung von Taylor-Polynomen</w:t>
      </w:r>
    </w:p>
    <w:p w:rsidR="00A2269D" w:rsidRDefault="00A2269D" w:rsidP="00D05645">
      <w:pPr>
        <w:pStyle w:val="berschrift1"/>
      </w:pPr>
      <w:r w:rsidRPr="00A2269D">
        <w:t>Aufgabenstellung</w:t>
      </w:r>
    </w:p>
    <w:p w:rsidR="002C5EB6" w:rsidRDefault="002C5EB6" w:rsidP="00713801">
      <w:r w:rsidRPr="002C5EB6">
        <w:t xml:space="preserve">Visualisieren Sie die Approximation einer Funktion durch Taylorpolynome (z.B. von sin(x) oder von </w:t>
      </w:r>
      <w:proofErr w:type="spellStart"/>
      <w:r w:rsidRPr="002C5EB6">
        <w:t>ln</w:t>
      </w:r>
      <w:proofErr w:type="spellEnd"/>
      <w:r w:rsidRPr="002C5EB6">
        <w:t>(x+1)</w:t>
      </w:r>
      <w:r>
        <w:t>.)</w:t>
      </w:r>
    </w:p>
    <w:p w:rsidR="00D05645" w:rsidRPr="00D05645" w:rsidRDefault="002C5EB6" w:rsidP="00713801">
      <w:proofErr w:type="spellStart"/>
      <w:r w:rsidRPr="002C5EB6">
        <w:t>Schreibem</w:t>
      </w:r>
      <w:proofErr w:type="spellEnd"/>
      <w:r w:rsidRPr="002C5EB6">
        <w:t xml:space="preserve"> Sie eine Python-Funktion, die die Graphen der Ursprungsfunktion sowie der Taylorpolynome bis zu einem bestimmten Grad mit </w:t>
      </w:r>
      <w:proofErr w:type="spellStart"/>
      <w:r w:rsidRPr="002C5EB6">
        <w:t>Matplotlib</w:t>
      </w:r>
      <w:proofErr w:type="spellEnd"/>
      <w:r w:rsidRPr="002C5EB6">
        <w:t xml:space="preserve"> visualisiert.</w:t>
      </w:r>
    </w:p>
    <w:p w:rsidR="00FB793E" w:rsidRDefault="00A43DB6" w:rsidP="00A43DB6">
      <w:pPr>
        <w:pStyle w:val="berschrift1"/>
      </w:pPr>
      <w:r>
        <w:t>Implementation</w:t>
      </w:r>
    </w:p>
    <w:p w:rsidR="00350BFB" w:rsidRPr="00350BFB" w:rsidRDefault="00350BFB" w:rsidP="00350BFB">
      <w:pPr>
        <w:pStyle w:val="berschrift2"/>
      </w:pPr>
      <w:r>
        <w:t>Struktur</w:t>
      </w:r>
    </w:p>
    <w:p w:rsidR="00B818C9" w:rsidRPr="00B818C9" w:rsidRDefault="009E458A" w:rsidP="00B818C9">
      <w:r>
        <w:t>Für diese Arbeit verwende ich folgende Scripts</w:t>
      </w:r>
      <w:r w:rsidR="00350BFB">
        <w:t>:</w:t>
      </w:r>
    </w:p>
    <w:p w:rsidR="00B818C9" w:rsidRPr="00B818C9" w:rsidRDefault="00B818C9" w:rsidP="00B818C9">
      <w:pPr>
        <w:numPr>
          <w:ilvl w:val="0"/>
          <w:numId w:val="3"/>
        </w:numPr>
        <w:contextualSpacing/>
      </w:pPr>
      <w:r w:rsidRPr="00B818C9">
        <w:t>«test.py»: Dieses Script dient zur Überprüfung der Implementationen.</w:t>
      </w:r>
    </w:p>
    <w:p w:rsidR="00B818C9" w:rsidRPr="00B818C9" w:rsidRDefault="00B818C9" w:rsidP="00B818C9">
      <w:pPr>
        <w:numPr>
          <w:ilvl w:val="0"/>
          <w:numId w:val="3"/>
        </w:numPr>
        <w:contextualSpacing/>
      </w:pPr>
      <w:r w:rsidRPr="00B818C9">
        <w:t xml:space="preserve">«tools.py»: Dieses Script enthält </w:t>
      </w:r>
      <w:r w:rsidR="00F223DF">
        <w:t>die Funktion mit dem Newton-Verfahren</w:t>
      </w:r>
      <w:r w:rsidRPr="00B818C9">
        <w:t>.</w:t>
      </w:r>
    </w:p>
    <w:p w:rsidR="00893EC0" w:rsidRDefault="002C5EB6" w:rsidP="00893EC0">
      <w:pPr>
        <w:pStyle w:val="berschrift2"/>
      </w:pPr>
      <w:r>
        <w:t>Scripts</w:t>
      </w:r>
    </w:p>
    <w:p w:rsidR="0040421D" w:rsidRDefault="002C5EB6" w:rsidP="0040421D">
      <w:r>
        <w:t>Für diese Semesterarbeit habe ich den Python-Code ausführlich kommentiert, damit ich hier mehr Platz für den Theorieteil der Aufgabe habe.</w:t>
      </w:r>
    </w:p>
    <w:p w:rsidR="002C5EB6" w:rsidRDefault="002C5EB6" w:rsidP="002C5EB6">
      <w:pPr>
        <w:pStyle w:val="berschrift2"/>
      </w:pPr>
      <w:r>
        <w:t>Resultat</w:t>
      </w:r>
    </w:p>
    <w:p w:rsidR="002C5EB6" w:rsidRDefault="002C5EB6" w:rsidP="002C5EB6">
      <w:r>
        <w:t>Zuerst hat man die Möglichkeit eine Funktion (aus den beiden Beispielfunktionen für die Aufgabe) zu wählen. Dann wird der entsprechende Graph durch die Funktion «</w:t>
      </w:r>
      <w:proofErr w:type="spellStart"/>
      <w:r w:rsidRPr="002C5EB6">
        <w:t>show_taylor_</w:t>
      </w:r>
      <w:proofErr w:type="gramStart"/>
      <w:r w:rsidRPr="002C5EB6">
        <w:t>graph</w:t>
      </w:r>
      <w:proofErr w:type="spellEnd"/>
      <w:r w:rsidRPr="002C5EB6">
        <w:t>(</w:t>
      </w:r>
      <w:proofErr w:type="spellStart"/>
      <w:proofErr w:type="gramEnd"/>
      <w:r w:rsidRPr="002C5EB6">
        <w:t>fnc</w:t>
      </w:r>
      <w:proofErr w:type="spellEnd"/>
      <w:r w:rsidRPr="002C5EB6">
        <w:t xml:space="preserve">, </w:t>
      </w:r>
      <w:proofErr w:type="spellStart"/>
      <w:r w:rsidRPr="002C5EB6">
        <w:t>depth</w:t>
      </w:r>
      <w:proofErr w:type="spellEnd"/>
      <w:r w:rsidRPr="002C5EB6">
        <w:t xml:space="preserve">, </w:t>
      </w:r>
      <w:proofErr w:type="spellStart"/>
      <w:r w:rsidRPr="002C5EB6">
        <w:t>grid_min</w:t>
      </w:r>
      <w:proofErr w:type="spellEnd"/>
      <w:r w:rsidRPr="002C5EB6">
        <w:t xml:space="preserve">, </w:t>
      </w:r>
      <w:proofErr w:type="spellStart"/>
      <w:r w:rsidRPr="002C5EB6">
        <w:t>grid_max</w:t>
      </w:r>
      <w:proofErr w:type="spellEnd"/>
      <w:r w:rsidRPr="002C5EB6">
        <w:t>)</w:t>
      </w:r>
      <w:r>
        <w:t xml:space="preserve">» generiert: </w:t>
      </w:r>
    </w:p>
    <w:p w:rsidR="005646B0" w:rsidRDefault="005646B0" w:rsidP="002C5EB6">
      <w:r>
        <w:rPr>
          <w:noProof/>
        </w:rPr>
        <w:drawing>
          <wp:inline distT="0" distB="0" distL="0" distR="0" wp14:anchorId="1F591C99" wp14:editId="10ACAA76">
            <wp:extent cx="554355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1104900"/>
                    </a:xfrm>
                    <a:prstGeom prst="rect">
                      <a:avLst/>
                    </a:prstGeom>
                  </pic:spPr>
                </pic:pic>
              </a:graphicData>
            </a:graphic>
          </wp:inline>
        </w:drawing>
      </w:r>
    </w:p>
    <w:p w:rsidR="002C5EB6" w:rsidRDefault="002C5EB6" w:rsidP="002C5EB6">
      <w:pPr>
        <w:tabs>
          <w:tab w:val="right" w:pos="10348"/>
        </w:tabs>
      </w:pPr>
      <w:r>
        <w:rPr>
          <w:noProof/>
        </w:rPr>
        <w:drawing>
          <wp:inline distT="0" distB="0" distL="0" distR="0" wp14:anchorId="746F7FE5" wp14:editId="7A44CA9D">
            <wp:extent cx="3200400" cy="28813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8131" cy="2888317"/>
                    </a:xfrm>
                    <a:prstGeom prst="rect">
                      <a:avLst/>
                    </a:prstGeom>
                  </pic:spPr>
                </pic:pic>
              </a:graphicData>
            </a:graphic>
          </wp:inline>
        </w:drawing>
      </w:r>
      <w:r>
        <w:t xml:space="preserve"> </w:t>
      </w:r>
      <w:r>
        <w:tab/>
      </w:r>
      <w:r>
        <w:rPr>
          <w:noProof/>
        </w:rPr>
        <w:drawing>
          <wp:inline distT="0" distB="0" distL="0" distR="0" wp14:anchorId="6DE00C45" wp14:editId="0910A8F6">
            <wp:extent cx="3200400" cy="28813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20" cy="2896321"/>
                    </a:xfrm>
                    <a:prstGeom prst="rect">
                      <a:avLst/>
                    </a:prstGeom>
                  </pic:spPr>
                </pic:pic>
              </a:graphicData>
            </a:graphic>
          </wp:inline>
        </w:drawing>
      </w:r>
    </w:p>
    <w:p w:rsidR="005646B0" w:rsidRDefault="001355B9" w:rsidP="002C5EB6">
      <w:pPr>
        <w:tabs>
          <w:tab w:val="right" w:pos="10348"/>
        </w:tabs>
      </w:pPr>
      <w:r>
        <w:t xml:space="preserve">Grafik 1: </w:t>
      </w:r>
      <w:r w:rsidR="005646B0">
        <w:t>sin(x)</w:t>
      </w:r>
      <w:r w:rsidR="005646B0">
        <w:tab/>
      </w:r>
      <w:r>
        <w:t xml:space="preserve">Grafik 2: </w:t>
      </w:r>
      <w:proofErr w:type="spellStart"/>
      <w:r w:rsidR="005646B0">
        <w:t>ln</w:t>
      </w:r>
      <w:proofErr w:type="spellEnd"/>
      <w:r w:rsidR="005646B0">
        <w:t>(x+1)</w:t>
      </w:r>
    </w:p>
    <w:p w:rsidR="002C5EB6" w:rsidRDefault="002C5EB6">
      <w:r>
        <w:br w:type="page"/>
      </w:r>
    </w:p>
    <w:p w:rsidR="002C5EB6" w:rsidRDefault="005646B0" w:rsidP="005646B0">
      <w:pPr>
        <w:pStyle w:val="berschrift1"/>
      </w:pPr>
      <w:r>
        <w:lastRenderedPageBreak/>
        <w:t>Theorieteil</w:t>
      </w:r>
    </w:p>
    <w:p w:rsidR="005646B0" w:rsidRDefault="00CE552E" w:rsidP="005646B0">
      <w:r>
        <w:t xml:space="preserve">Mit der </w:t>
      </w:r>
      <w:r w:rsidRPr="00CE552E">
        <w:t>Taylorformel</w:t>
      </w:r>
      <w:r>
        <w:t xml:space="preserve"> kann man das </w:t>
      </w:r>
      <w:r w:rsidRPr="00CE552E">
        <w:t>Taylorpolynom</w:t>
      </w:r>
      <w:r w:rsidR="00463D58">
        <w:t xml:space="preserve"> errechnen:</w:t>
      </w:r>
    </w:p>
    <w:p w:rsidR="00463D58" w:rsidRDefault="00463D58" w:rsidP="005646B0">
      <w:r>
        <w:rPr>
          <w:noProof/>
        </w:rPr>
        <w:drawing>
          <wp:inline distT="0" distB="0" distL="0" distR="0">
            <wp:extent cx="6645910" cy="906661"/>
            <wp:effectExtent l="19050" t="19050" r="21590" b="27305"/>
            <wp:docPr id="6" name="Grafik 6" descr="http://www.mathematik.net/reihen-taylorreihen/ty2s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ematik.net/reihen-taylorreihen/ty2s25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906661"/>
                    </a:xfrm>
                    <a:prstGeom prst="rect">
                      <a:avLst/>
                    </a:prstGeom>
                    <a:noFill/>
                    <a:ln>
                      <a:solidFill>
                        <a:schemeClr val="tx1"/>
                      </a:solidFill>
                    </a:ln>
                  </pic:spPr>
                </pic:pic>
              </a:graphicData>
            </a:graphic>
          </wp:inline>
        </w:drawing>
      </w:r>
    </w:p>
    <w:p w:rsidR="00463D58" w:rsidRDefault="00463D58" w:rsidP="005646B0">
      <w:r>
        <w:rPr>
          <w:noProof/>
        </w:rPr>
        <mc:AlternateContent>
          <mc:Choice Requires="wps">
            <w:drawing>
              <wp:anchor distT="0" distB="0" distL="114300" distR="114300" simplePos="0" relativeHeight="251659264" behindDoc="0" locked="0" layoutInCell="1" allowOverlap="1">
                <wp:simplePos x="0" y="0"/>
                <wp:positionH relativeFrom="column">
                  <wp:posOffset>2686051</wp:posOffset>
                </wp:positionH>
                <wp:positionV relativeFrom="paragraph">
                  <wp:posOffset>15875</wp:posOffset>
                </wp:positionV>
                <wp:extent cx="3978910" cy="1171575"/>
                <wp:effectExtent l="133350" t="0" r="21590" b="28575"/>
                <wp:wrapNone/>
                <wp:docPr id="5" name="Sprechblase: rechteckig 5"/>
                <wp:cNvGraphicFramePr/>
                <a:graphic xmlns:a="http://schemas.openxmlformats.org/drawingml/2006/main">
                  <a:graphicData uri="http://schemas.microsoft.com/office/word/2010/wordprocessingShape">
                    <wps:wsp>
                      <wps:cNvSpPr/>
                      <wps:spPr>
                        <a:xfrm>
                          <a:off x="0" y="0"/>
                          <a:ext cx="3978910" cy="1171575"/>
                        </a:xfrm>
                        <a:prstGeom prst="wedgeRectCallout">
                          <a:avLst>
                            <a:gd name="adj1" fmla="val -53151"/>
                            <a:gd name="adj2" fmla="val -11484"/>
                          </a:avLst>
                        </a:prstGeom>
                      </wps:spPr>
                      <wps:style>
                        <a:lnRef idx="2">
                          <a:schemeClr val="dk1"/>
                        </a:lnRef>
                        <a:fillRef idx="1">
                          <a:schemeClr val="lt1"/>
                        </a:fillRef>
                        <a:effectRef idx="0">
                          <a:schemeClr val="dk1"/>
                        </a:effectRef>
                        <a:fontRef idx="minor">
                          <a:schemeClr val="dk1"/>
                        </a:fontRef>
                      </wps:style>
                      <wps:txbx>
                        <w:txbxContent>
                          <w:p w:rsidR="00463D58" w:rsidRDefault="00463D58" w:rsidP="00463D58">
                            <w:r>
                              <w:t>Die Bilder mit der Formel habe ich kopiert von:</w:t>
                            </w:r>
                          </w:p>
                          <w:p w:rsidR="00463D58" w:rsidRDefault="00463D58" w:rsidP="00463D58">
                            <w:hyperlink r:id="rId12" w:history="1">
                              <w:r w:rsidRPr="00C30471">
                                <w:rPr>
                                  <w:rStyle w:val="Hyperlink"/>
                                </w:rPr>
                                <w:t>http://www.mathematik.net/reihen-taylorreihen/ty2s25.htm</w:t>
                              </w:r>
                            </w:hyperlink>
                          </w:p>
                          <w:p w:rsidR="00463D58" w:rsidRDefault="00463D58" w:rsidP="00463D58">
                            <w:r>
                              <w:t>Beide Formeln kommen auf dasselbe Resultat, die oben einfach ohne und die unten mit Summenzeichen.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rechblase: rechteckig 5" o:spid="_x0000_s1026" type="#_x0000_t61" style="position:absolute;margin-left:211.5pt;margin-top:1.25pt;width:313.3pt;height:9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" adj="-681,8319" fillcolor="white [3201]" strokecolor="black [3200]" strokeweight="1pt">
                <v:textbox>
                  <w:txbxContent>
                    <w:p w:rsidR="00463D58" w:rsidRDefault="00463D58" w:rsidP="00463D58">
                      <w:r>
                        <w:t>Die Bilder mit der Formel habe ich kopiert von:</w:t>
                      </w:r>
                    </w:p>
                    <w:p w:rsidR="00463D58" w:rsidRDefault="00463D58" w:rsidP="00463D58">
                      <w:hyperlink r:id="rId13" w:history="1">
                        <w:r w:rsidRPr="00C30471">
                          <w:rPr>
                            <w:rStyle w:val="Hyperlink"/>
                          </w:rPr>
                          <w:t>http://www.mathematik.net/reihen-taylorreihen/ty2s25.htm</w:t>
                        </w:r>
                      </w:hyperlink>
                    </w:p>
                    <w:p w:rsidR="00463D58" w:rsidRDefault="00463D58" w:rsidP="00463D58">
                      <w:r>
                        <w:t>Beide Formeln kommen auf dasselbe Resultat, die oben einfach ohne und die unten mit Summenzeichen.</w:t>
                      </w:r>
                    </w:p>
                  </w:txbxContent>
                </v:textbox>
              </v:shape>
            </w:pict>
          </mc:Fallback>
        </mc:AlternateContent>
      </w:r>
      <w:r>
        <w:rPr>
          <w:noProof/>
        </w:rPr>
        <w:drawing>
          <wp:inline distT="0" distB="0" distL="0" distR="0">
            <wp:extent cx="2457450" cy="1171575"/>
            <wp:effectExtent l="19050" t="19050" r="19050" b="28575"/>
            <wp:docPr id="4" name="Grafik 4" descr="http://www.mathematik.net/reihen-taylorreihen/ty2s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k.net/reihen-taylorreihen/ty2s25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171575"/>
                    </a:xfrm>
                    <a:prstGeom prst="rect">
                      <a:avLst/>
                    </a:prstGeom>
                    <a:noFill/>
                    <a:ln>
                      <a:solidFill>
                        <a:schemeClr val="tx1"/>
                      </a:solidFill>
                    </a:ln>
                  </pic:spPr>
                </pic:pic>
              </a:graphicData>
            </a:graphic>
          </wp:inline>
        </w:drawing>
      </w:r>
      <w:r>
        <w:t xml:space="preserve">   </w:t>
      </w:r>
    </w:p>
    <w:p w:rsidR="00463D58" w:rsidRDefault="00CF2EE8" w:rsidP="005646B0">
      <w:r>
        <w:t>Zu den Variablen:</w:t>
      </w:r>
    </w:p>
    <w:p w:rsidR="00CF2EE8" w:rsidRDefault="00CF2EE8" w:rsidP="00CF2EE8">
      <w:pPr>
        <w:pStyle w:val="Listenabsatz"/>
        <w:numPr>
          <w:ilvl w:val="0"/>
          <w:numId w:val="10"/>
        </w:numPr>
        <w:tabs>
          <w:tab w:val="left" w:pos="1701"/>
        </w:tabs>
      </w:pPr>
      <w:r>
        <w:t xml:space="preserve">f(x): </w:t>
      </w:r>
      <w:r>
        <w:tab/>
        <w:t>Ist das Taylorpolynom</w:t>
      </w:r>
    </w:p>
    <w:p w:rsidR="00CF2EE8" w:rsidRDefault="00CF2EE8" w:rsidP="00CF2EE8">
      <w:pPr>
        <w:pStyle w:val="Listenabsatz"/>
        <w:numPr>
          <w:ilvl w:val="0"/>
          <w:numId w:val="10"/>
        </w:numPr>
        <w:tabs>
          <w:tab w:val="left" w:pos="1701"/>
        </w:tabs>
      </w:pPr>
      <w:r>
        <w:t xml:space="preserve">n: </w:t>
      </w:r>
      <w:r>
        <w:tab/>
        <w:t>Ist der Grad des Taylorpolynoms</w:t>
      </w:r>
    </w:p>
    <w:p w:rsidR="00CF2EE8" w:rsidRDefault="00CF2EE8" w:rsidP="00CF2EE8">
      <w:pPr>
        <w:pStyle w:val="Listenabsatz"/>
        <w:numPr>
          <w:ilvl w:val="0"/>
          <w:numId w:val="10"/>
        </w:numPr>
        <w:tabs>
          <w:tab w:val="left" w:pos="1701"/>
        </w:tabs>
      </w:pPr>
      <w:proofErr w:type="spellStart"/>
      <w:r>
        <w:t>x</w:t>
      </w:r>
      <w:r w:rsidRPr="00CF2EE8">
        <w:rPr>
          <w:vertAlign w:val="subscript"/>
        </w:rPr>
        <w:t>e</w:t>
      </w:r>
      <w:proofErr w:type="spellEnd"/>
      <w:r>
        <w:t xml:space="preserve">: </w:t>
      </w:r>
      <w:r>
        <w:tab/>
        <w:t xml:space="preserve">Ist die </w:t>
      </w:r>
      <w:proofErr w:type="spellStart"/>
      <w:r w:rsidRPr="00CF2EE8">
        <w:t>Entwicklungstelle</w:t>
      </w:r>
      <w:proofErr w:type="spellEnd"/>
      <w:r>
        <w:t xml:space="preserve"> des Taylorpolynoms</w:t>
      </w:r>
    </w:p>
    <w:p w:rsidR="00CF2EE8" w:rsidRDefault="00CF2EE8" w:rsidP="00CF2EE8">
      <w:pPr>
        <w:pStyle w:val="Listenabsatz"/>
        <w:numPr>
          <w:ilvl w:val="0"/>
          <w:numId w:val="10"/>
        </w:numPr>
        <w:tabs>
          <w:tab w:val="left" w:pos="1701"/>
        </w:tabs>
      </w:pPr>
      <w:r>
        <w:t xml:space="preserve">x: </w:t>
      </w:r>
      <w:r>
        <w:tab/>
        <w:t xml:space="preserve">Unbekannte welche ungefähr </w:t>
      </w:r>
      <w:proofErr w:type="spellStart"/>
      <w:r>
        <w:t>x</w:t>
      </w:r>
      <w:r w:rsidRPr="00CF2EE8">
        <w:rPr>
          <w:vertAlign w:val="subscript"/>
        </w:rPr>
        <w:t>e</w:t>
      </w:r>
      <w:proofErr w:type="spellEnd"/>
      <w:r>
        <w:t xml:space="preserve"> entspricht</w:t>
      </w:r>
    </w:p>
    <w:p w:rsidR="004D2E47" w:rsidRDefault="004D2E47" w:rsidP="00CF2EE8">
      <w:pPr>
        <w:pStyle w:val="Listenabsatz"/>
        <w:numPr>
          <w:ilvl w:val="0"/>
          <w:numId w:val="10"/>
        </w:numPr>
        <w:tabs>
          <w:tab w:val="left" w:pos="1701"/>
        </w:tabs>
      </w:pPr>
      <w:r>
        <w:t xml:space="preserve">k: </w:t>
      </w:r>
      <w:r>
        <w:tab/>
        <w:t>Wird bis nach n, also nach dem Grad hochgezählt für jede Summenzeicheninstanz</w:t>
      </w:r>
    </w:p>
    <w:p w:rsidR="004D2E47" w:rsidRDefault="004D2E47" w:rsidP="00CF2EE8">
      <w:pPr>
        <w:pStyle w:val="Listenabsatz"/>
        <w:numPr>
          <w:ilvl w:val="0"/>
          <w:numId w:val="10"/>
        </w:numPr>
        <w:tabs>
          <w:tab w:val="left" w:pos="1701"/>
        </w:tabs>
      </w:pPr>
      <w:r>
        <w:t>f</w:t>
      </w:r>
      <w:r w:rsidRPr="004D2E47">
        <w:rPr>
          <w:vertAlign w:val="superscript"/>
        </w:rPr>
        <w:t>(k)</w:t>
      </w:r>
      <w:r>
        <w:t xml:space="preserve">: </w:t>
      </w:r>
      <w:r>
        <w:tab/>
        <w:t>Ist die k-</w:t>
      </w:r>
      <w:proofErr w:type="spellStart"/>
      <w:r>
        <w:t>te</w:t>
      </w:r>
      <w:proofErr w:type="spellEnd"/>
      <w:r>
        <w:t xml:space="preserve"> Ableitung von f(</w:t>
      </w:r>
      <w:proofErr w:type="spellStart"/>
      <w:r>
        <w:t>x</w:t>
      </w:r>
      <w:r w:rsidRPr="004D2E47">
        <w:rPr>
          <w:vertAlign w:val="subscript"/>
        </w:rPr>
        <w:t>e</w:t>
      </w:r>
      <w:proofErr w:type="spellEnd"/>
      <w:r>
        <w:t>)</w:t>
      </w:r>
    </w:p>
    <w:p w:rsidR="004D2E47" w:rsidRDefault="00A54EE9" w:rsidP="004D2E47">
      <w:pPr>
        <w:tabs>
          <w:tab w:val="left" w:pos="1701"/>
        </w:tabs>
      </w:pPr>
      <w:r>
        <w:t>Und wieso machen wir das alles?</w:t>
      </w:r>
    </w:p>
    <w:p w:rsidR="00A54EE9" w:rsidRDefault="00A54EE9" w:rsidP="00A54EE9">
      <w:pPr>
        <w:pStyle w:val="Listenabsatz"/>
        <w:numPr>
          <w:ilvl w:val="0"/>
          <w:numId w:val="11"/>
        </w:numPr>
        <w:tabs>
          <w:tab w:val="left" w:pos="1701"/>
        </w:tabs>
      </w:pPr>
      <w:r>
        <w:t>Durch die Taylorpolynome können Funktionen und einzelne Funktionswerte relativ exakt approximiert werden.</w:t>
      </w:r>
    </w:p>
    <w:p w:rsidR="00A54EE9" w:rsidRDefault="00A54EE9" w:rsidP="00A54EE9">
      <w:pPr>
        <w:pStyle w:val="Listenabsatz"/>
        <w:numPr>
          <w:ilvl w:val="0"/>
          <w:numId w:val="11"/>
        </w:numPr>
        <w:tabs>
          <w:tab w:val="left" w:pos="1701"/>
        </w:tabs>
      </w:pPr>
      <w:r>
        <w:t>Je grösser der Grad (also die Zahl n) ist, desto grösser ist die Genauigkeit der Approximation.</w:t>
      </w:r>
    </w:p>
    <w:p w:rsidR="00A54EE9" w:rsidRDefault="00A54EE9" w:rsidP="00A54EE9">
      <w:pPr>
        <w:pStyle w:val="Listenabsatz"/>
        <w:numPr>
          <w:ilvl w:val="0"/>
          <w:numId w:val="11"/>
        </w:numPr>
        <w:tabs>
          <w:tab w:val="left" w:pos="1701"/>
        </w:tabs>
      </w:pPr>
      <w:r>
        <w:t>Polynome sind auf eine leichte Art und Weise (beliebig oft) differenzierbar.</w:t>
      </w:r>
    </w:p>
    <w:p w:rsidR="00A54EE9" w:rsidRDefault="00A54EE9" w:rsidP="00A54EE9">
      <w:pPr>
        <w:pStyle w:val="Listenabsatz"/>
        <w:numPr>
          <w:ilvl w:val="0"/>
          <w:numId w:val="11"/>
        </w:numPr>
        <w:tabs>
          <w:tab w:val="left" w:pos="1701"/>
        </w:tabs>
      </w:pPr>
      <w:r>
        <w:t>Polynome sind verhältnismässig leicht zu integrieren.</w:t>
      </w:r>
    </w:p>
    <w:p w:rsidR="00A54EE9" w:rsidRDefault="00A54EE9" w:rsidP="004D2E47">
      <w:pPr>
        <w:tabs>
          <w:tab w:val="left" w:pos="1701"/>
        </w:tabs>
      </w:pPr>
      <w:r w:rsidRPr="001355B9">
        <w:rPr>
          <w:b/>
        </w:rPr>
        <w:t xml:space="preserve">Beispiel zu den Aussagen aus </w:t>
      </w:r>
      <w:r w:rsidR="001355B9" w:rsidRPr="001355B9">
        <w:rPr>
          <w:b/>
        </w:rPr>
        <w:t>dem Python-Code:</w:t>
      </w:r>
      <w:r w:rsidR="001355B9">
        <w:t xml:space="preserve"> Wie man auf der Grafik 1 und auf der Grafik 2 klar erkennen kann, sind alle Taylor-Polynome anfangs noch sehr nahe an der Basisfunktion und weichen dann immer weiter ab. Je höher jedoch der Grad (also die Zahl n) ist, desto länger und näher befinden sich die Polynome auch an der Basisfunktion.</w:t>
      </w:r>
    </w:p>
    <w:p w:rsidR="001355B9" w:rsidRDefault="001355B9" w:rsidP="004D2E47">
      <w:pPr>
        <w:tabs>
          <w:tab w:val="left" w:pos="1701"/>
        </w:tabs>
      </w:pPr>
      <w:r>
        <w:t>Das Programm gibt auch die Formeln für alle berechneten Polynome aus:</w:t>
      </w:r>
    </w:p>
    <w:p w:rsidR="001355B9" w:rsidRDefault="001355B9" w:rsidP="00316F96">
      <w:pPr>
        <w:pStyle w:val="Code"/>
        <w:ind w:left="284"/>
      </w:pPr>
      <w:r>
        <w:t xml:space="preserve">n=1 </w:t>
      </w:r>
      <w:r w:rsidRPr="001355B9">
        <w:rPr>
          <w:b/>
          <w:color w:val="C00000"/>
        </w:rPr>
        <w:t>x</w:t>
      </w:r>
    </w:p>
    <w:p w:rsidR="001355B9" w:rsidRDefault="001355B9" w:rsidP="00316F96">
      <w:pPr>
        <w:pStyle w:val="Code"/>
        <w:ind w:left="284"/>
      </w:pPr>
      <w:r>
        <w:t xml:space="preserve">n=2 </w:t>
      </w:r>
      <w:r w:rsidRPr="001355B9">
        <w:rPr>
          <w:b/>
          <w:color w:val="C45911" w:themeColor="accent2" w:themeShade="BF"/>
        </w:rPr>
        <w:t>-x**2/2</w:t>
      </w:r>
      <w:r>
        <w:t xml:space="preserve"> + </w:t>
      </w:r>
      <w:r w:rsidRPr="001355B9">
        <w:rPr>
          <w:b/>
          <w:color w:val="C00000"/>
        </w:rPr>
        <w:t>x</w:t>
      </w:r>
    </w:p>
    <w:p w:rsidR="001355B9" w:rsidRDefault="001355B9" w:rsidP="00316F96">
      <w:pPr>
        <w:pStyle w:val="Code"/>
        <w:ind w:left="284"/>
      </w:pPr>
      <w:r>
        <w:t xml:space="preserve">n=3 </w:t>
      </w:r>
      <w:r w:rsidRPr="001355B9">
        <w:rPr>
          <w:b/>
          <w:color w:val="0070C0"/>
        </w:rPr>
        <w:t>x**3/3</w:t>
      </w:r>
      <w:r>
        <w:t xml:space="preserve"> </w:t>
      </w:r>
      <w:r w:rsidRPr="001355B9">
        <w:rPr>
          <w:b/>
          <w:color w:val="C45911" w:themeColor="accent2" w:themeShade="BF"/>
        </w:rPr>
        <w:t>- x**2/2</w:t>
      </w:r>
      <w:r>
        <w:t xml:space="preserve"> + </w:t>
      </w:r>
      <w:r w:rsidRPr="001355B9">
        <w:rPr>
          <w:b/>
          <w:color w:val="C00000"/>
        </w:rPr>
        <w:t>x</w:t>
      </w:r>
    </w:p>
    <w:p w:rsidR="001355B9" w:rsidRDefault="001355B9" w:rsidP="00316F96">
      <w:pPr>
        <w:pStyle w:val="Code"/>
        <w:ind w:left="284"/>
      </w:pPr>
      <w:r>
        <w:t xml:space="preserve">n=4 </w:t>
      </w:r>
      <w:r w:rsidRPr="001355B9">
        <w:rPr>
          <w:b/>
          <w:color w:val="7030A0"/>
        </w:rPr>
        <w:t>-x**4/4</w:t>
      </w:r>
      <w:r>
        <w:t xml:space="preserve"> + </w:t>
      </w:r>
      <w:r w:rsidRPr="001355B9">
        <w:rPr>
          <w:b/>
          <w:color w:val="0070C0"/>
        </w:rPr>
        <w:t>x**3/3</w:t>
      </w:r>
      <w:r>
        <w:t xml:space="preserve"> </w:t>
      </w:r>
      <w:r w:rsidRPr="001355B9">
        <w:rPr>
          <w:b/>
          <w:color w:val="C45911" w:themeColor="accent2" w:themeShade="BF"/>
        </w:rPr>
        <w:t>- x**2/2</w:t>
      </w:r>
      <w:r>
        <w:t xml:space="preserve"> + </w:t>
      </w:r>
      <w:r w:rsidRPr="001355B9">
        <w:rPr>
          <w:b/>
          <w:color w:val="C00000"/>
        </w:rPr>
        <w:t>x</w:t>
      </w:r>
    </w:p>
    <w:p w:rsidR="001355B9" w:rsidRDefault="001355B9" w:rsidP="00316F96">
      <w:pPr>
        <w:pStyle w:val="Code"/>
        <w:ind w:left="284"/>
      </w:pPr>
      <w:r>
        <w:t xml:space="preserve">n=5 </w:t>
      </w:r>
      <w:r w:rsidRPr="001355B9">
        <w:rPr>
          <w:b/>
          <w:color w:val="00B050"/>
        </w:rPr>
        <w:t>x**5/5</w:t>
      </w:r>
      <w:r>
        <w:t xml:space="preserve"> </w:t>
      </w:r>
      <w:r w:rsidRPr="001355B9">
        <w:rPr>
          <w:b/>
          <w:color w:val="7030A0"/>
        </w:rPr>
        <w:t>- x**4/4</w:t>
      </w:r>
      <w:r>
        <w:t xml:space="preserve"> + </w:t>
      </w:r>
      <w:r w:rsidRPr="001355B9">
        <w:rPr>
          <w:b/>
          <w:color w:val="0070C0"/>
        </w:rPr>
        <w:t>x**3/3</w:t>
      </w:r>
      <w:r>
        <w:t xml:space="preserve"> </w:t>
      </w:r>
      <w:r w:rsidRPr="001355B9">
        <w:rPr>
          <w:b/>
          <w:color w:val="C45911" w:themeColor="accent2" w:themeShade="BF"/>
        </w:rPr>
        <w:t>- x**2/2</w:t>
      </w:r>
      <w:r>
        <w:t xml:space="preserve"> + </w:t>
      </w:r>
      <w:r w:rsidRPr="001355B9">
        <w:rPr>
          <w:b/>
          <w:color w:val="C00000"/>
        </w:rPr>
        <w:t>x</w:t>
      </w:r>
      <w:bookmarkStart w:id="0" w:name="_GoBack"/>
      <w:bookmarkEnd w:id="0"/>
    </w:p>
    <w:p w:rsidR="001355B9" w:rsidRDefault="001355B9" w:rsidP="001355B9">
      <w:pPr>
        <w:tabs>
          <w:tab w:val="left" w:pos="1701"/>
        </w:tabs>
      </w:pPr>
      <w:r>
        <w:t>Hier kann man das gut das wiederholende Summenmuster erkennen (ich habe es farblich gekennzeichnet).</w:t>
      </w:r>
    </w:p>
    <w:p w:rsidR="00082963" w:rsidRDefault="00082963" w:rsidP="001355B9">
      <w:pPr>
        <w:tabs>
          <w:tab w:val="left" w:pos="1701"/>
        </w:tabs>
      </w:pPr>
      <w:r w:rsidRPr="00082963">
        <w:rPr>
          <w:b/>
        </w:rPr>
        <w:t>«k!» ist eine Fakultät:</w:t>
      </w:r>
      <w:r>
        <w:t xml:space="preserve"> «</w:t>
      </w:r>
      <w:r w:rsidRPr="00082963">
        <w:t xml:space="preserve">Die Fakultät (manchmal, besonders in Österreich, auch </w:t>
      </w:r>
      <w:proofErr w:type="spellStart"/>
      <w:r w:rsidRPr="00082963">
        <w:t>Faktorielle</w:t>
      </w:r>
      <w:proofErr w:type="spellEnd"/>
      <w:r w:rsidRPr="00082963">
        <w:t xml:space="preserve"> genannt) ist in der Mathematik eine Funktion, die einer natürlichen Zahl das Produkt aller natürlichen Zahlen (ohne Null) kleiner und gleich dieser Zahl zuordnet.</w:t>
      </w:r>
      <w:r>
        <w:t xml:space="preserve">» - </w:t>
      </w:r>
      <w:hyperlink r:id="rId15" w:history="1">
        <w:r w:rsidRPr="00C30471">
          <w:rPr>
            <w:rStyle w:val="Hyperlink"/>
          </w:rPr>
          <w:t>https://de.wikipedia.org/wiki/Fakult%C3%A4t_(Mathematik)</w:t>
        </w:r>
      </w:hyperlink>
    </w:p>
    <w:sectPr w:rsidR="00082963" w:rsidSect="00DD0E74">
      <w:headerReference w:type="default" r:id="rId16"/>
      <w:footerReference w:type="default" r:id="rId1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305" w:rsidRDefault="00AC2305" w:rsidP="00DD0E74">
      <w:pPr>
        <w:spacing w:after="0" w:line="240" w:lineRule="auto"/>
      </w:pPr>
      <w:r>
        <w:separator/>
      </w:r>
    </w:p>
  </w:endnote>
  <w:endnote w:type="continuationSeparator" w:id="0">
    <w:p w:rsidR="00AC2305" w:rsidRDefault="00AC2305"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82963">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82963">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305" w:rsidRDefault="00AC2305" w:rsidP="00DD0E74">
      <w:pPr>
        <w:spacing w:after="0" w:line="240" w:lineRule="auto"/>
      </w:pPr>
      <w:r>
        <w:separator/>
      </w:r>
    </w:p>
  </w:footnote>
  <w:footnote w:type="continuationSeparator" w:id="0">
    <w:p w:rsidR="00AC2305" w:rsidRDefault="00AC2305"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2C5EB6" w:rsidP="00DD0E74">
    <w:pPr>
      <w:pStyle w:val="Kopfzeile"/>
      <w:tabs>
        <w:tab w:val="clear" w:pos="4536"/>
        <w:tab w:val="clear" w:pos="9072"/>
        <w:tab w:val="center" w:pos="5245"/>
        <w:tab w:val="right" w:pos="10466"/>
      </w:tabs>
    </w:pPr>
    <w:r w:rsidRPr="002C5EB6">
      <w:t>Semesterarbeit Teil 4a: Visualisierung von Taylor-Polynomen</w:t>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DE07CE"/>
    <w:multiLevelType w:val="hybridMultilevel"/>
    <w:tmpl w:val="4502B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6C5535"/>
    <w:multiLevelType w:val="hybridMultilevel"/>
    <w:tmpl w:val="E702B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5"/>
  </w:num>
  <w:num w:numId="6">
    <w:abstractNumId w:val="8"/>
  </w:num>
  <w:num w:numId="7">
    <w:abstractNumId w:val="10"/>
  </w:num>
  <w:num w:numId="8">
    <w:abstractNumId w:val="6"/>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4630F"/>
    <w:rsid w:val="00082963"/>
    <w:rsid w:val="000B1582"/>
    <w:rsid w:val="000C3B6F"/>
    <w:rsid w:val="001355B9"/>
    <w:rsid w:val="00162213"/>
    <w:rsid w:val="0018786D"/>
    <w:rsid w:val="001E0025"/>
    <w:rsid w:val="002008A4"/>
    <w:rsid w:val="00244322"/>
    <w:rsid w:val="002561E0"/>
    <w:rsid w:val="00262F68"/>
    <w:rsid w:val="002637C0"/>
    <w:rsid w:val="002C5EB6"/>
    <w:rsid w:val="002F0A77"/>
    <w:rsid w:val="002F2350"/>
    <w:rsid w:val="002F64A0"/>
    <w:rsid w:val="003004A5"/>
    <w:rsid w:val="0030296A"/>
    <w:rsid w:val="00305514"/>
    <w:rsid w:val="00316F96"/>
    <w:rsid w:val="00322885"/>
    <w:rsid w:val="00330580"/>
    <w:rsid w:val="00350BFB"/>
    <w:rsid w:val="00370568"/>
    <w:rsid w:val="00386297"/>
    <w:rsid w:val="003B0B9F"/>
    <w:rsid w:val="0040421D"/>
    <w:rsid w:val="00463D58"/>
    <w:rsid w:val="00493EF1"/>
    <w:rsid w:val="004B186E"/>
    <w:rsid w:val="004B6273"/>
    <w:rsid w:val="004B7582"/>
    <w:rsid w:val="004C1AB2"/>
    <w:rsid w:val="004D2E47"/>
    <w:rsid w:val="00514338"/>
    <w:rsid w:val="00544BFE"/>
    <w:rsid w:val="005646B0"/>
    <w:rsid w:val="00592270"/>
    <w:rsid w:val="00605678"/>
    <w:rsid w:val="00666858"/>
    <w:rsid w:val="00690342"/>
    <w:rsid w:val="006960D2"/>
    <w:rsid w:val="006A46F1"/>
    <w:rsid w:val="006D482E"/>
    <w:rsid w:val="00713801"/>
    <w:rsid w:val="007608DD"/>
    <w:rsid w:val="007B072C"/>
    <w:rsid w:val="007F3A08"/>
    <w:rsid w:val="00860240"/>
    <w:rsid w:val="00893EC0"/>
    <w:rsid w:val="0089404E"/>
    <w:rsid w:val="00956308"/>
    <w:rsid w:val="0095794A"/>
    <w:rsid w:val="009606C7"/>
    <w:rsid w:val="009B1809"/>
    <w:rsid w:val="009E458A"/>
    <w:rsid w:val="009F17D9"/>
    <w:rsid w:val="00A2269D"/>
    <w:rsid w:val="00A23546"/>
    <w:rsid w:val="00A43DB6"/>
    <w:rsid w:val="00A518B7"/>
    <w:rsid w:val="00A54EE9"/>
    <w:rsid w:val="00A82A29"/>
    <w:rsid w:val="00A82C1F"/>
    <w:rsid w:val="00AA3544"/>
    <w:rsid w:val="00AC2305"/>
    <w:rsid w:val="00AC7D03"/>
    <w:rsid w:val="00AE5391"/>
    <w:rsid w:val="00AF0F8C"/>
    <w:rsid w:val="00B818C9"/>
    <w:rsid w:val="00BB44A3"/>
    <w:rsid w:val="00C07919"/>
    <w:rsid w:val="00C253A7"/>
    <w:rsid w:val="00C30D7E"/>
    <w:rsid w:val="00C71F98"/>
    <w:rsid w:val="00CA18C4"/>
    <w:rsid w:val="00CE552E"/>
    <w:rsid w:val="00CF2EE8"/>
    <w:rsid w:val="00D05645"/>
    <w:rsid w:val="00D210DF"/>
    <w:rsid w:val="00D445D5"/>
    <w:rsid w:val="00D46979"/>
    <w:rsid w:val="00D542DB"/>
    <w:rsid w:val="00D6578F"/>
    <w:rsid w:val="00DD0E74"/>
    <w:rsid w:val="00E8565A"/>
    <w:rsid w:val="00E87315"/>
    <w:rsid w:val="00E9151F"/>
    <w:rsid w:val="00EF0344"/>
    <w:rsid w:val="00F11F9E"/>
    <w:rsid w:val="00F223DF"/>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9B95A"/>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1145409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394428581">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thematik.net/reihen-taylorreihen/ty2s25.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ematik.net/reihen-taylorreihen/ty2s25.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de.wikipedia.org/wiki/Fakult%C3%A4t_(Mathemati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5830-9710-4005-ACAD-70D0988C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67</cp:revision>
  <cp:lastPrinted>2017-05-05T21:03:00Z</cp:lastPrinted>
  <dcterms:created xsi:type="dcterms:W3CDTF">2017-03-03T15:13:00Z</dcterms:created>
  <dcterms:modified xsi:type="dcterms:W3CDTF">2017-06-02T13:06:00Z</dcterms:modified>
</cp:coreProperties>
</file>