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FCA" w:rsidRPr="00F91532" w:rsidRDefault="00913F50" w:rsidP="00913F5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r w:rsidRPr="00F91532">
        <w:rPr>
          <w:rFonts w:ascii="T24" w:hAnsi="T24" w:cs="T24"/>
        </w:rPr>
        <w:t xml:space="preserve">One popular robust technique is the so-called </w:t>
      </w:r>
      <w:r w:rsidRPr="00F91532">
        <w:rPr>
          <w:rFonts w:ascii="T16" w:hAnsi="T16" w:cs="T16"/>
        </w:rPr>
        <w:t>M-estimators</w:t>
      </w:r>
      <w:r w:rsidRPr="00F91532">
        <w:rPr>
          <w:rFonts w:ascii="T24" w:hAnsi="T24" w:cs="T24"/>
        </w:rPr>
        <w:t xml:space="preserve">. Let </w:t>
      </w:r>
      <w:proofErr w:type="gramStart"/>
      <w:r w:rsidRPr="00F91532">
        <w:rPr>
          <w:rFonts w:ascii="T21" w:hAnsi="T21" w:cs="T21"/>
        </w:rPr>
        <w:t>r</w:t>
      </w:r>
      <w:r w:rsidRPr="000B587A">
        <w:rPr>
          <w:rFonts w:ascii="T17" w:hAnsi="T17" w:cs="T17"/>
          <w:vertAlign w:val="subscript"/>
        </w:rPr>
        <w:t>i</w:t>
      </w:r>
      <w:proofErr w:type="gramEnd"/>
      <w:r w:rsidRPr="00F91532">
        <w:rPr>
          <w:rFonts w:ascii="T17" w:hAnsi="T17" w:cs="T17"/>
        </w:rPr>
        <w:t xml:space="preserve"> </w:t>
      </w:r>
      <w:r w:rsidRPr="00F91532">
        <w:rPr>
          <w:rFonts w:ascii="T24" w:hAnsi="T24" w:cs="T24"/>
        </w:rPr>
        <w:t xml:space="preserve">be the </w:t>
      </w:r>
      <w:r w:rsidRPr="00F91532">
        <w:rPr>
          <w:rFonts w:ascii="T16" w:hAnsi="T16" w:cs="T16"/>
        </w:rPr>
        <w:t xml:space="preserve">residual </w:t>
      </w:r>
      <w:r w:rsidRPr="00F91532">
        <w:rPr>
          <w:rFonts w:ascii="T24" w:hAnsi="T24" w:cs="T24"/>
        </w:rPr>
        <w:t>of the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1" w:hAnsi="T21" w:cs="T21"/>
        </w:rPr>
        <w:t>i</w:t>
      </w:r>
      <w:r w:rsidRPr="000B587A">
        <w:rPr>
          <w:rFonts w:ascii="T20" w:hAnsi="T20" w:cs="T20"/>
          <w:vertAlign w:val="superscript"/>
        </w:rPr>
        <w:t>th</w:t>
      </w:r>
      <w:r w:rsidRPr="00F91532">
        <w:rPr>
          <w:rFonts w:ascii="T20" w:hAnsi="T20" w:cs="T20"/>
        </w:rPr>
        <w:t xml:space="preserve"> </w:t>
      </w:r>
      <w:r w:rsidRPr="00F91532">
        <w:rPr>
          <w:rFonts w:ascii="T24" w:hAnsi="T24" w:cs="T24"/>
        </w:rPr>
        <w:t xml:space="preserve">datum, i.e. the difference between the </w:t>
      </w:r>
      <w:r w:rsidR="000B587A" w:rsidRPr="00F91532">
        <w:rPr>
          <w:rFonts w:ascii="T21" w:hAnsi="T21" w:cs="T21"/>
        </w:rPr>
        <w:t>i</w:t>
      </w:r>
      <w:r w:rsidR="000B587A" w:rsidRPr="000B587A">
        <w:rPr>
          <w:rFonts w:ascii="T20" w:hAnsi="T20" w:cs="T20"/>
          <w:vertAlign w:val="superscript"/>
        </w:rPr>
        <w:t>th</w:t>
      </w:r>
      <w:r w:rsidRPr="00F91532">
        <w:rPr>
          <w:rFonts w:ascii="T20" w:hAnsi="T20" w:cs="T20"/>
        </w:rPr>
        <w:t xml:space="preserve"> </w:t>
      </w:r>
      <w:r w:rsidRPr="00F91532">
        <w:rPr>
          <w:rFonts w:ascii="T24" w:hAnsi="T24" w:cs="T24"/>
        </w:rPr>
        <w:t>observation and its fitted value. The standard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>least-squares method tries to minimize</w:t>
      </w:r>
      <w:r w:rsidRPr="00F91532">
        <w:rPr>
          <w:rFonts w:ascii="T15" w:hAnsi="T15" w:cs="T15"/>
        </w:rPr>
        <w:t>∑</w:t>
      </w:r>
      <w:r w:rsidRPr="00F91532">
        <w:rPr>
          <w:rFonts w:ascii="T17" w:hAnsi="T17" w:cs="T17"/>
          <w:vertAlign w:val="subscript"/>
        </w:rPr>
        <w:t>i</w:t>
      </w:r>
      <w:r w:rsidRPr="00F91532">
        <w:rPr>
          <w:rFonts w:ascii="T17" w:hAnsi="T17" w:cs="T17"/>
        </w:rPr>
        <w:t xml:space="preserve"> </w:t>
      </w:r>
      <w:proofErr w:type="gramStart"/>
      <w:r w:rsidRPr="00F91532">
        <w:rPr>
          <w:rFonts w:ascii="T21" w:hAnsi="T21" w:cs="T21"/>
        </w:rPr>
        <w:t>r</w:t>
      </w:r>
      <w:r w:rsidRPr="00F91532">
        <w:rPr>
          <w:rFonts w:ascii="T20" w:hAnsi="T20" w:cs="T20"/>
          <w:vertAlign w:val="superscript"/>
        </w:rPr>
        <w:t>2</w:t>
      </w:r>
      <w:r w:rsidRPr="00F91532">
        <w:rPr>
          <w:rFonts w:ascii="T17" w:hAnsi="T17" w:cs="T17"/>
          <w:vertAlign w:val="subscript"/>
        </w:rPr>
        <w:t>i</w:t>
      </w:r>
      <w:r w:rsidRPr="00F91532">
        <w:rPr>
          <w:rFonts w:ascii="T17" w:hAnsi="T17" w:cs="T17"/>
        </w:rPr>
        <w:t xml:space="preserve"> </w:t>
      </w:r>
      <w:r w:rsidRPr="00F91532">
        <w:rPr>
          <w:rFonts w:ascii="T24" w:hAnsi="T24" w:cs="T24"/>
        </w:rPr>
        <w:t>,</w:t>
      </w:r>
      <w:proofErr w:type="gramEnd"/>
      <w:r w:rsidRPr="00F91532">
        <w:rPr>
          <w:rFonts w:ascii="T24" w:hAnsi="T24" w:cs="T24"/>
        </w:rPr>
        <w:t xml:space="preserve"> which is unstable if there are outliers present in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>the data. Outlying data give an effect so strong in the minimization that the parameters thus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>estimated are distorted. The M-estimators try to reduce the effect of outliers by replacing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 xml:space="preserve">the squared residuals </w:t>
      </w:r>
      <w:r w:rsidRPr="00F91532">
        <w:rPr>
          <w:rFonts w:ascii="T21" w:hAnsi="T21" w:cs="T21"/>
        </w:rPr>
        <w:t>r</w:t>
      </w:r>
      <w:r w:rsidRPr="00F91532">
        <w:rPr>
          <w:rFonts w:ascii="T20" w:hAnsi="T20" w:cs="T20"/>
          <w:vertAlign w:val="superscript"/>
        </w:rPr>
        <w:t>2</w:t>
      </w:r>
      <w:r w:rsidRPr="00F91532">
        <w:rPr>
          <w:rFonts w:ascii="T17" w:hAnsi="T17" w:cs="T17"/>
          <w:vertAlign w:val="subscript"/>
        </w:rPr>
        <w:t>i</w:t>
      </w:r>
      <w:r w:rsidRPr="00F91532">
        <w:rPr>
          <w:rFonts w:ascii="T17" w:hAnsi="T17" w:cs="T17"/>
        </w:rPr>
        <w:t xml:space="preserve"> </w:t>
      </w:r>
      <w:r w:rsidRPr="00F91532">
        <w:rPr>
          <w:rFonts w:ascii="T24" w:hAnsi="T24" w:cs="T24"/>
        </w:rPr>
        <w:t>by another function of the residuals, yielding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15" w:hAnsi="T15" w:cs="T15"/>
        </w:rPr>
        <w:t>min ∑</w:t>
      </w:r>
      <w:r w:rsidRPr="00F91532">
        <w:rPr>
          <w:rFonts w:ascii="T17" w:hAnsi="T17" w:cs="T17"/>
          <w:vertAlign w:val="subscript"/>
        </w:rPr>
        <w:t>i</w:t>
      </w:r>
      <w:r w:rsidRPr="00F91532">
        <w:rPr>
          <w:rFonts w:ascii="T17" w:hAnsi="T17" w:cs="T17"/>
        </w:rPr>
        <w:t xml:space="preserve"> </w:t>
      </w:r>
      <w:proofErr w:type="gramStart"/>
      <w:r w:rsidRPr="00F91532">
        <w:rPr>
          <w:rFonts w:ascii="T17" w:hAnsi="T17" w:cs="T17"/>
        </w:rPr>
        <w:t>ρ(</w:t>
      </w:r>
      <w:proofErr w:type="gramEnd"/>
      <w:r w:rsidRPr="00F91532">
        <w:rPr>
          <w:rFonts w:ascii="T21" w:hAnsi="T21" w:cs="T21"/>
        </w:rPr>
        <w:t>r</w:t>
      </w:r>
      <w:r w:rsidRPr="00F91532">
        <w:rPr>
          <w:rFonts w:ascii="T20" w:hAnsi="T20" w:cs="T20"/>
          <w:vertAlign w:val="superscript"/>
        </w:rPr>
        <w:t>2</w:t>
      </w:r>
      <w:r w:rsidRPr="00F91532">
        <w:rPr>
          <w:rFonts w:ascii="T20" w:hAnsi="T20" w:cs="T20"/>
        </w:rPr>
        <w:t xml:space="preserve">) </w:t>
      </w:r>
      <w:r w:rsidRPr="00F91532">
        <w:rPr>
          <w:rFonts w:ascii="T24" w:hAnsi="T24" w:cs="T24"/>
        </w:rPr>
        <w:t xml:space="preserve">where </w:t>
      </w:r>
      <w:r w:rsidR="00F91532" w:rsidRPr="00F91532">
        <w:rPr>
          <w:rFonts w:ascii="T17" w:hAnsi="T17" w:cs="T17"/>
        </w:rPr>
        <w:t>ρ</w:t>
      </w:r>
      <w:r w:rsidRPr="00F91532">
        <w:rPr>
          <w:rFonts w:ascii="T21" w:hAnsi="T21" w:cs="T21"/>
        </w:rPr>
        <w:t xml:space="preserve"> </w:t>
      </w:r>
      <w:r w:rsidRPr="00F91532">
        <w:rPr>
          <w:rFonts w:ascii="T24" w:hAnsi="T24" w:cs="T24"/>
        </w:rPr>
        <w:t>is a symmetric, positive-de</w:t>
      </w:r>
      <w:r w:rsidR="00F91532" w:rsidRPr="00F91532">
        <w:rPr>
          <w:rFonts w:ascii="T24" w:hAnsi="T24" w:cs="T24"/>
        </w:rPr>
        <w:t>fi</w:t>
      </w:r>
      <w:r w:rsidRPr="00F91532">
        <w:rPr>
          <w:rFonts w:ascii="T24" w:hAnsi="T24" w:cs="T24"/>
        </w:rPr>
        <w:t>nite function with a unique minimum at zero, and is</w:t>
      </w:r>
      <w:r w:rsidR="00F91532" w:rsidRPr="00F91532">
        <w:rPr>
          <w:rFonts w:ascii="T24" w:hAnsi="T24" w:cs="T24"/>
        </w:rPr>
        <w:t xml:space="preserve"> </w:t>
      </w:r>
      <w:r w:rsidRPr="00F91532">
        <w:rPr>
          <w:rFonts w:ascii="T24" w:hAnsi="T24" w:cs="T24"/>
        </w:rPr>
        <w:t>chosen to be less increasing than square</w:t>
      </w:r>
      <w:r w:rsidR="00F91532" w:rsidRPr="00F91532">
        <w:rPr>
          <w:rFonts w:ascii="T24" w:hAnsi="T24" w:cs="T24"/>
        </w:rPr>
        <w:t>.</w:t>
      </w:r>
    </w:p>
    <w:p w:rsidR="00913F50" w:rsidRPr="00F91532" w:rsidRDefault="00913F50" w:rsidP="00913F5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</w:p>
    <w:p w:rsidR="00BC1CA3" w:rsidRDefault="00913F50" w:rsidP="00F91532">
      <w:pPr>
        <w:autoSpaceDE w:val="0"/>
        <w:autoSpaceDN w:val="0"/>
        <w:adjustRightInd w:val="0"/>
        <w:spacing w:after="0" w:line="240" w:lineRule="auto"/>
        <w:rPr>
          <w:rFonts w:ascii="T16" w:hAnsi="T16" w:cs="T16"/>
        </w:rPr>
      </w:pPr>
      <w:r w:rsidRPr="00F91532">
        <w:rPr>
          <w:rFonts w:ascii="T24" w:hAnsi="T24" w:cs="T24"/>
        </w:rPr>
        <w:t xml:space="preserve">Let </w:t>
      </w:r>
      <w:r w:rsidRPr="00F91532">
        <w:rPr>
          <w:rFonts w:ascii="T23" w:hAnsi="T23" w:cs="T23"/>
        </w:rPr>
        <w:t xml:space="preserve">p </w:t>
      </w:r>
      <w:r w:rsidRPr="00F91532">
        <w:rPr>
          <w:rFonts w:ascii="T24" w:hAnsi="T24" w:cs="T24"/>
        </w:rPr>
        <w:t>= [</w:t>
      </w:r>
      <w:r w:rsidRPr="00F91532">
        <w:rPr>
          <w:rFonts w:ascii="T21" w:hAnsi="T21" w:cs="T21"/>
        </w:rPr>
        <w:t>p</w:t>
      </w:r>
      <w:r w:rsidRPr="00513DEF">
        <w:rPr>
          <w:rFonts w:ascii="T20" w:hAnsi="T20" w:cs="T20"/>
          <w:vertAlign w:val="subscript"/>
        </w:rPr>
        <w:t>1</w:t>
      </w:r>
      <w:proofErr w:type="gramStart"/>
      <w:r w:rsidRPr="00F91532">
        <w:rPr>
          <w:rFonts w:ascii="T21" w:hAnsi="T21" w:cs="T21"/>
        </w:rPr>
        <w:t>; :</w:t>
      </w:r>
      <w:proofErr w:type="gramEnd"/>
      <w:r w:rsidRPr="00F91532">
        <w:rPr>
          <w:rFonts w:ascii="T21" w:hAnsi="T21" w:cs="T21"/>
        </w:rPr>
        <w:t xml:space="preserve"> : : ; p</w:t>
      </w:r>
      <w:r w:rsidRPr="00513DEF">
        <w:rPr>
          <w:rFonts w:ascii="T17" w:hAnsi="T17" w:cs="T17"/>
          <w:vertAlign w:val="subscript"/>
        </w:rPr>
        <w:t>m</w:t>
      </w:r>
      <w:r w:rsidRPr="00F91532">
        <w:rPr>
          <w:rFonts w:ascii="T24" w:hAnsi="T24" w:cs="T24"/>
        </w:rPr>
        <w:t>]</w:t>
      </w:r>
      <w:r w:rsidRPr="00F91532">
        <w:rPr>
          <w:rFonts w:ascii="T17" w:hAnsi="T17" w:cs="T17"/>
          <w:vertAlign w:val="superscript"/>
        </w:rPr>
        <w:t>T</w:t>
      </w:r>
      <w:r w:rsidRPr="00F91532">
        <w:rPr>
          <w:rFonts w:ascii="T17" w:hAnsi="T17" w:cs="T17"/>
        </w:rPr>
        <w:t xml:space="preserve"> </w:t>
      </w:r>
      <w:r w:rsidRPr="00F91532">
        <w:rPr>
          <w:rFonts w:ascii="T24" w:hAnsi="T24" w:cs="T24"/>
        </w:rPr>
        <w:t xml:space="preserve">be the parameter vector to be estimated. The M-estimator of </w:t>
      </w:r>
      <w:r w:rsidRPr="00F91532">
        <w:rPr>
          <w:rFonts w:ascii="T23" w:hAnsi="T23" w:cs="T23"/>
        </w:rPr>
        <w:t>p</w:t>
      </w:r>
      <w:r w:rsidR="00BC1CA3">
        <w:rPr>
          <w:rFonts w:ascii="T23" w:hAnsi="T23" w:cs="T23" w:hint="eastAsia"/>
        </w:rPr>
        <w:t xml:space="preserve"> </w:t>
      </w:r>
      <w:r w:rsidRPr="00F91532">
        <w:rPr>
          <w:rFonts w:ascii="T24" w:hAnsi="T24" w:cs="T24"/>
        </w:rPr>
        <w:t xml:space="preserve">based on the function </w:t>
      </w:r>
      <w:r w:rsidR="00F91532" w:rsidRPr="00F91532">
        <w:rPr>
          <w:rFonts w:ascii="T17" w:hAnsi="T17" w:cs="T17"/>
        </w:rPr>
        <w:t>ρ</w:t>
      </w:r>
      <w:r w:rsidR="00F91532" w:rsidRPr="00F91532">
        <w:rPr>
          <w:rFonts w:ascii="T21" w:hAnsi="T21" w:cs="T21"/>
        </w:rPr>
        <w:t xml:space="preserve"> (</w:t>
      </w:r>
      <w:r w:rsidRPr="00F91532">
        <w:rPr>
          <w:rFonts w:ascii="T21" w:hAnsi="T21" w:cs="T21"/>
        </w:rPr>
        <w:t>r</w:t>
      </w:r>
      <w:r w:rsidRPr="00F91532">
        <w:rPr>
          <w:rFonts w:ascii="T17" w:hAnsi="T17" w:cs="T17"/>
          <w:vertAlign w:val="subscript"/>
        </w:rPr>
        <w:t>i</w:t>
      </w:r>
      <w:r w:rsidRPr="00F91532">
        <w:rPr>
          <w:rFonts w:ascii="T24" w:hAnsi="T24" w:cs="T24"/>
        </w:rPr>
        <w:t xml:space="preserve">) is the vector </w:t>
      </w:r>
      <w:r w:rsidRPr="00F91532">
        <w:rPr>
          <w:rFonts w:ascii="T23" w:hAnsi="T23" w:cs="T23"/>
        </w:rPr>
        <w:t xml:space="preserve">p </w:t>
      </w:r>
      <w:r w:rsidRPr="00F91532">
        <w:rPr>
          <w:rFonts w:ascii="T24" w:hAnsi="T24" w:cs="T24"/>
        </w:rPr>
        <w:t xml:space="preserve">which is the solution of the following </w:t>
      </w:r>
      <w:r w:rsidRPr="00F91532">
        <w:rPr>
          <w:rFonts w:ascii="T21" w:hAnsi="T21" w:cs="T21"/>
          <w:i/>
        </w:rPr>
        <w:t>m</w:t>
      </w:r>
      <w:r w:rsidRPr="00F91532">
        <w:rPr>
          <w:rFonts w:ascii="T21" w:hAnsi="T21" w:cs="T21"/>
        </w:rPr>
        <w:t xml:space="preserve"> </w:t>
      </w:r>
      <w:r w:rsidRPr="00F91532">
        <w:rPr>
          <w:rFonts w:ascii="T24" w:hAnsi="T24" w:cs="T24"/>
        </w:rPr>
        <w:t>equations</w:t>
      </w:r>
      <w:r w:rsidR="00BC1CA3">
        <w:rPr>
          <w:rFonts w:ascii="T24" w:hAnsi="T24" w:cs="T24" w:hint="eastAsia"/>
        </w:rPr>
        <w:t xml:space="preserve"> </w:t>
      </w:r>
      <w:r w:rsidR="00F91532" w:rsidRPr="00F91532">
        <w:rPr>
          <w:rFonts w:ascii="T24" w:hAnsi="T24" w:cs="T24"/>
        </w:rPr>
        <w:t xml:space="preserve">where the </w:t>
      </w:r>
      <w:proofErr w:type="gramStart"/>
      <w:r w:rsidR="00F91532" w:rsidRPr="00F91532">
        <w:rPr>
          <w:rFonts w:ascii="T24" w:hAnsi="T24" w:cs="T24"/>
        </w:rPr>
        <w:t xml:space="preserve">derivative </w:t>
      </w:r>
      <w:r w:rsidR="00F91532" w:rsidRPr="00F91532">
        <w:rPr>
          <w:rFonts w:ascii="T21" w:hAnsi="T21" w:cs="T21"/>
        </w:rPr>
        <w:t xml:space="preserve"> Ψ</w:t>
      </w:r>
      <w:proofErr w:type="gramEnd"/>
      <w:r w:rsidR="00F91532" w:rsidRPr="00F91532">
        <w:rPr>
          <w:rFonts w:ascii="T24" w:hAnsi="T24" w:cs="T24"/>
        </w:rPr>
        <w:t>(</w:t>
      </w:r>
      <w:r w:rsidR="00F91532" w:rsidRPr="00F91532">
        <w:rPr>
          <w:rFonts w:ascii="T21" w:hAnsi="T21" w:cs="T21"/>
        </w:rPr>
        <w:t>x</w:t>
      </w:r>
      <w:r w:rsidR="00F91532" w:rsidRPr="00F91532">
        <w:rPr>
          <w:rFonts w:ascii="T24" w:hAnsi="T24" w:cs="T24"/>
        </w:rPr>
        <w:t>) = d</w:t>
      </w:r>
      <w:r w:rsidR="00F91532" w:rsidRPr="00F91532">
        <w:rPr>
          <w:rFonts w:ascii="T17" w:hAnsi="T17" w:cs="T17"/>
        </w:rPr>
        <w:t xml:space="preserve"> ρ</w:t>
      </w:r>
      <w:r w:rsidR="00F91532" w:rsidRPr="00F91532">
        <w:rPr>
          <w:rFonts w:ascii="T24" w:hAnsi="T24" w:cs="T24"/>
        </w:rPr>
        <w:t xml:space="preserve"> (</w:t>
      </w:r>
      <w:r w:rsidR="00F91532" w:rsidRPr="00F91532">
        <w:rPr>
          <w:rFonts w:ascii="T21" w:hAnsi="T21" w:cs="T21"/>
        </w:rPr>
        <w:t>x</w:t>
      </w:r>
      <w:r w:rsidR="00F91532" w:rsidRPr="00F91532">
        <w:rPr>
          <w:rFonts w:ascii="T24" w:hAnsi="T24" w:cs="T24"/>
        </w:rPr>
        <w:t>)</w:t>
      </w:r>
      <w:r w:rsidR="00F91532" w:rsidRPr="00F91532">
        <w:rPr>
          <w:rFonts w:ascii="T21" w:hAnsi="T21" w:cs="T21"/>
        </w:rPr>
        <w:t>/</w:t>
      </w:r>
      <w:r w:rsidR="00F91532" w:rsidRPr="00F91532">
        <w:rPr>
          <w:rFonts w:ascii="T24" w:hAnsi="T24" w:cs="T24"/>
        </w:rPr>
        <w:t>d</w:t>
      </w:r>
      <w:r w:rsidR="00F91532" w:rsidRPr="00F91532">
        <w:rPr>
          <w:rFonts w:ascii="T21" w:hAnsi="T21" w:cs="T21"/>
        </w:rPr>
        <w:t xml:space="preserve">x </w:t>
      </w:r>
      <w:r w:rsidR="00F91532" w:rsidRPr="00F91532">
        <w:rPr>
          <w:rFonts w:ascii="T24" w:hAnsi="T24" w:cs="T24"/>
        </w:rPr>
        <w:t xml:space="preserve">is called the </w:t>
      </w:r>
      <w:r w:rsidR="00F91532" w:rsidRPr="00F91532">
        <w:rPr>
          <w:rFonts w:ascii="T16" w:hAnsi="T16" w:cs="T16"/>
        </w:rPr>
        <w:t>influence function:</w:t>
      </w:r>
      <w:r w:rsidR="00BC1CA3">
        <w:rPr>
          <w:rFonts w:ascii="T16" w:hAnsi="T16" w:cs="T16" w:hint="eastAsia"/>
        </w:rPr>
        <w:t xml:space="preserve"> </w:t>
      </w:r>
    </w:p>
    <w:p w:rsidR="00F91532" w:rsidRDefault="00F91532" w:rsidP="00F91532">
      <w:pPr>
        <w:autoSpaceDE w:val="0"/>
        <w:autoSpaceDN w:val="0"/>
        <w:adjustRightInd w:val="0"/>
        <w:spacing w:after="0" w:line="240" w:lineRule="auto"/>
        <w:rPr>
          <w:rFonts w:ascii="T21" w:hAnsi="T21" w:cs="T21"/>
        </w:rPr>
      </w:pPr>
      <w:r w:rsidRPr="00F91532">
        <w:rPr>
          <w:rFonts w:cstheme="minorHAnsi"/>
        </w:rPr>
        <w:t>∑</w:t>
      </w:r>
      <w:r w:rsidRPr="00F91532">
        <w:rPr>
          <w:vertAlign w:val="subscript"/>
        </w:rPr>
        <w:t>i</w:t>
      </w:r>
      <w:r w:rsidRPr="00F91532">
        <w:rPr>
          <w:rFonts w:ascii="T21" w:hAnsi="T21" w:cs="T21"/>
        </w:rPr>
        <w:t xml:space="preserve"> </w:t>
      </w:r>
      <w:proofErr w:type="gramStart"/>
      <w:r w:rsidRPr="00F91532">
        <w:rPr>
          <w:rFonts w:ascii="T21" w:hAnsi="T21" w:cs="T21"/>
        </w:rPr>
        <w:t>Ψ(</w:t>
      </w:r>
      <w:proofErr w:type="spellStart"/>
      <w:proofErr w:type="gramEnd"/>
      <w:r w:rsidRPr="00F91532">
        <w:rPr>
          <w:rFonts w:ascii="T21" w:hAnsi="T21" w:cs="T21"/>
        </w:rPr>
        <w:t>r</w:t>
      </w:r>
      <w:r w:rsidRPr="00F91532">
        <w:rPr>
          <w:rFonts w:ascii="T21" w:hAnsi="T21" w:cs="T21"/>
          <w:vertAlign w:val="subscript"/>
        </w:rPr>
        <w:t>i</w:t>
      </w:r>
      <w:proofErr w:type="spellEnd"/>
      <w:r w:rsidRPr="00F91532">
        <w:rPr>
          <w:rFonts w:ascii="T21" w:hAnsi="T21" w:cs="T21"/>
        </w:rPr>
        <w:t>)</w:t>
      </w:r>
      <w:proofErr w:type="spellStart"/>
      <w:r w:rsidRPr="00F91532">
        <w:rPr>
          <w:rFonts w:ascii="T21" w:hAnsi="T21" w:cs="T21"/>
        </w:rPr>
        <w:t>dr</w:t>
      </w:r>
      <w:r w:rsidRPr="00F91532">
        <w:rPr>
          <w:rFonts w:ascii="T21" w:hAnsi="T21" w:cs="T21"/>
          <w:vertAlign w:val="subscript"/>
        </w:rPr>
        <w:t>i</w:t>
      </w:r>
      <w:proofErr w:type="spellEnd"/>
      <w:r w:rsidRPr="00F91532">
        <w:rPr>
          <w:rFonts w:ascii="T21" w:hAnsi="T21" w:cs="T21"/>
        </w:rPr>
        <w:t>/</w:t>
      </w:r>
      <w:proofErr w:type="spellStart"/>
      <w:r w:rsidRPr="00F91532">
        <w:rPr>
          <w:rFonts w:ascii="T21" w:hAnsi="T21" w:cs="T21"/>
        </w:rPr>
        <w:t>dp</w:t>
      </w:r>
      <w:r w:rsidRPr="00F91532">
        <w:rPr>
          <w:rFonts w:ascii="T21" w:hAnsi="T21" w:cs="T21"/>
          <w:vertAlign w:val="subscript"/>
        </w:rPr>
        <w:t>j</w:t>
      </w:r>
      <w:proofErr w:type="spellEnd"/>
      <w:r w:rsidRPr="00F91532">
        <w:rPr>
          <w:rFonts w:ascii="T21" w:hAnsi="T21" w:cs="T21"/>
        </w:rPr>
        <w:t xml:space="preserve"> = 0 for j=1,2 ….m</w:t>
      </w:r>
    </w:p>
    <w:p w:rsidR="00F91532" w:rsidRPr="00F91532" w:rsidRDefault="00F91532" w:rsidP="00F91532">
      <w:pPr>
        <w:autoSpaceDE w:val="0"/>
        <w:autoSpaceDN w:val="0"/>
        <w:adjustRightInd w:val="0"/>
        <w:spacing w:after="0" w:line="240" w:lineRule="auto"/>
        <w:rPr>
          <w:rFonts w:ascii="T21" w:hAnsi="T21" w:cs="T21"/>
        </w:rPr>
      </w:pPr>
    </w:p>
    <w:p w:rsidR="00F91532" w:rsidRDefault="00F91532" w:rsidP="00F91532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r w:rsidRPr="00F91532">
        <w:rPr>
          <w:rFonts w:ascii="T24" w:hAnsi="T24" w:cs="T24"/>
        </w:rPr>
        <w:t>The in</w:t>
      </w:r>
      <w:r>
        <w:rPr>
          <w:rFonts w:ascii="T24" w:hAnsi="T24" w:cs="T24"/>
        </w:rPr>
        <w:t>fl</w:t>
      </w:r>
      <w:r w:rsidRPr="00F91532">
        <w:rPr>
          <w:rFonts w:ascii="T24" w:hAnsi="T24" w:cs="T24"/>
        </w:rPr>
        <w:t xml:space="preserve">uence function </w:t>
      </w:r>
      <w:r w:rsidRPr="00F91532">
        <w:rPr>
          <w:rFonts w:ascii="T21" w:hAnsi="T21" w:cs="T21"/>
        </w:rPr>
        <w:t xml:space="preserve">Ψ </w:t>
      </w:r>
      <w:r w:rsidRPr="00F91532">
        <w:rPr>
          <w:rFonts w:ascii="T24" w:hAnsi="T24" w:cs="T24"/>
        </w:rPr>
        <w:t>(</w:t>
      </w:r>
      <w:r w:rsidRPr="00F91532">
        <w:rPr>
          <w:rFonts w:ascii="T21" w:hAnsi="T21" w:cs="T21"/>
        </w:rPr>
        <w:t>x</w:t>
      </w:r>
      <w:r w:rsidRPr="00F91532">
        <w:rPr>
          <w:rFonts w:ascii="T24" w:hAnsi="T24" w:cs="T24"/>
        </w:rPr>
        <w:t>) measures the in</w:t>
      </w:r>
      <w:r>
        <w:rPr>
          <w:rFonts w:ascii="T24" w:hAnsi="T24" w:cs="T24"/>
        </w:rPr>
        <w:t>fl</w:t>
      </w:r>
      <w:r w:rsidRPr="00F91532">
        <w:rPr>
          <w:rFonts w:ascii="T24" w:hAnsi="T24" w:cs="T24"/>
        </w:rPr>
        <w:t>uence of a datum on the value of the parameter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 xml:space="preserve">estimate. For the least-squares with </w:t>
      </w:r>
      <w:r w:rsidR="00413A90" w:rsidRPr="00F91532">
        <w:rPr>
          <w:rFonts w:ascii="T17" w:hAnsi="T17" w:cs="T17"/>
        </w:rPr>
        <w:t>ρ</w:t>
      </w:r>
      <w:r w:rsidR="00413A90" w:rsidRPr="00F91532">
        <w:rPr>
          <w:rFonts w:ascii="T24" w:hAnsi="T24" w:cs="T24"/>
        </w:rPr>
        <w:t xml:space="preserve"> </w:t>
      </w:r>
      <w:r w:rsidRPr="00F91532">
        <w:rPr>
          <w:rFonts w:ascii="T24" w:hAnsi="T24" w:cs="T24"/>
        </w:rPr>
        <w:t>(</w:t>
      </w:r>
      <w:r w:rsidRPr="00F91532">
        <w:rPr>
          <w:rFonts w:ascii="T21" w:hAnsi="T21" w:cs="T21"/>
        </w:rPr>
        <w:t>x</w:t>
      </w:r>
      <w:r w:rsidRPr="00F91532">
        <w:rPr>
          <w:rFonts w:ascii="T24" w:hAnsi="T24" w:cs="T24"/>
        </w:rPr>
        <w:t xml:space="preserve">) = </w:t>
      </w:r>
      <w:r w:rsidRPr="00F91532">
        <w:rPr>
          <w:rFonts w:ascii="T21" w:hAnsi="T21" w:cs="T21"/>
        </w:rPr>
        <w:t>x</w:t>
      </w:r>
      <w:r w:rsidRPr="00413A90">
        <w:rPr>
          <w:rFonts w:ascii="T20" w:hAnsi="T20" w:cs="T20"/>
          <w:vertAlign w:val="superscript"/>
        </w:rPr>
        <w:t>2</w:t>
      </w:r>
      <w:r w:rsidR="00413A90">
        <w:rPr>
          <w:rFonts w:ascii="T21" w:hAnsi="T21" w:cs="T21"/>
        </w:rPr>
        <w:t>/</w:t>
      </w:r>
      <w:r w:rsidRPr="00F91532">
        <w:rPr>
          <w:rFonts w:ascii="T24" w:hAnsi="T24" w:cs="T24"/>
        </w:rPr>
        <w:t>2, the in</w:t>
      </w:r>
      <w:r w:rsidR="00413A90">
        <w:rPr>
          <w:rFonts w:ascii="T24" w:hAnsi="T24" w:cs="T24"/>
        </w:rPr>
        <w:t>fl</w:t>
      </w:r>
      <w:r w:rsidRPr="00F91532">
        <w:rPr>
          <w:rFonts w:ascii="T24" w:hAnsi="T24" w:cs="T24"/>
        </w:rPr>
        <w:t>uence function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 xml:space="preserve">is </w:t>
      </w:r>
      <w:r w:rsidR="00413A90" w:rsidRPr="00F91532">
        <w:rPr>
          <w:rFonts w:ascii="T21" w:hAnsi="T21" w:cs="T21"/>
        </w:rPr>
        <w:t>Ψ</w:t>
      </w:r>
      <w:r w:rsidR="00413A90" w:rsidRPr="00F91532">
        <w:rPr>
          <w:rFonts w:ascii="T24" w:hAnsi="T24" w:cs="T24"/>
        </w:rPr>
        <w:t xml:space="preserve"> </w:t>
      </w:r>
      <w:r w:rsidRPr="00F91532">
        <w:rPr>
          <w:rFonts w:ascii="T24" w:hAnsi="T24" w:cs="T24"/>
        </w:rPr>
        <w:t>(</w:t>
      </w:r>
      <w:r w:rsidRPr="00F91532">
        <w:rPr>
          <w:rFonts w:ascii="T21" w:hAnsi="T21" w:cs="T21"/>
        </w:rPr>
        <w:t>x</w:t>
      </w:r>
      <w:r w:rsidRPr="00F91532">
        <w:rPr>
          <w:rFonts w:ascii="T24" w:hAnsi="T24" w:cs="T24"/>
        </w:rPr>
        <w:t xml:space="preserve">) = </w:t>
      </w:r>
      <w:r w:rsidRPr="00F91532">
        <w:rPr>
          <w:rFonts w:ascii="T21" w:hAnsi="T21" w:cs="T21"/>
        </w:rPr>
        <w:t>x</w:t>
      </w:r>
      <w:r w:rsidRPr="00F91532">
        <w:rPr>
          <w:rFonts w:ascii="T24" w:hAnsi="T24" w:cs="T24"/>
        </w:rPr>
        <w:t>, that is, the in</w:t>
      </w:r>
      <w:r w:rsidR="00413A90">
        <w:rPr>
          <w:rFonts w:ascii="T24" w:hAnsi="T24" w:cs="T24"/>
        </w:rPr>
        <w:t>fl</w:t>
      </w:r>
      <w:r w:rsidRPr="00F91532">
        <w:rPr>
          <w:rFonts w:ascii="T24" w:hAnsi="T24" w:cs="T24"/>
        </w:rPr>
        <w:t>uence of a datum on the estimate increases linearly with the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>size of its error, which con</w:t>
      </w:r>
      <w:r w:rsidR="00413A90">
        <w:rPr>
          <w:rFonts w:ascii="T24" w:hAnsi="T24" w:cs="T24"/>
        </w:rPr>
        <w:t>fi</w:t>
      </w:r>
      <w:r w:rsidRPr="00F91532">
        <w:rPr>
          <w:rFonts w:ascii="T24" w:hAnsi="T24" w:cs="T24"/>
        </w:rPr>
        <w:t>rms the non-</w:t>
      </w:r>
      <w:r w:rsidR="002D5E03" w:rsidRPr="00F91532">
        <w:rPr>
          <w:rFonts w:ascii="T24" w:hAnsi="T24" w:cs="T24"/>
        </w:rPr>
        <w:t>robustness</w:t>
      </w:r>
      <w:r w:rsidRPr="00F91532">
        <w:rPr>
          <w:rFonts w:ascii="T24" w:hAnsi="T24" w:cs="T24"/>
        </w:rPr>
        <w:t xml:space="preserve"> of the least-squares estimate. When an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>estimator is robust, it may be inferred that the in</w:t>
      </w:r>
      <w:r w:rsidR="00413A90">
        <w:rPr>
          <w:rFonts w:ascii="T24" w:hAnsi="T24" w:cs="T24"/>
        </w:rPr>
        <w:t>fl</w:t>
      </w:r>
      <w:r w:rsidRPr="00F91532">
        <w:rPr>
          <w:rFonts w:ascii="T24" w:hAnsi="T24" w:cs="T24"/>
        </w:rPr>
        <w:t>uence of any single observation (datum)</w:t>
      </w:r>
      <w:r w:rsidR="00BC1CA3">
        <w:rPr>
          <w:rFonts w:ascii="T24" w:hAnsi="T24" w:cs="T24" w:hint="eastAsia"/>
        </w:rPr>
        <w:t xml:space="preserve"> </w:t>
      </w:r>
      <w:r w:rsidRPr="00F91532">
        <w:rPr>
          <w:rFonts w:ascii="T24" w:hAnsi="T24" w:cs="T24"/>
        </w:rPr>
        <w:t>is insu</w:t>
      </w:r>
      <w:r w:rsidR="00413A90">
        <w:rPr>
          <w:rFonts w:ascii="T24" w:hAnsi="T24" w:cs="T24"/>
        </w:rPr>
        <w:t>ffi</w:t>
      </w:r>
      <w:r w:rsidRPr="00F91532">
        <w:rPr>
          <w:rFonts w:ascii="T24" w:hAnsi="T24" w:cs="T24"/>
        </w:rPr>
        <w:t>cient to yield any signi</w:t>
      </w:r>
      <w:r w:rsidR="00413A90">
        <w:rPr>
          <w:rFonts w:ascii="T24" w:hAnsi="T24" w:cs="T24"/>
        </w:rPr>
        <w:t>fi</w:t>
      </w:r>
      <w:r w:rsidRPr="00F91532">
        <w:rPr>
          <w:rFonts w:ascii="T24" w:hAnsi="T24" w:cs="T24"/>
        </w:rPr>
        <w:t>cant o</w:t>
      </w:r>
      <w:r w:rsidR="00413A90">
        <w:rPr>
          <w:rFonts w:ascii="T24" w:hAnsi="T24" w:cs="T24"/>
        </w:rPr>
        <w:t>ff</w:t>
      </w:r>
      <w:r w:rsidRPr="00F91532">
        <w:rPr>
          <w:rFonts w:ascii="T24" w:hAnsi="T24" w:cs="T24"/>
        </w:rPr>
        <w:t>set</w:t>
      </w:r>
      <w:r w:rsidR="00413A90">
        <w:rPr>
          <w:rFonts w:ascii="T24" w:hAnsi="T24" w:cs="T24"/>
        </w:rPr>
        <w:t>.</w:t>
      </w:r>
    </w:p>
    <w:p w:rsidR="00413A90" w:rsidRPr="002D5E03" w:rsidRDefault="00413A90" w:rsidP="00F91532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r w:rsidRPr="002D5E03">
        <w:rPr>
          <w:rFonts w:ascii="T24" w:hAnsi="T24" w:cs="T24"/>
        </w:rPr>
        <w:t>Huber's function [13] is a parabola in the vicinity of zero, and increases linearly at a</w:t>
      </w:r>
      <w:r w:rsidR="00BC1CA3">
        <w:rPr>
          <w:rFonts w:ascii="T24" w:hAnsi="T24" w:cs="T24" w:hint="eastAsia"/>
        </w:rPr>
        <w:t xml:space="preserve"> </w:t>
      </w:r>
      <w:r w:rsidRPr="002D5E03">
        <w:rPr>
          <w:rFonts w:ascii="T24" w:hAnsi="T24" w:cs="T24"/>
        </w:rPr>
        <w:t xml:space="preserve">given level </w:t>
      </w:r>
      <w:r w:rsidR="003C30C0">
        <w:rPr>
          <w:rFonts w:ascii="T19" w:hAnsi="T19" w:cs="T19"/>
        </w:rPr>
        <w:t>|</w:t>
      </w:r>
      <w:r w:rsidRPr="002D5E03">
        <w:rPr>
          <w:rFonts w:ascii="T21" w:hAnsi="T21" w:cs="T21"/>
        </w:rPr>
        <w:t>x</w:t>
      </w:r>
      <w:r w:rsidR="003C30C0">
        <w:rPr>
          <w:rFonts w:ascii="T19" w:hAnsi="T19" w:cs="T19"/>
        </w:rPr>
        <w:t>|</w:t>
      </w:r>
      <w:r w:rsidRPr="002D5E03">
        <w:rPr>
          <w:rFonts w:ascii="T19" w:hAnsi="T19" w:cs="T19"/>
        </w:rPr>
        <w:t xml:space="preserve"> </w:t>
      </w:r>
      <w:r w:rsidRPr="002D5E03">
        <w:rPr>
          <w:rFonts w:ascii="T21" w:hAnsi="T21" w:cs="T21"/>
        </w:rPr>
        <w:t>&gt; k</w:t>
      </w:r>
      <w:r w:rsidRPr="002D5E03">
        <w:rPr>
          <w:rFonts w:ascii="T24" w:hAnsi="T24" w:cs="T24"/>
        </w:rPr>
        <w:t>. The 95% asymptotic e</w:t>
      </w:r>
      <w:r w:rsidR="003C30C0">
        <w:rPr>
          <w:rFonts w:ascii="T24" w:hAnsi="T24" w:cs="T24"/>
        </w:rPr>
        <w:t>ffi</w:t>
      </w:r>
      <w:r w:rsidRPr="002D5E03">
        <w:rPr>
          <w:rFonts w:ascii="T24" w:hAnsi="T24" w:cs="T24"/>
        </w:rPr>
        <w:t>ciency on the standard normal distribution is</w:t>
      </w:r>
      <w:r w:rsidR="00BC1CA3">
        <w:rPr>
          <w:rFonts w:ascii="T24" w:hAnsi="T24" w:cs="T24" w:hint="eastAsia"/>
        </w:rPr>
        <w:t xml:space="preserve"> </w:t>
      </w:r>
      <w:r w:rsidRPr="002D5E03">
        <w:rPr>
          <w:rFonts w:ascii="T24" w:hAnsi="T24" w:cs="T24"/>
        </w:rPr>
        <w:t xml:space="preserve">obtained with the tuning constant </w:t>
      </w:r>
      <w:r w:rsidRPr="002D5E03">
        <w:rPr>
          <w:rFonts w:ascii="T21" w:hAnsi="T21" w:cs="T21"/>
        </w:rPr>
        <w:t xml:space="preserve">k </w:t>
      </w:r>
      <w:r w:rsidRPr="002D5E03">
        <w:rPr>
          <w:rFonts w:ascii="T24" w:hAnsi="T24" w:cs="T24"/>
        </w:rPr>
        <w:t>= 1</w:t>
      </w:r>
      <w:r w:rsidRPr="002D5E03">
        <w:rPr>
          <w:rFonts w:ascii="T21" w:hAnsi="T21" w:cs="T21"/>
        </w:rPr>
        <w:t>:</w:t>
      </w:r>
      <w:r w:rsidRPr="002D5E03">
        <w:rPr>
          <w:rFonts w:ascii="T24" w:hAnsi="T24" w:cs="T24"/>
        </w:rPr>
        <w:t>345. This estimator is so satisfactory that it has</w:t>
      </w:r>
      <w:r w:rsidR="00BC1CA3">
        <w:rPr>
          <w:rFonts w:ascii="T24" w:hAnsi="T24" w:cs="T24" w:hint="eastAsia"/>
        </w:rPr>
        <w:t xml:space="preserve"> </w:t>
      </w:r>
      <w:r w:rsidRPr="002D5E03">
        <w:rPr>
          <w:rFonts w:ascii="T24" w:hAnsi="T24" w:cs="T24"/>
        </w:rPr>
        <w:t>been recommended for almost all situations; very rarely it has been found to be inferior</w:t>
      </w:r>
      <w:r w:rsidR="00BC1CA3">
        <w:rPr>
          <w:rFonts w:ascii="T24" w:hAnsi="T24" w:cs="T24" w:hint="eastAsia"/>
        </w:rPr>
        <w:t xml:space="preserve"> </w:t>
      </w:r>
      <w:r w:rsidRPr="002D5E03">
        <w:rPr>
          <w:rFonts w:ascii="T24" w:hAnsi="T24" w:cs="T24"/>
        </w:rPr>
        <w:t xml:space="preserve">to some other </w:t>
      </w:r>
      <w:r w:rsidR="003C30C0" w:rsidRPr="00F91532">
        <w:rPr>
          <w:rFonts w:ascii="T17" w:hAnsi="T17" w:cs="T17"/>
        </w:rPr>
        <w:t>ρ</w:t>
      </w:r>
      <w:r w:rsidR="003C30C0" w:rsidRPr="00F91532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>-function. However, from time to time, di</w:t>
      </w:r>
      <w:r w:rsidR="003C30C0">
        <w:rPr>
          <w:rFonts w:ascii="T24" w:hAnsi="T24" w:cs="T24"/>
        </w:rPr>
        <w:t>ffi</w:t>
      </w:r>
      <w:r w:rsidRPr="002D5E03">
        <w:rPr>
          <w:rFonts w:ascii="T24" w:hAnsi="T24" w:cs="T24"/>
        </w:rPr>
        <w:t>culties are encountered, which</w:t>
      </w:r>
      <w:r w:rsidR="00BC1CA3">
        <w:rPr>
          <w:rFonts w:ascii="T24" w:hAnsi="T24" w:cs="T24" w:hint="eastAsia"/>
        </w:rPr>
        <w:t xml:space="preserve"> </w:t>
      </w:r>
      <w:r w:rsidRPr="002D5E03">
        <w:rPr>
          <w:rFonts w:ascii="T24" w:hAnsi="T24" w:cs="T24"/>
        </w:rPr>
        <w:t xml:space="preserve">may be due to the lack of stability in the gradient values of the </w:t>
      </w:r>
      <w:r w:rsidR="003C30C0" w:rsidRPr="00F91532">
        <w:rPr>
          <w:rFonts w:ascii="T17" w:hAnsi="T17" w:cs="T17"/>
        </w:rPr>
        <w:t>ρ</w:t>
      </w:r>
      <w:r w:rsidRPr="002D5E03">
        <w:rPr>
          <w:rFonts w:ascii="T24" w:hAnsi="T24" w:cs="T24"/>
        </w:rPr>
        <w:t>-function because of</w:t>
      </w:r>
      <w:r w:rsidR="00BC1CA3">
        <w:rPr>
          <w:rFonts w:ascii="T24" w:hAnsi="T24" w:cs="T24" w:hint="eastAsia"/>
        </w:rPr>
        <w:t xml:space="preserve"> </w:t>
      </w:r>
      <w:r w:rsidRPr="002D5E03">
        <w:rPr>
          <w:rFonts w:ascii="T24" w:hAnsi="T24" w:cs="T24"/>
        </w:rPr>
        <w:t xml:space="preserve">its </w:t>
      </w:r>
      <w:r w:rsidRPr="002D5E03">
        <w:rPr>
          <w:rFonts w:ascii="T16" w:hAnsi="T16" w:cs="T16"/>
        </w:rPr>
        <w:t>discontinuous second derivative</w:t>
      </w:r>
      <w:r w:rsidRPr="002D5E03">
        <w:rPr>
          <w:rFonts w:ascii="T24" w:hAnsi="T24" w:cs="T24"/>
        </w:rPr>
        <w:t>: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proofErr w:type="gramStart"/>
      <w:r w:rsidRPr="002D5E03">
        <w:rPr>
          <w:rFonts w:ascii="T24" w:hAnsi="T24" w:cs="T24"/>
        </w:rPr>
        <w:t>d</w:t>
      </w:r>
      <w:r w:rsidRPr="003C30C0">
        <w:rPr>
          <w:rFonts w:ascii="T20" w:hAnsi="T20" w:cs="T20"/>
          <w:vertAlign w:val="superscript"/>
        </w:rPr>
        <w:t>2</w:t>
      </w:r>
      <w:proofErr w:type="gramEnd"/>
      <w:r w:rsidR="003C30C0" w:rsidRPr="003C30C0">
        <w:rPr>
          <w:rFonts w:ascii="T17" w:hAnsi="T17" w:cs="T17"/>
        </w:rPr>
        <w:t xml:space="preserve"> </w:t>
      </w:r>
      <w:r w:rsidR="003C30C0" w:rsidRPr="00F91532">
        <w:rPr>
          <w:rFonts w:ascii="T17" w:hAnsi="T17" w:cs="T17"/>
        </w:rPr>
        <w:t>ρ</w:t>
      </w:r>
      <w:r w:rsidR="003C30C0" w:rsidRPr="00F91532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>(</w:t>
      </w:r>
      <w:r w:rsidRPr="002D5E03">
        <w:rPr>
          <w:rFonts w:ascii="T21" w:hAnsi="T21" w:cs="T21"/>
        </w:rPr>
        <w:t>x</w:t>
      </w:r>
      <w:r w:rsidRPr="002D5E03">
        <w:rPr>
          <w:rFonts w:ascii="T24" w:hAnsi="T24" w:cs="T24"/>
        </w:rPr>
        <w:t>)</w:t>
      </w:r>
      <w:r w:rsidR="003C30C0">
        <w:rPr>
          <w:rFonts w:ascii="T24" w:hAnsi="T24" w:cs="T24"/>
        </w:rPr>
        <w:t>/</w:t>
      </w:r>
      <w:r w:rsidRPr="002D5E03">
        <w:rPr>
          <w:rFonts w:ascii="T24" w:hAnsi="T24" w:cs="T24"/>
        </w:rPr>
        <w:t>d</w:t>
      </w:r>
      <w:r w:rsidRPr="002D5E03">
        <w:rPr>
          <w:rFonts w:ascii="T21" w:hAnsi="T21" w:cs="T21"/>
        </w:rPr>
        <w:t>x</w:t>
      </w:r>
      <w:r w:rsidRPr="003C30C0">
        <w:rPr>
          <w:rFonts w:ascii="T20" w:hAnsi="T20" w:cs="T20"/>
          <w:vertAlign w:val="superscript"/>
        </w:rPr>
        <w:t>2</w:t>
      </w:r>
      <w:r w:rsidRPr="002D5E03">
        <w:rPr>
          <w:rFonts w:ascii="T20" w:hAnsi="T20" w:cs="T20"/>
        </w:rPr>
        <w:t xml:space="preserve"> </w:t>
      </w:r>
      <w:r w:rsidRPr="002D5E03">
        <w:rPr>
          <w:rFonts w:ascii="T24" w:hAnsi="T24" w:cs="T24"/>
        </w:rPr>
        <w:t xml:space="preserve">= </w:t>
      </w:r>
      <w:r w:rsidRPr="002D5E03">
        <w:rPr>
          <w:rFonts w:ascii="T15" w:hAnsi="T15" w:cs="T15"/>
        </w:rPr>
        <w:t>(</w:t>
      </w:r>
      <w:r w:rsidRPr="002D5E03">
        <w:rPr>
          <w:rFonts w:ascii="T24" w:hAnsi="T24" w:cs="T24"/>
        </w:rPr>
        <w:t xml:space="preserve">1 if </w:t>
      </w:r>
      <w:r w:rsidR="003C30C0">
        <w:rPr>
          <w:rFonts w:ascii="T19" w:hAnsi="T19" w:cs="T19"/>
        </w:rPr>
        <w:t>|</w:t>
      </w:r>
      <w:r w:rsidRPr="002D5E03">
        <w:rPr>
          <w:rFonts w:ascii="T21" w:hAnsi="T21" w:cs="T21"/>
        </w:rPr>
        <w:t>x</w:t>
      </w:r>
      <w:r w:rsidR="003C30C0">
        <w:rPr>
          <w:rFonts w:ascii="T19" w:hAnsi="T19" w:cs="T19"/>
        </w:rPr>
        <w:t>|</w:t>
      </w:r>
      <w:r w:rsidRPr="002D5E03">
        <w:rPr>
          <w:rFonts w:ascii="T19" w:hAnsi="T19" w:cs="T19"/>
        </w:rPr>
        <w:t xml:space="preserve"> </w:t>
      </w:r>
      <w:r w:rsidR="003C30C0">
        <w:rPr>
          <w:rFonts w:ascii="T19" w:hAnsi="T19" w:cs="T19"/>
        </w:rPr>
        <w:t>&lt;=</w:t>
      </w:r>
      <w:r w:rsidRPr="002D5E03">
        <w:rPr>
          <w:rFonts w:ascii="T19" w:hAnsi="T19" w:cs="T19"/>
        </w:rPr>
        <w:t xml:space="preserve"> </w:t>
      </w:r>
      <w:r w:rsidRPr="002D5E03">
        <w:rPr>
          <w:rFonts w:ascii="T21" w:hAnsi="T21" w:cs="T21"/>
        </w:rPr>
        <w:t>k</w:t>
      </w:r>
      <w:r w:rsidRPr="002D5E03">
        <w:rPr>
          <w:rFonts w:ascii="T24" w:hAnsi="T24" w:cs="T24"/>
        </w:rPr>
        <w:t xml:space="preserve">,0 if </w:t>
      </w:r>
      <w:r w:rsidR="003C30C0">
        <w:rPr>
          <w:rFonts w:ascii="T19" w:hAnsi="T19" w:cs="T19"/>
        </w:rPr>
        <w:t>|</w:t>
      </w:r>
      <w:r w:rsidRPr="002D5E03">
        <w:rPr>
          <w:rFonts w:ascii="T21" w:hAnsi="T21" w:cs="T21"/>
        </w:rPr>
        <w:t>x</w:t>
      </w:r>
      <w:r w:rsidR="003C30C0">
        <w:rPr>
          <w:rFonts w:ascii="T19" w:hAnsi="T19" w:cs="T19"/>
        </w:rPr>
        <w:t>|</w:t>
      </w:r>
      <w:r w:rsidRPr="002D5E03">
        <w:rPr>
          <w:rFonts w:ascii="T19" w:hAnsi="T19" w:cs="T19"/>
        </w:rPr>
        <w:t xml:space="preserve"> </w:t>
      </w:r>
      <w:r w:rsidR="003C30C0">
        <w:rPr>
          <w:rFonts w:ascii="T19" w:hAnsi="T19" w:cs="T19"/>
        </w:rPr>
        <w:t>&gt;</w:t>
      </w:r>
      <w:r w:rsidRPr="002D5E03">
        <w:rPr>
          <w:rFonts w:ascii="T19" w:hAnsi="T19" w:cs="T19"/>
        </w:rPr>
        <w:t xml:space="preserve"> </w:t>
      </w:r>
      <w:r w:rsidRPr="002D5E03">
        <w:rPr>
          <w:rFonts w:ascii="T21" w:hAnsi="T21" w:cs="T21"/>
        </w:rPr>
        <w:t>k</w:t>
      </w:r>
      <w:r w:rsidRPr="002D5E03">
        <w:rPr>
          <w:rFonts w:ascii="T24" w:hAnsi="T24" w:cs="T24"/>
        </w:rPr>
        <w:t>.</w:t>
      </w:r>
      <w:r w:rsidR="003C30C0">
        <w:rPr>
          <w:rFonts w:ascii="T24" w:hAnsi="T24" w:cs="T24"/>
        </w:rPr>
        <w:t>)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r w:rsidRPr="002D5E03">
        <w:rPr>
          <w:rFonts w:ascii="T24" w:hAnsi="T24" w:cs="T24"/>
        </w:rPr>
        <w:t>Cauchy's function</w:t>
      </w:r>
      <w:r w:rsidR="00513DEF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>does not guarantee a unique</w:t>
      </w:r>
      <w:r w:rsidR="00513DEF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 xml:space="preserve">solution. With a descending </w:t>
      </w:r>
      <w:r w:rsidR="00026FF6">
        <w:rPr>
          <w:rFonts w:ascii="T24" w:hAnsi="T24" w:cs="T24"/>
        </w:rPr>
        <w:t>fi</w:t>
      </w:r>
      <w:r w:rsidRPr="002D5E03">
        <w:rPr>
          <w:rFonts w:ascii="T24" w:hAnsi="T24" w:cs="T24"/>
        </w:rPr>
        <w:t>rst derivative, such a function has a tendency to yield</w:t>
      </w:r>
      <w:r w:rsidR="00513DEF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>erroneous solutions in a way which cannot be observed. The 95% asymptotic e</w:t>
      </w:r>
      <w:r w:rsidR="00026FF6">
        <w:rPr>
          <w:rFonts w:ascii="T24" w:hAnsi="T24" w:cs="T24"/>
        </w:rPr>
        <w:t>ffi</w:t>
      </w:r>
      <w:r w:rsidRPr="002D5E03">
        <w:rPr>
          <w:rFonts w:ascii="T24" w:hAnsi="T24" w:cs="T24"/>
        </w:rPr>
        <w:t>ciency</w:t>
      </w:r>
      <w:r w:rsidR="00513DEF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 xml:space="preserve">on the standard normal distribution is obtained with the tuning constant </w:t>
      </w:r>
      <w:r w:rsidRPr="002D5E03">
        <w:rPr>
          <w:rFonts w:ascii="T21" w:hAnsi="T21" w:cs="T21"/>
        </w:rPr>
        <w:t xml:space="preserve">c </w:t>
      </w:r>
      <w:r w:rsidRPr="002D5E03">
        <w:rPr>
          <w:rFonts w:ascii="T24" w:hAnsi="T24" w:cs="T24"/>
        </w:rPr>
        <w:t>= 2</w:t>
      </w:r>
      <w:r w:rsidRPr="002D5E03">
        <w:rPr>
          <w:rFonts w:ascii="T21" w:hAnsi="T21" w:cs="T21"/>
        </w:rPr>
        <w:t>:</w:t>
      </w:r>
      <w:r w:rsidRPr="002D5E03">
        <w:rPr>
          <w:rFonts w:ascii="T24" w:hAnsi="T24" w:cs="T24"/>
        </w:rPr>
        <w:t xml:space="preserve">3849.The other remaining functions have the same problem as the Cauchy function. </w:t>
      </w:r>
      <w:proofErr w:type="gramStart"/>
      <w:r w:rsidRPr="002D5E03">
        <w:rPr>
          <w:rFonts w:ascii="T24" w:hAnsi="T24" w:cs="T24"/>
        </w:rPr>
        <w:t>As can</w:t>
      </w:r>
      <w:r w:rsidR="00513DEF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>be seen from the in</w:t>
      </w:r>
      <w:r w:rsidR="00330FF3">
        <w:rPr>
          <w:rFonts w:ascii="T24" w:hAnsi="T24" w:cs="T24"/>
        </w:rPr>
        <w:t>fl</w:t>
      </w:r>
      <w:r w:rsidRPr="002D5E03">
        <w:rPr>
          <w:rFonts w:ascii="T24" w:hAnsi="T24" w:cs="T24"/>
        </w:rPr>
        <w:t>uence function, the in</w:t>
      </w:r>
      <w:r w:rsidR="00513DEF">
        <w:rPr>
          <w:rFonts w:ascii="T24" w:hAnsi="T24" w:cs="T24"/>
        </w:rPr>
        <w:t>fl</w:t>
      </w:r>
      <w:r w:rsidRPr="002D5E03">
        <w:rPr>
          <w:rFonts w:ascii="T24" w:hAnsi="T24" w:cs="T24"/>
        </w:rPr>
        <w:t>uence of large errors only decreases linearly</w:t>
      </w:r>
      <w:r w:rsidR="00513DEF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>with their size.</w:t>
      </w:r>
      <w:proofErr w:type="gramEnd"/>
      <w:r w:rsidRPr="002D5E03">
        <w:rPr>
          <w:rFonts w:ascii="T24" w:hAnsi="T24" w:cs="T24"/>
        </w:rPr>
        <w:t xml:space="preserve"> The </w:t>
      </w:r>
      <w:proofErr w:type="spellStart"/>
      <w:r w:rsidRPr="002D5E03">
        <w:rPr>
          <w:rFonts w:ascii="T24" w:hAnsi="T24" w:cs="T24"/>
        </w:rPr>
        <w:t>Ge</w:t>
      </w:r>
      <w:bookmarkStart w:id="0" w:name="_GoBack"/>
      <w:bookmarkEnd w:id="0"/>
      <w:r w:rsidRPr="002D5E03">
        <w:rPr>
          <w:rFonts w:ascii="T24" w:hAnsi="T24" w:cs="T24"/>
        </w:rPr>
        <w:t>man</w:t>
      </w:r>
      <w:proofErr w:type="spellEnd"/>
      <w:r w:rsidRPr="002D5E03">
        <w:rPr>
          <w:rFonts w:ascii="T24" w:hAnsi="T24" w:cs="T24"/>
        </w:rPr>
        <w:t>-McClure and Welsh functions try to further reduce the</w:t>
      </w:r>
    </w:p>
    <w:p w:rsidR="00413A90" w:rsidRPr="002D5E03" w:rsidRDefault="00413A90" w:rsidP="00513DEF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proofErr w:type="gramStart"/>
      <w:r w:rsidRPr="002D5E03">
        <w:rPr>
          <w:rFonts w:ascii="T24" w:hAnsi="T24" w:cs="T24"/>
        </w:rPr>
        <w:t>e</w:t>
      </w:r>
      <w:r w:rsidR="00513DEF">
        <w:rPr>
          <w:rFonts w:ascii="T24" w:hAnsi="T24" w:cs="T24"/>
        </w:rPr>
        <w:t>ff</w:t>
      </w:r>
      <w:r w:rsidRPr="002D5E03">
        <w:rPr>
          <w:rFonts w:ascii="T24" w:hAnsi="T24" w:cs="T24"/>
        </w:rPr>
        <w:t>ect</w:t>
      </w:r>
      <w:proofErr w:type="gramEnd"/>
      <w:r w:rsidRPr="002D5E03">
        <w:rPr>
          <w:rFonts w:ascii="T24" w:hAnsi="T24" w:cs="T24"/>
        </w:rPr>
        <w:t xml:space="preserve"> of large errors</w:t>
      </w:r>
      <w:r w:rsidR="00513DEF">
        <w:rPr>
          <w:rFonts w:ascii="T24" w:hAnsi="T24" w:cs="T24"/>
        </w:rPr>
        <w:t>.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r w:rsidRPr="002D5E03">
        <w:rPr>
          <w:rFonts w:ascii="T24" w:hAnsi="T24" w:cs="T24"/>
        </w:rPr>
        <w:t>All these functions do not eliminate completely the in</w:t>
      </w:r>
      <w:r w:rsidR="00513DEF">
        <w:rPr>
          <w:rFonts w:ascii="T24" w:hAnsi="T24" w:cs="T24"/>
        </w:rPr>
        <w:t>fl</w:t>
      </w:r>
      <w:r w:rsidRPr="002D5E03">
        <w:rPr>
          <w:rFonts w:ascii="T24" w:hAnsi="T24" w:cs="T24"/>
        </w:rPr>
        <w:t>uence of large gross</w:t>
      </w:r>
      <w:r w:rsidR="00513DEF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>errors.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r w:rsidRPr="002D5E03">
        <w:rPr>
          <w:rFonts w:ascii="T24" w:hAnsi="T24" w:cs="T24"/>
        </w:rPr>
        <w:t>The four last functions do not guarantee uni</w:t>
      </w:r>
      <w:r w:rsidR="00513DEF">
        <w:rPr>
          <w:rFonts w:ascii="T24" w:hAnsi="T24" w:cs="T24"/>
        </w:rPr>
        <w:t>que solution</w:t>
      </w:r>
      <w:r w:rsidRPr="002D5E03">
        <w:rPr>
          <w:rFonts w:ascii="T24" w:hAnsi="T24" w:cs="T24"/>
        </w:rPr>
        <w:t>, but reduce considerably, or even eliminate</w:t>
      </w:r>
      <w:r w:rsidR="00513DEF">
        <w:rPr>
          <w:rFonts w:ascii="T24" w:hAnsi="T24" w:cs="T24"/>
        </w:rPr>
        <w:t xml:space="preserve"> </w:t>
      </w:r>
      <w:r w:rsidRPr="002D5E03">
        <w:rPr>
          <w:rFonts w:ascii="T24" w:hAnsi="T24" w:cs="T24"/>
        </w:rPr>
        <w:t>completely, the in</w:t>
      </w:r>
      <w:r w:rsidR="00513DEF">
        <w:rPr>
          <w:rFonts w:ascii="T24" w:hAnsi="T24" w:cs="T24"/>
        </w:rPr>
        <w:t>fl</w:t>
      </w:r>
      <w:r w:rsidRPr="002D5E03">
        <w:rPr>
          <w:rFonts w:ascii="T24" w:hAnsi="T24" w:cs="T24"/>
        </w:rPr>
        <w:t>uence of large gross errors.</w:t>
      </w:r>
    </w:p>
    <w:p w:rsidR="0040089B" w:rsidRDefault="0040089B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  <w:sectPr w:rsidR="0040089B" w:rsidSect="004008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9" w:hAnsi="T29" w:cs="T29"/>
        </w:rPr>
      </w:pPr>
      <w:r w:rsidRPr="002D5E03">
        <w:rPr>
          <w:rFonts w:ascii="T29" w:hAnsi="T29" w:cs="T29"/>
        </w:rPr>
        <w:t>Parameter Estimation Techniques: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9" w:hAnsi="T29" w:cs="T29"/>
        </w:rPr>
      </w:pPr>
      <w:r w:rsidRPr="002D5E03">
        <w:rPr>
          <w:rFonts w:ascii="T29" w:hAnsi="T29" w:cs="T29"/>
        </w:rPr>
        <w:t>A Tutorial with Application to Conic Fitting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8" w:hAnsi="T28" w:cs="T28"/>
        </w:rPr>
      </w:pPr>
      <w:proofErr w:type="spellStart"/>
      <w:r w:rsidRPr="002D5E03">
        <w:rPr>
          <w:rFonts w:ascii="T28" w:hAnsi="T28" w:cs="T28"/>
        </w:rPr>
        <w:t>Zhengyou</w:t>
      </w:r>
      <w:proofErr w:type="spellEnd"/>
      <w:r w:rsidRPr="002D5E03">
        <w:rPr>
          <w:rFonts w:ascii="T28" w:hAnsi="T28" w:cs="T28"/>
        </w:rPr>
        <w:t xml:space="preserve"> Zhang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8" w:hAnsi="T28" w:cs="T28"/>
        </w:rPr>
      </w:pPr>
      <w:r w:rsidRPr="002D5E03">
        <w:rPr>
          <w:rFonts w:ascii="T28" w:hAnsi="T28" w:cs="T28"/>
        </w:rPr>
        <w:t xml:space="preserve">INRIA, 2004 route des </w:t>
      </w:r>
      <w:proofErr w:type="spellStart"/>
      <w:r w:rsidRPr="002D5E03">
        <w:rPr>
          <w:rFonts w:ascii="T28" w:hAnsi="T28" w:cs="T28"/>
        </w:rPr>
        <w:t>Lucioles</w:t>
      </w:r>
      <w:proofErr w:type="spellEnd"/>
      <w:r w:rsidRPr="002D5E03">
        <w:rPr>
          <w:rFonts w:ascii="T28" w:hAnsi="T28" w:cs="T28"/>
        </w:rPr>
        <w:t>, BP 93, F-06902 Sophia-</w:t>
      </w:r>
      <w:proofErr w:type="spellStart"/>
      <w:r w:rsidRPr="002D5E03">
        <w:rPr>
          <w:rFonts w:ascii="T28" w:hAnsi="T28" w:cs="T28"/>
        </w:rPr>
        <w:t>Antipolis</w:t>
      </w:r>
      <w:proofErr w:type="spellEnd"/>
      <w:r w:rsidRPr="002D5E03">
        <w:rPr>
          <w:rFonts w:ascii="T28" w:hAnsi="T28" w:cs="T28"/>
        </w:rPr>
        <w:t xml:space="preserve"> </w:t>
      </w:r>
      <w:proofErr w:type="spellStart"/>
      <w:r w:rsidRPr="002D5E03">
        <w:rPr>
          <w:rFonts w:ascii="T28" w:hAnsi="T28" w:cs="T28"/>
        </w:rPr>
        <w:t>Cedex</w:t>
      </w:r>
      <w:proofErr w:type="spellEnd"/>
      <w:r w:rsidRPr="002D5E03">
        <w:rPr>
          <w:rFonts w:ascii="T28" w:hAnsi="T28" w:cs="T28"/>
        </w:rPr>
        <w:t>, France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7" w:hAnsi="T27" w:cs="T27"/>
        </w:rPr>
      </w:pPr>
      <w:r w:rsidRPr="002D5E03">
        <w:rPr>
          <w:rFonts w:ascii="T28" w:hAnsi="T28" w:cs="T28"/>
        </w:rPr>
        <w:t xml:space="preserve">Email: </w:t>
      </w:r>
      <w:r w:rsidRPr="002D5E03">
        <w:rPr>
          <w:rFonts w:ascii="T27" w:hAnsi="T27" w:cs="T27"/>
        </w:rPr>
        <w:t>zzhang@sophia.inria.fr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8" w:hAnsi="T28" w:cs="T28"/>
        </w:rPr>
      </w:pPr>
      <w:r w:rsidRPr="002D5E03">
        <w:rPr>
          <w:rFonts w:ascii="T28" w:hAnsi="T28" w:cs="T28"/>
        </w:rPr>
        <w:t>Fax: (+33) 93 65 78 45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r w:rsidRPr="002D5E03">
        <w:rPr>
          <w:rFonts w:ascii="T24" w:hAnsi="T24" w:cs="T24"/>
        </w:rPr>
        <w:t xml:space="preserve">This paper appeared in </w:t>
      </w:r>
      <w:r w:rsidRPr="002D5E03">
        <w:rPr>
          <w:rFonts w:ascii="T23" w:hAnsi="T23" w:cs="T23"/>
        </w:rPr>
        <w:t>Image and Vision Computing</w:t>
      </w:r>
      <w:r w:rsidRPr="002D5E03">
        <w:rPr>
          <w:rFonts w:ascii="T24" w:hAnsi="T24" w:cs="T24"/>
        </w:rPr>
        <w:t>, Vol.15, No.1, pages 59-76, January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  <w:rPr>
          <w:rFonts w:ascii="T24" w:hAnsi="T24" w:cs="T24"/>
        </w:rPr>
      </w:pPr>
      <w:r w:rsidRPr="002D5E03">
        <w:rPr>
          <w:rFonts w:ascii="T24" w:hAnsi="T24" w:cs="T24"/>
        </w:rPr>
        <w:t>1997.</w:t>
      </w:r>
    </w:p>
    <w:p w:rsidR="00413A90" w:rsidRPr="002D5E03" w:rsidRDefault="00413A90" w:rsidP="00413A90">
      <w:pPr>
        <w:autoSpaceDE w:val="0"/>
        <w:autoSpaceDN w:val="0"/>
        <w:adjustRightInd w:val="0"/>
        <w:spacing w:after="0" w:line="240" w:lineRule="auto"/>
      </w:pPr>
      <w:r w:rsidRPr="002D5E03">
        <w:rPr>
          <w:rFonts w:ascii="T24" w:hAnsi="T24" w:cs="T24"/>
        </w:rPr>
        <w:t>1</w:t>
      </w:r>
    </w:p>
    <w:sectPr w:rsidR="00413A90" w:rsidRPr="002D5E03" w:rsidSect="004008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24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9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F50"/>
    <w:rsid w:val="00026FF6"/>
    <w:rsid w:val="000B587A"/>
    <w:rsid w:val="001B1FCA"/>
    <w:rsid w:val="002D5E03"/>
    <w:rsid w:val="00330FF3"/>
    <w:rsid w:val="003C30C0"/>
    <w:rsid w:val="0040089B"/>
    <w:rsid w:val="00413A90"/>
    <w:rsid w:val="00513DEF"/>
    <w:rsid w:val="0073035E"/>
    <w:rsid w:val="007D6EFE"/>
    <w:rsid w:val="00870FB0"/>
    <w:rsid w:val="00913F50"/>
    <w:rsid w:val="00AE70B4"/>
    <w:rsid w:val="00BC1CA3"/>
    <w:rsid w:val="00F622D9"/>
    <w:rsid w:val="00F9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FCA"/>
  </w:style>
  <w:style w:type="paragraph" w:styleId="Heading1">
    <w:name w:val="heading 1"/>
    <w:basedOn w:val="Normal"/>
    <w:next w:val="Normal"/>
    <w:link w:val="Heading1Char"/>
    <w:uiPriority w:val="9"/>
    <w:qFormat/>
    <w:rsid w:val="007D6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Heading3"/>
    <w:link w:val="Heading2Char"/>
    <w:uiPriority w:val="9"/>
    <w:unhideWhenUsed/>
    <w:qFormat/>
    <w:rsid w:val="007D6EFE"/>
    <w:pPr>
      <w:spacing w:before="240" w:after="60"/>
      <w:outlineLvl w:val="1"/>
    </w:pPr>
    <w:rPr>
      <w:b w:val="0"/>
      <w:bCs w:val="0"/>
      <w:i/>
      <w:iCs/>
      <w:color w:val="365F9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6EFE"/>
    <w:rPr>
      <w:rFonts w:asciiTheme="majorHAnsi" w:eastAsiaTheme="majorEastAsia" w:hAnsiTheme="majorHAnsi" w:cstheme="majorBidi"/>
      <w:i/>
      <w:iCs/>
      <w:color w:val="365F9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D6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E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Reedip</dc:creator>
  <cp:lastModifiedBy>reedip</cp:lastModifiedBy>
  <cp:revision>5</cp:revision>
  <dcterms:created xsi:type="dcterms:W3CDTF">2012-03-06T05:17:00Z</dcterms:created>
  <dcterms:modified xsi:type="dcterms:W3CDTF">2012-03-06T16:07:00Z</dcterms:modified>
</cp:coreProperties>
</file>