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CF6 Real Agent Build MCT</w:t>
      </w:r>
    </w:p>
    <w:p>
      <w:pPr>
        <w:pStyle w:val="Subtitle"/>
        <w:jc w:val="center"/>
      </w:pPr>
      <w:r>
        <w:t>Practical migration plan for agentic claim extraction and evidence retrieval</w:t>
      </w:r>
    </w:p>
    <w:p>
      <w:pPr>
        <w:pStyle w:val="Small"/>
        <w:jc w:val="center"/>
      </w:pPr>
      <w:r>
        <w:t>Governing build record • 2026-07-27</w:t>
      </w:r>
    </w:p>
    <w:p>
      <w:pPr>
        <w:pStyle w:val="Callout"/>
        <w:shd w:fill="E7F2E8"/>
        <w:pBdr>
          <w:left w:val="single" w:sz="18" w:space="5" w:color="4C879B"/>
        </w:pBdr>
      </w:pPr>
      <w:r>
        <w:t>Purpose: give a coding assistant enough precise, sequenced instruction to build an actual runtime agent in the VeriStrata platform, while preserving useful CF5 and EvidenceRun code as tools and validators.</w:t>
      </w:r>
    </w:p>
    <w:p>
      <w:pPr>
        <w:pStyle w:val="Heading1"/>
      </w:pPr>
      <w:r>
        <w:t>Decision in one page</w:t>
      </w:r>
    </w:p>
    <w:p>
      <w:r>
        <w:t>Do not begin by rewriting CF5 prompts again. Freeze CF5 as a comparison path and build a new vertical slice beside it. The recommended implementation is a TypeScript agent runtime inside the existing Node repository, using the OpenAI Agents SDK as the orchestration layer and existing VeriStrata functions as typed tools.</w:t>
      </w:r>
    </w:p>
    <w:p>
      <w:pPr>
        <w:pStyle w:val="ListBullet"/>
        <w:spacing w:after="40"/>
      </w:pPr>
      <w:r>
        <w:rPr>
          <w:b/>
        </w:rPr>
        <w:t xml:space="preserve">Install: </w:t>
      </w:r>
      <w:r>
        <w:t>npm install @openai/agents zod</w:t>
      </w:r>
    </w:p>
    <w:p>
      <w:pPr>
        <w:pStyle w:val="ListBullet"/>
        <w:spacing w:after="40"/>
      </w:pPr>
      <w:r>
        <w:rPr>
          <w:b/>
        </w:rPr>
        <w:t xml:space="preserve">Architecture: </w:t>
      </w:r>
      <w:r>
        <w:t>one ClaimFoundry manager agent and one separate EvidenceRun manager agent; do not merge them.</w:t>
      </w:r>
    </w:p>
    <w:p>
      <w:pPr>
        <w:pStyle w:val="ListBullet"/>
        <w:spacing w:after="40"/>
      </w:pPr>
      <w:r>
        <w:rPr>
          <w:b/>
        </w:rPr>
        <w:t xml:space="preserve">First milestone: </w:t>
      </w:r>
      <w:r>
        <w:t>a claim agent that can inspect content, draft a package, invoke deterministic validation, choose repairs, and finish.</w:t>
      </w:r>
    </w:p>
    <w:p>
      <w:pPr>
        <w:pStyle w:val="ListBullet"/>
        <w:spacing w:after="40"/>
      </w:pPr>
      <w:r>
        <w:rPr>
          <w:b/>
        </w:rPr>
        <w:t xml:space="preserve">Second milestone: </w:t>
      </w:r>
      <w:r>
        <w:t>an evidence agent that can plan queries, retrieve candidates, inspect full text, judge bearing and stance, and persist links.</w:t>
      </w:r>
    </w:p>
    <w:p>
      <w:pPr>
        <w:pStyle w:val="ListBullet"/>
        <w:spacing w:after="40"/>
      </w:pPr>
      <w:r>
        <w:rPr>
          <w:b/>
        </w:rPr>
        <w:t xml:space="preserve">What makes it agentic: </w:t>
      </w:r>
      <w:r>
        <w:t>the model chooses the next permitted tool based on state and validation feedback; code does not prescribe the full sequence.</w:t>
      </w:r>
    </w:p>
    <w:p>
      <w:pPr>
        <w:pStyle w:val="ListBullet"/>
        <w:spacing w:after="40"/>
      </w:pPr>
      <w:r>
        <w:rPr>
          <w:b/>
        </w:rPr>
        <w:t xml:space="preserve">What remains deterministic: </w:t>
      </w:r>
      <w:r>
        <w:t>schemas, source-unit access, budgets, persistence, dedupe, identifier integrity, scoring transforms, and final package validation.</w:t>
      </w:r>
    </w:p>
    <w:p>
      <w:pPr>
        <w:pStyle w:val="Callout"/>
        <w:shd w:fill="EAF2F5"/>
        <w:pBdr>
          <w:left w:val="single" w:sz="18" w:space="5" w:color="4C879B"/>
        </w:pBdr>
      </w:pPr>
      <w:r>
        <w:t>Acceptance test: if every run always follows a hard-coded Call 1 → Call 2 → repair sequence, it is still a prompt pipeline. A real agent may inspect different passages, invoke different repairs, revisit earlier work, or finish early, while remaining inside bounded tools and budgets.</w:t>
      </w:r>
    </w:p>
    <w:p>
      <w:pPr>
        <w:pStyle w:val="Heading1"/>
      </w:pPr>
      <w:r>
        <w:t>1. What an agent SDK actually adds</w:t>
      </w:r>
    </w:p>
    <w:p>
      <w:r>
        <w:t>A client SDK sends prompts and returns responses. An agent SDK supplies or manages the repeated model/tool loop: the model chooses a tool, the runtime executes it, the result returns to the model, and the loop continues until the agent emits a final output or reaches a boundary.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CEAF0"/>
            <w:vAlign w:val="center"/>
          </w:tcPr>
          <w:p>
            <w:r>
              <w:rPr>
                <w:b/>
                <w:sz w:val="17"/>
              </w:rPr>
              <w:t>Capability</w:t>
            </w:r>
          </w:p>
        </w:tc>
        <w:tc>
          <w:tcPr>
            <w:tcW w:type="dxa" w:w="3456"/>
            <w:shd w:fill="DCEAF0"/>
            <w:vAlign w:val="center"/>
          </w:tcPr>
          <w:p>
            <w:r>
              <w:rPr>
                <w:b/>
                <w:sz w:val="17"/>
              </w:rPr>
              <w:t>Plain API pipeline</w:t>
            </w:r>
          </w:p>
        </w:tc>
        <w:tc>
          <w:tcPr>
            <w:tcW w:type="dxa" w:w="4536"/>
            <w:shd w:fill="DCEAF0"/>
            <w:vAlign w:val="center"/>
          </w:tcPr>
          <w:p>
            <w:r>
              <w:rPr>
                <w:b/>
                <w:sz w:val="17"/>
              </w:rPr>
              <w:t>Agent runtime</w:t>
            </w:r>
          </w:p>
        </w:tc>
      </w:tr>
      <w:tr>
        <w:tc>
          <w:tcPr>
            <w:tcW w:type="dxa" w:w="1944"/>
            <w:vAlign w:val="top"/>
          </w:tcPr>
          <w:p>
            <w:pPr>
              <w:spacing w:after="0"/>
            </w:pPr>
            <w:r>
              <w:rPr>
                <w:sz w:val="16"/>
              </w:rPr>
              <w:t>Next step</w:t>
            </w:r>
          </w:p>
        </w:tc>
        <w:tc>
          <w:tcPr>
            <w:tcW w:type="dxa" w:w="3456"/>
            <w:vAlign w:val="top"/>
          </w:tcPr>
          <w:p>
            <w:pPr>
              <w:spacing w:after="0"/>
            </w:pPr>
            <w:r>
              <w:rPr>
                <w:sz w:val="16"/>
              </w:rPr>
              <w:t>Chosen in application code</w:t>
            </w:r>
          </w:p>
        </w:tc>
        <w:tc>
          <w:tcPr>
            <w:tcW w:type="dxa" w:w="4536"/>
            <w:vAlign w:val="top"/>
          </w:tcPr>
          <w:p>
            <w:pPr>
              <w:spacing w:after="0"/>
            </w:pPr>
            <w:r>
              <w:rPr>
                <w:sz w:val="16"/>
              </w:rPr>
              <w:t>Chosen by the model from allowed tools</w:t>
            </w:r>
          </w:p>
        </w:tc>
      </w:tr>
      <w:tr>
        <w:tc>
          <w:tcPr>
            <w:tcW w:type="dxa" w:w="1944"/>
            <w:vAlign w:val="top"/>
          </w:tcPr>
          <w:p>
            <w:pPr>
              <w:spacing w:after="0"/>
            </w:pPr>
            <w:r>
              <w:rPr>
                <w:sz w:val="16"/>
              </w:rPr>
              <w:t>Tool loop</w:t>
            </w:r>
          </w:p>
        </w:tc>
        <w:tc>
          <w:tcPr>
            <w:tcW w:type="dxa" w:w="3456"/>
            <w:vAlign w:val="top"/>
          </w:tcPr>
          <w:p>
            <w:pPr>
              <w:spacing w:after="0"/>
            </w:pPr>
            <w:r>
              <w:rPr>
                <w:sz w:val="16"/>
              </w:rPr>
              <w:t>You manually implement each turn</w:t>
            </w:r>
          </w:p>
        </w:tc>
        <w:tc>
          <w:tcPr>
            <w:tcW w:type="dxa" w:w="4536"/>
            <w:vAlign w:val="top"/>
          </w:tcPr>
          <w:p>
            <w:pPr>
              <w:spacing w:after="0"/>
            </w:pPr>
            <w:r>
              <w:rPr>
                <w:sz w:val="16"/>
              </w:rPr>
              <w:t>Runner manages repeated tool calls</w:t>
            </w:r>
          </w:p>
        </w:tc>
      </w:tr>
      <w:tr>
        <w:tc>
          <w:tcPr>
            <w:tcW w:type="dxa" w:w="1944"/>
            <w:vAlign w:val="top"/>
          </w:tcPr>
          <w:p>
            <w:pPr>
              <w:spacing w:after="0"/>
            </w:pPr>
            <w:r>
              <w:rPr>
                <w:sz w:val="16"/>
              </w:rPr>
              <w:t>State</w:t>
            </w:r>
          </w:p>
        </w:tc>
        <w:tc>
          <w:tcPr>
            <w:tcW w:type="dxa" w:w="3456"/>
            <w:vAlign w:val="top"/>
          </w:tcPr>
          <w:p>
            <w:pPr>
              <w:spacing w:after="0"/>
            </w:pPr>
            <w:r>
              <w:rPr>
                <w:sz w:val="16"/>
              </w:rPr>
              <w:t>Usually passed between fixed stages</w:t>
            </w:r>
          </w:p>
        </w:tc>
        <w:tc>
          <w:tcPr>
            <w:tcW w:type="dxa" w:w="4536"/>
            <w:vAlign w:val="top"/>
          </w:tcPr>
          <w:p>
            <w:pPr>
              <w:spacing w:after="0"/>
            </w:pPr>
            <w:r>
              <w:rPr>
                <w:sz w:val="16"/>
              </w:rPr>
              <w:t>Run context/session plus persisted domain state</w:t>
            </w:r>
          </w:p>
        </w:tc>
      </w:tr>
      <w:tr>
        <w:tc>
          <w:tcPr>
            <w:tcW w:type="dxa" w:w="1944"/>
            <w:vAlign w:val="top"/>
          </w:tcPr>
          <w:p>
            <w:pPr>
              <w:spacing w:after="0"/>
            </w:pPr>
            <w:r>
              <w:rPr>
                <w:sz w:val="16"/>
              </w:rPr>
              <w:t>Repair</w:t>
            </w:r>
          </w:p>
        </w:tc>
        <w:tc>
          <w:tcPr>
            <w:tcW w:type="dxa" w:w="3456"/>
            <w:vAlign w:val="top"/>
          </w:tcPr>
          <w:p>
            <w:pPr>
              <w:spacing w:after="0"/>
            </w:pPr>
            <w:r>
              <w:rPr>
                <w:sz w:val="16"/>
              </w:rPr>
              <w:t>One predetermined repair prompt</w:t>
            </w:r>
          </w:p>
        </w:tc>
        <w:tc>
          <w:tcPr>
            <w:tcW w:type="dxa" w:w="4536"/>
            <w:vAlign w:val="top"/>
          </w:tcPr>
          <w:p>
            <w:pPr>
              <w:spacing w:after="0"/>
            </w:pPr>
            <w:r>
              <w:rPr>
                <w:sz w:val="16"/>
              </w:rPr>
              <w:t>Agent selects a repair action based on diagnostics</w:t>
            </w:r>
          </w:p>
        </w:tc>
      </w:tr>
      <w:tr>
        <w:tc>
          <w:tcPr>
            <w:tcW w:type="dxa" w:w="1944"/>
            <w:vAlign w:val="top"/>
          </w:tcPr>
          <w:p>
            <w:pPr>
              <w:spacing w:after="0"/>
            </w:pPr>
            <w:r>
              <w:rPr>
                <w:sz w:val="16"/>
              </w:rPr>
              <w:t>Observability</w:t>
            </w:r>
          </w:p>
        </w:tc>
        <w:tc>
          <w:tcPr>
            <w:tcW w:type="dxa" w:w="3456"/>
            <w:vAlign w:val="top"/>
          </w:tcPr>
          <w:p>
            <w:pPr>
              <w:spacing w:after="0"/>
            </w:pPr>
            <w:r>
              <w:rPr>
                <w:sz w:val="16"/>
              </w:rPr>
              <w:t>Logs per API call</w:t>
            </w:r>
          </w:p>
        </w:tc>
        <w:tc>
          <w:tcPr>
            <w:tcW w:type="dxa" w:w="4536"/>
            <w:vAlign w:val="top"/>
          </w:tcPr>
          <w:p>
            <w:pPr>
              <w:spacing w:after="0"/>
            </w:pPr>
            <w:r>
              <w:rPr>
                <w:sz w:val="16"/>
              </w:rPr>
              <w:t>Trace of model turns, tools, handoffs, and outcomes</w:t>
            </w:r>
          </w:p>
        </w:tc>
      </w:tr>
      <w:tr>
        <w:tc>
          <w:tcPr>
            <w:tcW w:type="dxa" w:w="1944"/>
            <w:vAlign w:val="top"/>
          </w:tcPr>
          <w:p>
            <w:pPr>
              <w:spacing w:after="0"/>
            </w:pPr>
            <w:r>
              <w:rPr>
                <w:sz w:val="16"/>
              </w:rPr>
              <w:t>Human review</w:t>
            </w:r>
          </w:p>
        </w:tc>
        <w:tc>
          <w:tcPr>
            <w:tcW w:type="dxa" w:w="3456"/>
            <w:vAlign w:val="top"/>
          </w:tcPr>
          <w:p>
            <w:pPr>
              <w:spacing w:after="0"/>
            </w:pPr>
            <w:r>
              <w:rPr>
                <w:sz w:val="16"/>
              </w:rPr>
              <w:t>Custom pause logic</w:t>
            </w:r>
          </w:p>
        </w:tc>
        <w:tc>
          <w:tcPr>
            <w:tcW w:type="dxa" w:w="4536"/>
            <w:vAlign w:val="top"/>
          </w:tcPr>
          <w:p>
            <w:pPr>
              <w:spacing w:after="0"/>
            </w:pPr>
            <w:r>
              <w:rPr>
                <w:sz w:val="16"/>
              </w:rPr>
              <w:t>Interrupt/resume or application approval gate</w:t>
            </w:r>
          </w:p>
        </w:tc>
      </w:tr>
    </w:tbl>
    <w:p>
      <w:pPr>
        <w:spacing w:after="0"/>
      </w:pPr>
    </w:p>
    <w:p>
      <w:r>
        <w:t>The SDK is not the intelligence. It is the harness that permits bounded autonomy. The intelligence still comes from the model, the instructions, the available tools, and the state it can inspect.</w:t>
      </w:r>
    </w:p>
    <w:p>
      <w:pPr>
        <w:pStyle w:val="Heading1"/>
      </w:pPr>
      <w:r>
        <w:t>2. SDK choice</w:t>
      </w:r>
    </w:p>
    <w:p>
      <w:pPr>
        <w:pStyle w:val="Heading2"/>
      </w:pPr>
      <w:r>
        <w:t>Recommended production path: OpenAI Agents SDK for TypeScript</w:t>
      </w:r>
    </w:p>
    <w:p>
      <w:r>
        <w:t>Use this first because the platform is already TypeScript/Node-oriented and the SDK provides a managed loop, Zod-validated function tools, structured outputs, sessions, guardrails, tracing, human interruption, and agents-as-tools. Keep model access behind a provider adapter so this choice does not permanently bind the product to one model.</w:t>
      </w:r>
    </w:p>
    <w:p>
      <w:pPr>
        <w:pStyle w:val="CodeBlock"/>
        <w:shd w:fill="F4F6F7"/>
        <w:pBdr>
          <w:left w:val="single" w:sz="18" w:space="5" w:color="4C879B"/>
        </w:pBdr>
      </w:pPr>
      <w:r>
        <w:t>npm install @openai/agents zod</w:t>
      </w:r>
    </w:p>
    <w:p>
      <w:pPr>
        <w:pStyle w:val="Heading2"/>
      </w:pPr>
      <w:r>
        <w:t>Useful alternative: Claude Agent SDK</w:t>
      </w:r>
    </w:p>
    <w:p>
      <w:r>
        <w:t>The Claude Agent SDK is a real agent runtime, not merely the Anthropic client SDK. It includes an agent loop, sessions, custom tools, subagents, hooks, permissions, structured output, and observability. It is especially convenient for filesystem and coding agents because it bundles Read/Edit/Bash-style tools. For VeriStrata's product runtime, however, unrestricted filesystem and shell tools are not the core need. Domain-specific functions and database boundaries are. Therefore, use Claude Code to build the agent, but do not automatically make the production claim agent a shell-capable Claude Code clone.</w:t>
      </w:r>
    </w:p>
    <w:p>
      <w:pPr>
        <w:pStyle w:val="CodeBlock"/>
        <w:shd w:fill="F4F6F7"/>
        <w:pBdr>
          <w:left w:val="single" w:sz="18" w:space="5" w:color="4C879B"/>
        </w:pBdr>
      </w:pPr>
      <w:r>
        <w:t>npm install @anthropic-ai/claude-agent-sdk</w:t>
      </w:r>
    </w:p>
    <w:p>
      <w:pPr>
        <w:pStyle w:val="Heading2"/>
      </w:pPr>
      <w:r>
        <w:t>Do not do this</w:t>
      </w:r>
    </w:p>
    <w:p>
      <w:pPr>
        <w:pStyle w:val="ListBullet"/>
        <w:spacing w:after="40"/>
      </w:pPr>
      <w:r>
        <w:t>Do not install LangGraph, AutoGen, CrewAI, Google ADK, an OpenAI agent SDK, and a Claude agent SDK simultaneously.</w:t>
      </w:r>
    </w:p>
    <w:p>
      <w:pPr>
        <w:pStyle w:val="ListBullet"/>
        <w:spacing w:after="40"/>
      </w:pPr>
      <w:r>
        <w:t>Do not start with multiple handoff agents. First prove one manager agent can operate domain tools correctly.</w:t>
      </w:r>
    </w:p>
    <w:p>
      <w:pPr>
        <w:pStyle w:val="ListBullet"/>
        <w:spacing w:after="40"/>
      </w:pPr>
      <w:r>
        <w:t>Do not expose the production repository, shell, arbitrary SQL, or unrestricted web access to the claim agent.</w:t>
      </w:r>
    </w:p>
    <w:p>
      <w:pPr>
        <w:pStyle w:val="ListBullet"/>
        <w:spacing w:after="40"/>
      </w:pPr>
      <w:r>
        <w:t>Do not rewrite working preprocessing, source-unit normalization, validators, or persistence merely to make them look agentic.</w:t>
      </w:r>
    </w:p>
    <w:p>
      <w:pPr>
        <w:pStyle w:val="Heading1"/>
      </w:pPr>
      <w:r>
        <w:t>3. Governing architecture</w:t>
      </w:r>
    </w:p>
    <w:p>
      <w:pPr>
        <w:pStyle w:val="CodeBlock"/>
        <w:shd w:fill="F4F6F7"/>
        <w:pBdr>
          <w:left w:val="single" w:sz="18" w:space="5" w:color="4C879B"/>
        </w:pBdr>
      </w:pPr>
      <w:r>
        <w:t>CONTENT</w:t>
      </w:r>
    </w:p>
    <w:p>
      <w:pPr>
        <w:pStyle w:val="CodeBlock"/>
        <w:shd w:fill="F4F6F7"/>
        <w:pBdr>
          <w:left w:val="single" w:sz="18" w:space="5" w:color="4C879B"/>
        </w:pBdr>
      </w:pPr>
      <w:r>
        <w:t xml:space="preserve">  → deterministic ingestion and source-unit normalization</w:t>
      </w:r>
    </w:p>
    <w:p>
      <w:pPr>
        <w:pStyle w:val="CodeBlock"/>
        <w:shd w:fill="F4F6F7"/>
        <w:pBdr>
          <w:left w:val="single" w:sz="18" w:space="5" w:color="4C879B"/>
        </w:pBdr>
      </w:pPr>
      <w:r>
        <w:t xml:space="preserve">  → ClaimFoundry Agent</w:t>
      </w:r>
    </w:p>
    <w:p>
      <w:pPr>
        <w:pStyle w:val="CodeBlock"/>
        <w:shd w:fill="F4F6F7"/>
        <w:pBdr>
          <w:left w:val="single" w:sz="18" w:space="5" w:color="4C879B"/>
        </w:pBdr>
      </w:pPr>
      <w:r>
        <w:t xml:space="preserve">       tools: inspect, search-within-content, draft, validate, repair, finalize</w:t>
      </w:r>
    </w:p>
    <w:p>
      <w:pPr>
        <w:pStyle w:val="CodeBlock"/>
        <w:shd w:fill="F4F6F7"/>
        <w:pBdr>
          <w:left w:val="single" w:sz="18" w:space="5" w:color="4C879B"/>
        </w:pBdr>
      </w:pPr>
      <w:r>
        <w:t xml:space="preserve">  → persisted Claim Package</w:t>
      </w:r>
    </w:p>
    <w:p>
      <w:pPr>
        <w:pStyle w:val="CodeBlock"/>
        <w:shd w:fill="F4F6F7"/>
        <w:pBdr>
          <w:left w:val="single" w:sz="18" w:space="5" w:color="4C879B"/>
        </w:pBdr>
      </w:pPr>
      <w:r>
        <w:t xml:space="preserve">  → EvidenceRun Agent</w:t>
      </w:r>
    </w:p>
    <w:p>
      <w:pPr>
        <w:pStyle w:val="CodeBlock"/>
        <w:shd w:fill="F4F6F7"/>
        <w:pBdr>
          <w:left w:val="single" w:sz="18" w:space="5" w:color="4C879B"/>
        </w:pBdr>
      </w:pPr>
      <w:r>
        <w:t xml:space="preserve">       tools: load targets, plan lanes, search providers, fetch, inspect,</w:t>
      </w:r>
    </w:p>
    <w:p>
      <w:pPr>
        <w:pStyle w:val="CodeBlock"/>
        <w:shd w:fill="F4F6F7"/>
        <w:pBdr>
          <w:left w:val="single" w:sz="18" w:space="5" w:color="4C879B"/>
        </w:pBdr>
      </w:pPr>
      <w:r>
        <w:t xml:space="preserve">              judge bearing, judge stance, persist evidence</w:t>
      </w:r>
    </w:p>
    <w:p>
      <w:pPr>
        <w:pStyle w:val="CodeBlock"/>
        <w:shd w:fill="F4F6F7"/>
        <w:pBdr>
          <w:left w:val="single" w:sz="18" w:space="5" w:color="4C879B"/>
        </w:pBdr>
      </w:pPr>
      <w:r>
        <w:t xml:space="preserve">  → persisted Evidence Package</w:t>
      </w:r>
    </w:p>
    <w:p>
      <w:pPr>
        <w:pStyle w:val="CodeBlock"/>
        <w:shd w:fill="F4F6F7"/>
        <w:pBdr>
          <w:left w:val="single" w:sz="18" w:space="5" w:color="4C879B"/>
        </w:pBdr>
      </w:pPr>
      <w:r>
        <w:t xml:space="preserve">  → deterministic scoring and reporting</w:t>
      </w:r>
    </w:p>
    <w:p>
      <w:r>
        <w:t>ClaimFoundry decides what requires evidentiary evaluation. EvidenceRun decides what retrieved evidence bears on those targets. They may share infrastructure, types, tracing, and a provider adapter, but they are separate runs with separate instructions, budgets, tools, and persistence.</w:t>
      </w:r>
    </w:p>
    <w:p>
      <w:pPr>
        <w:pStyle w:val="Heading1"/>
      </w:pPr>
      <w:r>
        <w:t>4. Repository shape</w:t>
      </w:r>
    </w:p>
    <w:p>
      <w:pPr>
        <w:pStyle w:val="CodeBlock"/>
        <w:shd w:fill="F4F6F7"/>
        <w:pBdr>
          <w:left w:val="single" w:sz="18" w:space="5" w:color="4C879B"/>
        </w:pBdr>
      </w:pPr>
      <w:r>
        <w:t>backend/</w:t>
      </w:r>
    </w:p>
    <w:p>
      <w:pPr>
        <w:pStyle w:val="CodeBlock"/>
        <w:shd w:fill="F4F6F7"/>
        <w:pBdr>
          <w:left w:val="single" w:sz="18" w:space="5" w:color="4C879B"/>
        </w:pBdr>
      </w:pPr>
      <w:r>
        <w:t xml:space="preserve">  agents/</w:t>
      </w:r>
    </w:p>
    <w:p>
      <w:pPr>
        <w:pStyle w:val="CodeBlock"/>
        <w:shd w:fill="F4F6F7"/>
        <w:pBdr>
          <w:left w:val="single" w:sz="18" w:space="5" w:color="4C879B"/>
        </w:pBdr>
      </w:pPr>
      <w:r>
        <w:t xml:space="preserve">    shared/</w:t>
      </w:r>
    </w:p>
    <w:p>
      <w:pPr>
        <w:pStyle w:val="CodeBlock"/>
        <w:shd w:fill="F4F6F7"/>
        <w:pBdr>
          <w:left w:val="single" w:sz="18" w:space="5" w:color="4C879B"/>
        </w:pBdr>
      </w:pPr>
      <w:r>
        <w:t xml:space="preserve">      agentRuntime.ts</w:t>
      </w:r>
    </w:p>
    <w:p>
      <w:pPr>
        <w:pStyle w:val="CodeBlock"/>
        <w:shd w:fill="F4F6F7"/>
        <w:pBdr>
          <w:left w:val="single" w:sz="18" w:space="5" w:color="4C879B"/>
        </w:pBdr>
      </w:pPr>
      <w:r>
        <w:t xml:space="preserve">      modelProvider.ts</w:t>
      </w:r>
    </w:p>
    <w:p>
      <w:pPr>
        <w:pStyle w:val="CodeBlock"/>
        <w:shd w:fill="F4F6F7"/>
        <w:pBdr>
          <w:left w:val="single" w:sz="18" w:space="5" w:color="4C879B"/>
        </w:pBdr>
      </w:pPr>
      <w:r>
        <w:t xml:space="preserve">      runBudget.ts</w:t>
      </w:r>
    </w:p>
    <w:p>
      <w:pPr>
        <w:pStyle w:val="CodeBlock"/>
        <w:shd w:fill="F4F6F7"/>
        <w:pBdr>
          <w:left w:val="single" w:sz="18" w:space="5" w:color="4C879B"/>
        </w:pBdr>
      </w:pPr>
      <w:r>
        <w:t xml:space="preserve">      traceMetadata.ts</w:t>
      </w:r>
    </w:p>
    <w:p>
      <w:pPr>
        <w:pStyle w:val="CodeBlock"/>
        <w:shd w:fill="F4F6F7"/>
        <w:pBdr>
          <w:left w:val="single" w:sz="18" w:space="5" w:color="4C879B"/>
        </w:pBdr>
      </w:pPr>
      <w:r>
        <w:t xml:space="preserve">      agentErrors.ts</w:t>
      </w:r>
    </w:p>
    <w:p>
      <w:pPr>
        <w:pStyle w:val="CodeBlock"/>
        <w:shd w:fill="F4F6F7"/>
        <w:pBdr>
          <w:left w:val="single" w:sz="18" w:space="5" w:color="4C879B"/>
        </w:pBdr>
      </w:pPr>
      <w:r>
        <w:t xml:space="preserve">    claimFoundry/</w:t>
      </w:r>
    </w:p>
    <w:p>
      <w:pPr>
        <w:pStyle w:val="CodeBlock"/>
        <w:shd w:fill="F4F6F7"/>
        <w:pBdr>
          <w:left w:val="single" w:sz="18" w:space="5" w:color="4C879B"/>
        </w:pBdr>
      </w:pPr>
      <w:r>
        <w:t xml:space="preserve">      claimFoundryAgent.ts</w:t>
      </w:r>
    </w:p>
    <w:p>
      <w:pPr>
        <w:pStyle w:val="CodeBlock"/>
        <w:shd w:fill="F4F6F7"/>
        <w:pBdr>
          <w:left w:val="single" w:sz="18" w:space="5" w:color="4C879B"/>
        </w:pBdr>
      </w:pPr>
      <w:r>
        <w:t xml:space="preserve">      claimFoundryInstructions.ts</w:t>
      </w:r>
    </w:p>
    <w:p>
      <w:pPr>
        <w:pStyle w:val="CodeBlock"/>
        <w:shd w:fill="F4F6F7"/>
        <w:pBdr>
          <w:left w:val="single" w:sz="18" w:space="5" w:color="4C879B"/>
        </w:pBdr>
      </w:pPr>
      <w:r>
        <w:t xml:space="preserve">      claimFoundryContext.ts</w:t>
      </w:r>
    </w:p>
    <w:p>
      <w:pPr>
        <w:pStyle w:val="CodeBlock"/>
        <w:shd w:fill="F4F6F7"/>
        <w:pBdr>
          <w:left w:val="single" w:sz="18" w:space="5" w:color="4C879B"/>
        </w:pBdr>
      </w:pPr>
      <w:r>
        <w:t xml:space="preserve">      claimFoundryState.ts</w:t>
      </w:r>
    </w:p>
    <w:p>
      <w:pPr>
        <w:pStyle w:val="CodeBlock"/>
        <w:shd w:fill="F4F6F7"/>
        <w:pBdr>
          <w:left w:val="single" w:sz="18" w:space="5" w:color="4C879B"/>
        </w:pBdr>
      </w:pPr>
      <w:r>
        <w:t xml:space="preserve">      claimFoundryTools.ts</w:t>
      </w:r>
    </w:p>
    <w:p>
      <w:pPr>
        <w:pStyle w:val="CodeBlock"/>
        <w:shd w:fill="F4F6F7"/>
        <w:pBdr>
          <w:left w:val="single" w:sz="18" w:space="5" w:color="4C879B"/>
        </w:pBdr>
      </w:pPr>
      <w:r>
        <w:t xml:space="preserve">      claimFoundryRunner.ts</w:t>
      </w:r>
    </w:p>
    <w:p>
      <w:pPr>
        <w:pStyle w:val="CodeBlock"/>
        <w:shd w:fill="F4F6F7"/>
        <w:pBdr>
          <w:left w:val="single" w:sz="18" w:space="5" w:color="4C879B"/>
        </w:pBdr>
      </w:pPr>
      <w:r>
        <w:t xml:space="preserve">      claimFoundrySchemas.ts</w:t>
      </w:r>
    </w:p>
    <w:p>
      <w:pPr>
        <w:pStyle w:val="CodeBlock"/>
        <w:shd w:fill="F4F6F7"/>
        <w:pBdr>
          <w:left w:val="single" w:sz="18" w:space="5" w:color="4C879B"/>
        </w:pBdr>
      </w:pPr>
      <w:r>
        <w:t xml:space="preserve">    evidenceRun/</w:t>
      </w:r>
    </w:p>
    <w:p>
      <w:pPr>
        <w:pStyle w:val="CodeBlock"/>
        <w:shd w:fill="F4F6F7"/>
        <w:pBdr>
          <w:left w:val="single" w:sz="18" w:space="5" w:color="4C879B"/>
        </w:pBdr>
      </w:pPr>
      <w:r>
        <w:t xml:space="preserve">      evidenceRunAgent.ts</w:t>
      </w:r>
    </w:p>
    <w:p>
      <w:pPr>
        <w:pStyle w:val="CodeBlock"/>
        <w:shd w:fill="F4F6F7"/>
        <w:pBdr>
          <w:left w:val="single" w:sz="18" w:space="5" w:color="4C879B"/>
        </w:pBdr>
      </w:pPr>
      <w:r>
        <w:t xml:space="preserve">      evidenceRunInstructions.ts</w:t>
      </w:r>
    </w:p>
    <w:p>
      <w:pPr>
        <w:pStyle w:val="CodeBlock"/>
        <w:shd w:fill="F4F6F7"/>
        <w:pBdr>
          <w:left w:val="single" w:sz="18" w:space="5" w:color="4C879B"/>
        </w:pBdr>
      </w:pPr>
      <w:r>
        <w:t xml:space="preserve">      evidenceRunContext.ts</w:t>
      </w:r>
    </w:p>
    <w:p>
      <w:pPr>
        <w:pStyle w:val="CodeBlock"/>
        <w:shd w:fill="F4F6F7"/>
        <w:pBdr>
          <w:left w:val="single" w:sz="18" w:space="5" w:color="4C879B"/>
        </w:pBdr>
      </w:pPr>
      <w:r>
        <w:t xml:space="preserve">      evidenceRunState.ts</w:t>
      </w:r>
    </w:p>
    <w:p>
      <w:pPr>
        <w:pStyle w:val="CodeBlock"/>
        <w:shd w:fill="F4F6F7"/>
        <w:pBdr>
          <w:left w:val="single" w:sz="18" w:space="5" w:color="4C879B"/>
        </w:pBdr>
      </w:pPr>
      <w:r>
        <w:t xml:space="preserve">      evidenceRunTools.ts</w:t>
      </w:r>
    </w:p>
    <w:p>
      <w:pPr>
        <w:pStyle w:val="CodeBlock"/>
        <w:shd w:fill="F4F6F7"/>
        <w:pBdr>
          <w:left w:val="single" w:sz="18" w:space="5" w:color="4C879B"/>
        </w:pBdr>
      </w:pPr>
      <w:r>
        <w:t xml:space="preserve">      evidenceRunRunner.ts</w:t>
      </w:r>
    </w:p>
    <w:p>
      <w:pPr>
        <w:pStyle w:val="CodeBlock"/>
        <w:shd w:fill="F4F6F7"/>
        <w:pBdr>
          <w:left w:val="single" w:sz="18" w:space="5" w:color="4C879B"/>
        </w:pBdr>
      </w:pPr>
      <w:r>
        <w:t xml:space="preserve">      evidenceRunSchemas.ts</w:t>
      </w:r>
    </w:p>
    <w:p>
      <w:pPr>
        <w:pStyle w:val="CodeBlock"/>
        <w:shd w:fill="F4F6F7"/>
        <w:pBdr>
          <w:left w:val="single" w:sz="18" w:space="5" w:color="4C879B"/>
        </w:pBdr>
      </w:pPr>
      <w:r>
        <w:t xml:space="preserve">  services/</w:t>
      </w:r>
    </w:p>
    <w:p>
      <w:pPr>
        <w:pStyle w:val="CodeBlock"/>
        <w:shd w:fill="F4F6F7"/>
        <w:pBdr>
          <w:left w:val="single" w:sz="18" w:space="5" w:color="4C879B"/>
        </w:pBdr>
      </w:pPr>
      <w:r>
        <w:t xml:space="preserve">    claim-foundry/</w:t>
      </w:r>
    </w:p>
    <w:p>
      <w:pPr>
        <w:pStyle w:val="CodeBlock"/>
        <w:shd w:fill="F4F6F7"/>
        <w:pBdr>
          <w:left w:val="single" w:sz="18" w:space="5" w:color="4C879B"/>
        </w:pBdr>
      </w:pPr>
      <w:r>
        <w:t xml:space="preserve">      legacy/                 # existing CF5 path remains callable</w:t>
      </w:r>
    </w:p>
    <w:p>
      <w:pPr>
        <w:pStyle w:val="CodeBlock"/>
        <w:shd w:fill="F4F6F7"/>
        <w:pBdr>
          <w:left w:val="single" w:sz="18" w:space="5" w:color="4C879B"/>
        </w:pBdr>
      </w:pPr>
      <w:r>
        <w:t xml:space="preserve">      agent/                  # new agent-backed service</w:t>
      </w:r>
    </w:p>
    <w:p>
      <w:pPr>
        <w:pStyle w:val="CodeBlock"/>
        <w:shd w:fill="F4F6F7"/>
        <w:pBdr>
          <w:left w:val="single" w:sz="18" w:space="5" w:color="4C879B"/>
        </w:pBdr>
      </w:pPr>
      <w:r>
        <w:t xml:space="preserve">    evidence-run/</w:t>
      </w:r>
    </w:p>
    <w:p>
      <w:pPr>
        <w:pStyle w:val="CodeBlock"/>
        <w:shd w:fill="F4F6F7"/>
        <w:pBdr>
          <w:left w:val="single" w:sz="18" w:space="5" w:color="4C879B"/>
        </w:pBdr>
      </w:pPr>
      <w:r>
        <w:t xml:space="preserve">      legacy/</w:t>
      </w:r>
    </w:p>
    <w:p>
      <w:pPr>
        <w:pStyle w:val="CodeBlock"/>
        <w:shd w:fill="F4F6F7"/>
        <w:pBdr>
          <w:left w:val="single" w:sz="18" w:space="5" w:color="4C879B"/>
        </w:pBdr>
      </w:pPr>
      <w:r>
        <w:t xml:space="preserve">      agent/</w:t>
      </w:r>
    </w:p>
    <w:p>
      <w:pPr>
        <w:pStyle w:val="CodeBlock"/>
        <w:shd w:fill="F4F6F7"/>
        <w:pBdr>
          <w:left w:val="single" w:sz="18" w:space="5" w:color="4C879B"/>
        </w:pBdr>
      </w:pPr>
      <w:r>
        <w:t xml:space="preserve">  routes/</w:t>
      </w:r>
    </w:p>
    <w:p>
      <w:pPr>
        <w:pStyle w:val="CodeBlock"/>
        <w:shd w:fill="F4F6F7"/>
        <w:pBdr>
          <w:left w:val="single" w:sz="18" w:space="5" w:color="4C879B"/>
        </w:pBdr>
      </w:pPr>
      <w:r>
        <w:t xml:space="preserve">    claimFoundryAgentRoute.ts</w:t>
      </w:r>
    </w:p>
    <w:p>
      <w:pPr>
        <w:pStyle w:val="CodeBlock"/>
        <w:shd w:fill="F4F6F7"/>
        <w:pBdr>
          <w:left w:val="single" w:sz="18" w:space="5" w:color="4C879B"/>
        </w:pBdr>
      </w:pPr>
      <w:r>
        <w:t xml:space="preserve">    evidenceRunAgentRoute.ts</w:t>
      </w:r>
    </w:p>
    <w:p>
      <w:pPr>
        <w:pStyle w:val="CodeBlock"/>
        <w:shd w:fill="F4F6F7"/>
        <w:pBdr>
          <w:left w:val="single" w:sz="18" w:space="5" w:color="4C879B"/>
        </w:pBdr>
      </w:pPr>
      <w:r>
        <w:t xml:space="preserve">  experiments/</w:t>
      </w:r>
    </w:p>
    <w:p>
      <w:pPr>
        <w:pStyle w:val="CodeBlock"/>
        <w:shd w:fill="F4F6F7"/>
        <w:pBdr>
          <w:left w:val="single" w:sz="18" w:space="5" w:color="4C879B"/>
        </w:pBdr>
      </w:pPr>
      <w:r>
        <w:t xml:space="preserve">    cf5/                      # preserved</w:t>
      </w:r>
    </w:p>
    <w:p>
      <w:pPr>
        <w:pStyle w:val="CodeBlock"/>
        <w:shd w:fill="F4F6F7"/>
        <w:pBdr>
          <w:left w:val="single" w:sz="18" w:space="5" w:color="4C879B"/>
        </w:pBdr>
      </w:pPr>
      <w:r>
        <w:t xml:space="preserve">    cf6-agent/</w:t>
      </w:r>
    </w:p>
    <w:p>
      <w:pPr>
        <w:pStyle w:val="CodeBlock"/>
        <w:shd w:fill="F4F6F7"/>
        <w:pBdr>
          <w:left w:val="single" w:sz="18" w:space="5" w:color="4C879B"/>
        </w:pBdr>
      </w:pPr>
      <w:r>
        <w:t xml:space="preserve">  tests/</w:t>
      </w:r>
    </w:p>
    <w:p>
      <w:pPr>
        <w:pStyle w:val="CodeBlock"/>
        <w:shd w:fill="F4F6F7"/>
        <w:pBdr>
          <w:left w:val="single" w:sz="18" w:space="5" w:color="4C879B"/>
        </w:pBdr>
      </w:pPr>
      <w:r>
        <w:t xml:space="preserve">    agents/</w:t>
      </w:r>
    </w:p>
    <w:p>
      <w:pPr>
        <w:pStyle w:val="CodeBlock"/>
        <w:shd w:fill="F4F6F7"/>
        <w:pBdr>
          <w:left w:val="single" w:sz="18" w:space="5" w:color="4C879B"/>
        </w:pBdr>
      </w:pPr>
      <w:r>
        <w:t xml:space="preserve">      claimFoundry/</w:t>
      </w:r>
    </w:p>
    <w:p>
      <w:pPr>
        <w:pStyle w:val="CodeBlock"/>
        <w:shd w:fill="F4F6F7"/>
        <w:pBdr>
          <w:left w:val="single" w:sz="18" w:space="5" w:color="4C879B"/>
        </w:pBdr>
      </w:pPr>
      <w:r>
        <w:t xml:space="preserve">      evidenceRun/</w:t>
      </w:r>
    </w:p>
    <w:p>
      <w:pPr>
        <w:pStyle w:val="CodeBlock"/>
        <w:shd w:fill="F4F6F7"/>
        <w:pBdr>
          <w:left w:val="single" w:sz="18" w:space="5" w:color="4C879B"/>
        </w:pBdr>
      </w:pPr>
      <w:r>
        <w:t>artifacts/</w:t>
      </w:r>
    </w:p>
    <w:p>
      <w:pPr>
        <w:pStyle w:val="CodeBlock"/>
        <w:shd w:fill="F4F6F7"/>
        <w:pBdr>
          <w:left w:val="single" w:sz="18" w:space="5" w:color="4C879B"/>
        </w:pBdr>
      </w:pPr>
      <w:r>
        <w:t xml:space="preserve">  claim-foundry-agent/</w:t>
      </w:r>
    </w:p>
    <w:p>
      <w:pPr>
        <w:pStyle w:val="CodeBlock"/>
        <w:shd w:fill="F4F6F7"/>
        <w:pBdr>
          <w:left w:val="single" w:sz="18" w:space="5" w:color="4C879B"/>
        </w:pBdr>
      </w:pPr>
      <w:r>
        <w:t xml:space="preserve">  evidence-run-agent/</w:t>
      </w:r>
    </w:p>
    <w:p>
      <w:pPr>
        <w:pStyle w:val="Heading1"/>
      </w:pPr>
      <w:r>
        <w:t>5. Build order</w:t>
      </w:r>
    </w:p>
    <w:p>
      <w:pPr>
        <w:pStyle w:val="ListNumber"/>
        <w:spacing w:after="60"/>
      </w:pPr>
      <w:r>
        <w:rPr>
          <w:b/>
        </w:rPr>
        <w:t xml:space="preserve">Freeze, do not delete, CF5. </w:t>
      </w:r>
      <w:r>
        <w:t>Record its current entry point, schemas, fixtures, metrics, and artifact paths. Add a feature flag so legacy and agent paths can run side by side.</w:t>
      </w:r>
    </w:p>
    <w:p>
      <w:pPr>
        <w:pStyle w:val="ListNumber"/>
        <w:spacing w:after="60"/>
      </w:pPr>
      <w:r>
        <w:rPr>
          <w:b/>
        </w:rPr>
        <w:t xml:space="preserve">Install one agent SDK. </w:t>
      </w:r>
      <w:r>
        <w:t>Add the package and a minimal smoke test. No domain rewrite yet.</w:t>
      </w:r>
    </w:p>
    <w:p>
      <w:pPr>
        <w:pStyle w:val="ListNumber"/>
        <w:spacing w:after="60"/>
      </w:pPr>
      <w:r>
        <w:rPr>
          <w:b/>
        </w:rPr>
        <w:t xml:space="preserve">Create provider and runner boundaries. </w:t>
      </w:r>
      <w:r>
        <w:t>The rest of the code should not import provider-specific model clients directly.</w:t>
      </w:r>
    </w:p>
    <w:p>
      <w:pPr>
        <w:pStyle w:val="ListNumber"/>
        <w:spacing w:after="60"/>
      </w:pPr>
      <w:r>
        <w:rPr>
          <w:b/>
        </w:rPr>
        <w:t xml:space="preserve">Define persisted run state. </w:t>
      </w:r>
      <w:r>
        <w:t>State must survive process errors and support replay, audit, and resume.</w:t>
      </w:r>
    </w:p>
    <w:p>
      <w:pPr>
        <w:pStyle w:val="ListNumber"/>
        <w:spacing w:after="60"/>
      </w:pPr>
      <w:r>
        <w:rPr>
          <w:b/>
        </w:rPr>
        <w:t xml:space="preserve">Wrap existing deterministic functions as tools. </w:t>
      </w:r>
      <w:r>
        <w:t>Tools should call current preprocessing, validation, dedupe, targetization, and persistence code rather than reimplementing it.</w:t>
      </w:r>
    </w:p>
    <w:p>
      <w:pPr>
        <w:pStyle w:val="ListNumber"/>
        <w:spacing w:after="60"/>
      </w:pPr>
      <w:r>
        <w:rPr>
          <w:b/>
        </w:rPr>
        <w:t xml:space="preserve">Build the ClaimFoundry vertical slice. </w:t>
      </w:r>
      <w:r>
        <w:t>One manager agent, five to seven domain tools, bounded turns, structured final output.</w:t>
      </w:r>
    </w:p>
    <w:p>
      <w:pPr>
        <w:pStyle w:val="ListNumber"/>
        <w:spacing w:after="60"/>
      </w:pPr>
      <w:r>
        <w:rPr>
          <w:b/>
        </w:rPr>
        <w:t xml:space="preserve">Add deterministic validation and agent-selected repair. </w:t>
      </w:r>
      <w:r>
        <w:t>Validation returns machine-readable diagnostics; the agent chooses the repair tool and scope.</w:t>
      </w:r>
    </w:p>
    <w:p>
      <w:pPr>
        <w:pStyle w:val="ListNumber"/>
        <w:spacing w:after="60"/>
      </w:pPr>
      <w:r>
        <w:rPr>
          <w:b/>
        </w:rPr>
        <w:t xml:space="preserve">Run blind fixtures against CF5. </w:t>
      </w:r>
      <w:r>
        <w:t>Compare semantic coverage, compound units, omissions, stability, cost, latency, and tool trajectories.</w:t>
      </w:r>
    </w:p>
    <w:p>
      <w:pPr>
        <w:pStyle w:val="ListNumber"/>
        <w:spacing w:after="60"/>
      </w:pPr>
      <w:r>
        <w:rPr>
          <w:b/>
        </w:rPr>
        <w:t xml:space="preserve">Build EvidenceRun only after ClaimFoundry works. </w:t>
      </w:r>
      <w:r>
        <w:t>Reuse the runtime pattern but give it retrieval-specific tools and state.</w:t>
      </w:r>
    </w:p>
    <w:p>
      <w:pPr>
        <w:pStyle w:val="ListNumber"/>
        <w:spacing w:after="60"/>
      </w:pPr>
      <w:r>
        <w:rPr>
          <w:b/>
        </w:rPr>
        <w:t xml:space="preserve">Integrate with the product behind flags. </w:t>
      </w:r>
      <w:r>
        <w:t>Persist every run, stream progress, expose human review, and retain rollback.</w:t>
      </w:r>
    </w:p>
    <w:p>
      <w:pPr>
        <w:pStyle w:val="Heading1"/>
      </w:pPr>
      <w:r>
        <w:t>6. ClaimFoundry domain state</w:t>
      </w:r>
    </w:p>
    <w:p>
      <w:r>
        <w:t>The agent's working state is application data, not a giant conversation transcript.</w:t>
      </w:r>
    </w:p>
    <w:p>
      <w:pPr>
        <w:pStyle w:val="CodeBlock"/>
        <w:shd w:fill="F4F6F7"/>
        <w:pBdr>
          <w:left w:val="single" w:sz="18" w:space="5" w:color="4C879B"/>
        </w:pBdr>
      </w:pPr>
      <w:r>
        <w:t>type ClaimFoundryRunState = {</w:t>
      </w:r>
    </w:p>
    <w:p>
      <w:pPr>
        <w:pStyle w:val="CodeBlock"/>
        <w:shd w:fill="F4F6F7"/>
        <w:pBdr>
          <w:left w:val="single" w:sz="18" w:space="5" w:color="4C879B"/>
        </w:pBdr>
      </w:pPr>
      <w:r>
        <w:t xml:space="preserve">  runId: string;</w:t>
      </w:r>
    </w:p>
    <w:p>
      <w:pPr>
        <w:pStyle w:val="CodeBlock"/>
        <w:shd w:fill="F4F6F7"/>
        <w:pBdr>
          <w:left w:val="single" w:sz="18" w:space="5" w:color="4C879B"/>
        </w:pBdr>
      </w:pPr>
      <w:r>
        <w:t xml:space="preserve">  contentId: string;</w:t>
      </w:r>
    </w:p>
    <w:p>
      <w:pPr>
        <w:pStyle w:val="CodeBlock"/>
        <w:shd w:fill="F4F6F7"/>
        <w:pBdr>
          <w:left w:val="single" w:sz="18" w:space="5" w:color="4C879B"/>
        </w:pBdr>
      </w:pPr>
      <w:r>
        <w:t xml:space="preserve">  sourceUnitManifestHash: string;</w:t>
      </w:r>
    </w:p>
    <w:p>
      <w:pPr>
        <w:pStyle w:val="CodeBlock"/>
        <w:shd w:fill="F4F6F7"/>
        <w:pBdr>
          <w:left w:val="single" w:sz="18" w:space="5" w:color="4C879B"/>
        </w:pBdr>
      </w:pPr>
      <w:r>
        <w:t xml:space="preserve">  status:</w:t>
      </w:r>
    </w:p>
    <w:p>
      <w:pPr>
        <w:pStyle w:val="CodeBlock"/>
        <w:shd w:fill="F4F6F7"/>
        <w:pBdr>
          <w:left w:val="single" w:sz="18" w:space="5" w:color="4C879B"/>
        </w:pBdr>
      </w:pPr>
      <w:r>
        <w:t xml:space="preserve">    | "created"</w:t>
      </w:r>
    </w:p>
    <w:p>
      <w:pPr>
        <w:pStyle w:val="CodeBlock"/>
        <w:shd w:fill="F4F6F7"/>
        <w:pBdr>
          <w:left w:val="single" w:sz="18" w:space="5" w:color="4C879B"/>
        </w:pBdr>
      </w:pPr>
      <w:r>
        <w:t xml:space="preserve">    | "inspecting"</w:t>
      </w:r>
    </w:p>
    <w:p>
      <w:pPr>
        <w:pStyle w:val="CodeBlock"/>
        <w:shd w:fill="F4F6F7"/>
        <w:pBdr>
          <w:left w:val="single" w:sz="18" w:space="5" w:color="4C879B"/>
        </w:pBdr>
      </w:pPr>
      <w:r>
        <w:t xml:space="preserve">    | "drafting"</w:t>
      </w:r>
    </w:p>
    <w:p>
      <w:pPr>
        <w:pStyle w:val="CodeBlock"/>
        <w:shd w:fill="F4F6F7"/>
        <w:pBdr>
          <w:left w:val="single" w:sz="18" w:space="5" w:color="4C879B"/>
        </w:pBdr>
      </w:pPr>
      <w:r>
        <w:t xml:space="preserve">    | "validating"</w:t>
      </w:r>
    </w:p>
    <w:p>
      <w:pPr>
        <w:pStyle w:val="CodeBlock"/>
        <w:shd w:fill="F4F6F7"/>
        <w:pBdr>
          <w:left w:val="single" w:sz="18" w:space="5" w:color="4C879B"/>
        </w:pBdr>
      </w:pPr>
      <w:r>
        <w:t xml:space="preserve">    | "repairing"</w:t>
      </w:r>
    </w:p>
    <w:p>
      <w:pPr>
        <w:pStyle w:val="CodeBlock"/>
        <w:shd w:fill="F4F6F7"/>
        <w:pBdr>
          <w:left w:val="single" w:sz="18" w:space="5" w:color="4C879B"/>
        </w:pBdr>
      </w:pPr>
      <w:r>
        <w:t xml:space="preserve">    | "awaiting_review"</w:t>
      </w:r>
    </w:p>
    <w:p>
      <w:pPr>
        <w:pStyle w:val="CodeBlock"/>
        <w:shd w:fill="F4F6F7"/>
        <w:pBdr>
          <w:left w:val="single" w:sz="18" w:space="5" w:color="4C879B"/>
        </w:pBdr>
      </w:pPr>
      <w:r>
        <w:t xml:space="preserve">    | "completed"</w:t>
      </w:r>
    </w:p>
    <w:p>
      <w:pPr>
        <w:pStyle w:val="CodeBlock"/>
        <w:shd w:fill="F4F6F7"/>
        <w:pBdr>
          <w:left w:val="single" w:sz="18" w:space="5" w:color="4C879B"/>
        </w:pBdr>
      </w:pPr>
      <w:r>
        <w:t xml:space="preserve">    | "failed";</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budget: {</w:t>
      </w:r>
    </w:p>
    <w:p>
      <w:pPr>
        <w:pStyle w:val="CodeBlock"/>
        <w:shd w:fill="F4F6F7"/>
        <w:pBdr>
          <w:left w:val="single" w:sz="18" w:space="5" w:color="4C879B"/>
        </w:pBdr>
      </w:pPr>
      <w:r>
        <w:t xml:space="preserve">    maxTurns: number;</w:t>
      </w:r>
    </w:p>
    <w:p>
      <w:pPr>
        <w:pStyle w:val="CodeBlock"/>
        <w:shd w:fill="F4F6F7"/>
        <w:pBdr>
          <w:left w:val="single" w:sz="18" w:space="5" w:color="4C879B"/>
        </w:pBdr>
      </w:pPr>
      <w:r>
        <w:t xml:space="preserve">    maxModelCalls: number;</w:t>
      </w:r>
    </w:p>
    <w:p>
      <w:pPr>
        <w:pStyle w:val="CodeBlock"/>
        <w:shd w:fill="F4F6F7"/>
        <w:pBdr>
          <w:left w:val="single" w:sz="18" w:space="5" w:color="4C879B"/>
        </w:pBdr>
      </w:pPr>
      <w:r>
        <w:t xml:space="preserve">    maxToolCalls: number;</w:t>
      </w:r>
    </w:p>
    <w:p>
      <w:pPr>
        <w:pStyle w:val="CodeBlock"/>
        <w:shd w:fill="F4F6F7"/>
        <w:pBdr>
          <w:left w:val="single" w:sz="18" w:space="5" w:color="4C879B"/>
        </w:pBdr>
      </w:pPr>
      <w:r>
        <w:t xml:space="preserve">    maxInputTokens: number;</w:t>
      </w:r>
    </w:p>
    <w:p>
      <w:pPr>
        <w:pStyle w:val="CodeBlock"/>
        <w:shd w:fill="F4F6F7"/>
        <w:pBdr>
          <w:left w:val="single" w:sz="18" w:space="5" w:color="4C879B"/>
        </w:pBdr>
      </w:pPr>
      <w:r>
        <w:t xml:space="preserve">    maxOutputTokens: number;</w:t>
      </w:r>
    </w:p>
    <w:p>
      <w:pPr>
        <w:pStyle w:val="CodeBlock"/>
        <w:shd w:fill="F4F6F7"/>
        <w:pBdr>
          <w:left w:val="single" w:sz="18" w:space="5" w:color="4C879B"/>
        </w:pBdr>
      </w:pPr>
      <w:r>
        <w:t xml:space="preserve">    maxRepairRounds: number;</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inspectedUnitIds: string[];</w:t>
      </w:r>
    </w:p>
    <w:p>
      <w:pPr>
        <w:pStyle w:val="CodeBlock"/>
        <w:shd w:fill="F4F6F7"/>
        <w:pBdr>
          <w:left w:val="single" w:sz="18" w:space="5" w:color="4C879B"/>
        </w:pBdr>
      </w:pPr>
      <w:r>
        <w:t xml:space="preserve">  semanticNotes: Array&lt;{</w:t>
      </w:r>
    </w:p>
    <w:p>
      <w:pPr>
        <w:pStyle w:val="CodeBlock"/>
        <w:shd w:fill="F4F6F7"/>
        <w:pBdr>
          <w:left w:val="single" w:sz="18" w:space="5" w:color="4C879B"/>
        </w:pBdr>
      </w:pPr>
      <w:r>
        <w:t xml:space="preserve">    noteId: string;</w:t>
      </w:r>
    </w:p>
    <w:p>
      <w:pPr>
        <w:pStyle w:val="CodeBlock"/>
        <w:shd w:fill="F4F6F7"/>
        <w:pBdr>
          <w:left w:val="single" w:sz="18" w:space="5" w:color="4C879B"/>
        </w:pBdr>
      </w:pPr>
      <w:r>
        <w:t xml:space="preserve">    text: string;</w:t>
      </w:r>
    </w:p>
    <w:p>
      <w:pPr>
        <w:pStyle w:val="CodeBlock"/>
        <w:shd w:fill="F4F6F7"/>
        <w:pBdr>
          <w:left w:val="single" w:sz="18" w:space="5" w:color="4C879B"/>
        </w:pBdr>
      </w:pPr>
      <w:r>
        <w:t xml:space="preserve">    grounding: string[];</w:t>
      </w:r>
    </w:p>
    <w:p>
      <w:pPr>
        <w:pStyle w:val="CodeBlock"/>
        <w:shd w:fill="F4F6F7"/>
        <w:pBdr>
          <w:left w:val="single" w:sz="18" w:space="5" w:color="4C879B"/>
        </w:pBdr>
      </w:pPr>
      <w:r>
        <w:t xml:space="preserve">  }&gt;;</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draftPackage: ClaimPackage | null;</w:t>
      </w:r>
    </w:p>
    <w:p>
      <w:pPr>
        <w:pStyle w:val="CodeBlock"/>
        <w:shd w:fill="F4F6F7"/>
        <w:pBdr>
          <w:left w:val="single" w:sz="18" w:space="5" w:color="4C879B"/>
        </w:pBdr>
      </w:pPr>
      <w:r>
        <w:t xml:space="preserve">  validationReports: ClaimPackageValidationReport[];</w:t>
      </w:r>
    </w:p>
    <w:p>
      <w:pPr>
        <w:pStyle w:val="CodeBlock"/>
        <w:shd w:fill="F4F6F7"/>
        <w:pBdr>
          <w:left w:val="single" w:sz="18" w:space="5" w:color="4C879B"/>
        </w:pBdr>
      </w:pPr>
      <w:r>
        <w:t xml:space="preserve">  repairHistory: RepairRecord[];</w:t>
      </w:r>
    </w:p>
    <w:p>
      <w:pPr>
        <w:pStyle w:val="CodeBlock"/>
        <w:shd w:fill="F4F6F7"/>
        <w:pBdr>
          <w:left w:val="single" w:sz="18" w:space="5" w:color="4C879B"/>
        </w:pBdr>
      </w:pPr>
      <w:r>
        <w:t xml:space="preserve">  finalPackageId: string | null;</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traceId: string | null;</w:t>
      </w:r>
    </w:p>
    <w:p>
      <w:pPr>
        <w:pStyle w:val="CodeBlock"/>
        <w:shd w:fill="F4F6F7"/>
        <w:pBdr>
          <w:left w:val="single" w:sz="18" w:space="5" w:color="4C879B"/>
        </w:pBdr>
      </w:pPr>
      <w:r>
        <w:t xml:space="preserve">  promptVersion: string;</w:t>
      </w:r>
    </w:p>
    <w:p>
      <w:pPr>
        <w:pStyle w:val="CodeBlock"/>
        <w:shd w:fill="F4F6F7"/>
        <w:pBdr>
          <w:left w:val="single" w:sz="18" w:space="5" w:color="4C879B"/>
        </w:pBdr>
      </w:pPr>
      <w:r>
        <w:t xml:space="preserve">  model: string;</w:t>
      </w:r>
    </w:p>
    <w:p>
      <w:pPr>
        <w:pStyle w:val="CodeBlock"/>
        <w:shd w:fill="F4F6F7"/>
        <w:pBdr>
          <w:left w:val="single" w:sz="18" w:space="5" w:color="4C879B"/>
        </w:pBdr>
      </w:pPr>
      <w:r>
        <w:t xml:space="preserve">  createdAt: string;</w:t>
      </w:r>
    </w:p>
    <w:p>
      <w:pPr>
        <w:pStyle w:val="CodeBlock"/>
        <w:shd w:fill="F4F6F7"/>
        <w:pBdr>
          <w:left w:val="single" w:sz="18" w:space="5" w:color="4C879B"/>
        </w:pBdr>
      </w:pPr>
      <w:r>
        <w:t xml:space="preserve">  updatedAt: string;</w:t>
      </w:r>
    </w:p>
    <w:p>
      <w:pPr>
        <w:pStyle w:val="CodeBlock"/>
        <w:shd w:fill="F4F6F7"/>
        <w:pBdr>
          <w:left w:val="single" w:sz="18" w:space="5" w:color="4C879B"/>
        </w:pBdr>
      </w:pPr>
      <w:r>
        <w:t>};</w:t>
      </w:r>
    </w:p>
    <w:p>
      <w:r>
        <w:t>Persist this state after every consequential tool call. Conversation history can be compacted or lost; the domain state cannot.</w:t>
      </w:r>
    </w:p>
    <w:p>
      <w:pPr>
        <w:pStyle w:val="Heading1"/>
      </w:pPr>
      <w:r>
        <w:t>7. ClaimFoundry tools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CEAF0"/>
            <w:vAlign w:val="center"/>
          </w:tcPr>
          <w:p>
            <w:r>
              <w:rPr>
                <w:b/>
                <w:sz w:val="17"/>
              </w:rPr>
              <w:t>Tool</w:t>
            </w:r>
          </w:p>
        </w:tc>
        <w:tc>
          <w:tcPr>
            <w:tcW w:type="dxa" w:w="3960"/>
            <w:shd w:fill="DCEAF0"/>
            <w:vAlign w:val="center"/>
          </w:tcPr>
          <w:p>
            <w:r>
              <w:rPr>
                <w:b/>
                <w:sz w:val="17"/>
              </w:rPr>
              <w:t>Purpose</w:t>
            </w:r>
          </w:p>
        </w:tc>
        <w:tc>
          <w:tcPr>
            <w:tcW w:type="dxa" w:w="4032"/>
            <w:shd w:fill="DCEAF0"/>
            <w:vAlign w:val="center"/>
          </w:tcPr>
          <w:p>
            <w:r>
              <w:rPr>
                <w:b/>
                <w:sz w:val="17"/>
              </w:rPr>
              <w:t>Deterministic boundary</w:t>
            </w:r>
          </w:p>
        </w:tc>
      </w:tr>
      <w:tr>
        <w:tc>
          <w:tcPr>
            <w:tcW w:type="dxa" w:w="1944"/>
            <w:vAlign w:val="top"/>
          </w:tcPr>
          <w:p>
            <w:pPr>
              <w:spacing w:after="0"/>
            </w:pPr>
            <w:r>
              <w:rPr>
                <w:sz w:val="16"/>
              </w:rPr>
              <w:t>get_content_map</w:t>
            </w:r>
          </w:p>
        </w:tc>
        <w:tc>
          <w:tcPr>
            <w:tcW w:type="dxa" w:w="3960"/>
            <w:vAlign w:val="top"/>
          </w:tcPr>
          <w:p>
            <w:pPr>
              <w:spacing w:after="0"/>
            </w:pPr>
            <w:r>
              <w:rPr>
                <w:sz w:val="16"/>
              </w:rPr>
              <w:t>Return headings, speakers, source-unit ranges, citation map, and content metadata.</w:t>
            </w:r>
          </w:p>
        </w:tc>
        <w:tc>
          <w:tcPr>
            <w:tcW w:type="dxa" w:w="4032"/>
            <w:vAlign w:val="top"/>
          </w:tcPr>
          <w:p>
            <w:pPr>
              <w:spacing w:after="0"/>
            </w:pPr>
            <w:r>
              <w:rPr>
                <w:sz w:val="16"/>
              </w:rPr>
              <w:t>Read only; no semantic extraction.</w:t>
            </w:r>
          </w:p>
        </w:tc>
      </w:tr>
      <w:tr>
        <w:tc>
          <w:tcPr>
            <w:tcW w:type="dxa" w:w="1944"/>
            <w:vAlign w:val="top"/>
          </w:tcPr>
          <w:p>
            <w:pPr>
              <w:spacing w:after="0"/>
            </w:pPr>
            <w:r>
              <w:rPr>
                <w:sz w:val="16"/>
              </w:rPr>
              <w:t>read_source_units</w:t>
            </w:r>
          </w:p>
        </w:tc>
        <w:tc>
          <w:tcPr>
            <w:tcW w:type="dxa" w:w="3960"/>
            <w:vAlign w:val="top"/>
          </w:tcPr>
          <w:p>
            <w:pPr>
              <w:spacing w:after="0"/>
            </w:pPr>
            <w:r>
              <w:rPr>
                <w:sz w:val="16"/>
              </w:rPr>
              <w:t>Read selected units with bounded surrounding context.</w:t>
            </w:r>
          </w:p>
        </w:tc>
        <w:tc>
          <w:tcPr>
            <w:tcW w:type="dxa" w:w="4032"/>
            <w:vAlign w:val="top"/>
          </w:tcPr>
          <w:p>
            <w:pPr>
              <w:spacing w:after="0"/>
            </w:pPr>
            <w:r>
              <w:rPr>
                <w:sz w:val="16"/>
              </w:rPr>
              <w:t>Only valid unit IDs; strict size limit.</w:t>
            </w:r>
          </w:p>
        </w:tc>
      </w:tr>
      <w:tr>
        <w:tc>
          <w:tcPr>
            <w:tcW w:type="dxa" w:w="1944"/>
            <w:vAlign w:val="top"/>
          </w:tcPr>
          <w:p>
            <w:pPr>
              <w:spacing w:after="0"/>
            </w:pPr>
            <w:r>
              <w:rPr>
                <w:sz w:val="16"/>
              </w:rPr>
              <w:t>find_source_units</w:t>
            </w:r>
          </w:p>
        </w:tc>
        <w:tc>
          <w:tcPr>
            <w:tcW w:type="dxa" w:w="3960"/>
            <w:vAlign w:val="top"/>
          </w:tcPr>
          <w:p>
            <w:pPr>
              <w:spacing w:after="0"/>
            </w:pPr>
            <w:r>
              <w:rPr>
                <w:sz w:val="16"/>
              </w:rPr>
              <w:t>Search within normalized content for terms, entities, citations, or semantic hints.</w:t>
            </w:r>
          </w:p>
        </w:tc>
        <w:tc>
          <w:tcPr>
            <w:tcW w:type="dxa" w:w="4032"/>
            <w:vAlign w:val="top"/>
          </w:tcPr>
          <w:p>
            <w:pPr>
              <w:spacing w:after="0"/>
            </w:pPr>
            <w:r>
              <w:rPr>
                <w:sz w:val="16"/>
              </w:rPr>
              <w:t>Local content only; no web search.</w:t>
            </w:r>
          </w:p>
        </w:tc>
      </w:tr>
      <w:tr>
        <w:tc>
          <w:tcPr>
            <w:tcW w:type="dxa" w:w="1944"/>
            <w:vAlign w:val="top"/>
          </w:tcPr>
          <w:p>
            <w:pPr>
              <w:spacing w:after="0"/>
            </w:pPr>
            <w:r>
              <w:rPr>
                <w:sz w:val="16"/>
              </w:rPr>
              <w:t>save_working_package</w:t>
            </w:r>
          </w:p>
        </w:tc>
        <w:tc>
          <w:tcPr>
            <w:tcW w:type="dxa" w:w="3960"/>
            <w:vAlign w:val="top"/>
          </w:tcPr>
          <w:p>
            <w:pPr>
              <w:spacing w:after="0"/>
            </w:pPr>
            <w:r>
              <w:rPr>
                <w:sz w:val="16"/>
              </w:rPr>
              <w:t>Create or replace the current structured claim package.</w:t>
            </w:r>
          </w:p>
        </w:tc>
        <w:tc>
          <w:tcPr>
            <w:tcW w:type="dxa" w:w="4032"/>
            <w:vAlign w:val="top"/>
          </w:tcPr>
          <w:p>
            <w:pPr>
              <w:spacing w:after="0"/>
            </w:pPr>
            <w:r>
              <w:rPr>
                <w:sz w:val="16"/>
              </w:rPr>
              <w:t>Zod/schema validation; source IDs must exist.</w:t>
            </w:r>
          </w:p>
        </w:tc>
      </w:tr>
      <w:tr>
        <w:tc>
          <w:tcPr>
            <w:tcW w:type="dxa" w:w="1944"/>
            <w:vAlign w:val="top"/>
          </w:tcPr>
          <w:p>
            <w:pPr>
              <w:spacing w:after="0"/>
            </w:pPr>
            <w:r>
              <w:rPr>
                <w:sz w:val="16"/>
              </w:rPr>
              <w:t>validate_working_package</w:t>
            </w:r>
          </w:p>
        </w:tc>
        <w:tc>
          <w:tcPr>
            <w:tcW w:type="dxa" w:w="3960"/>
            <w:vAlign w:val="top"/>
          </w:tcPr>
          <w:p>
            <w:pPr>
              <w:spacing w:after="0"/>
            </w:pPr>
            <w:r>
              <w:rPr>
                <w:sz w:val="16"/>
              </w:rPr>
              <w:t>Run current deterministic and semantic checks and return typed diagnostics.</w:t>
            </w:r>
          </w:p>
        </w:tc>
        <w:tc>
          <w:tcPr>
            <w:tcW w:type="dxa" w:w="4032"/>
            <w:vAlign w:val="top"/>
          </w:tcPr>
          <w:p>
            <w:pPr>
              <w:spacing w:after="0"/>
            </w:pPr>
            <w:r>
              <w:rPr>
                <w:sz w:val="16"/>
              </w:rPr>
              <w:t>No silent mutation.</w:t>
            </w:r>
          </w:p>
        </w:tc>
      </w:tr>
      <w:tr>
        <w:tc>
          <w:tcPr>
            <w:tcW w:type="dxa" w:w="1944"/>
            <w:vAlign w:val="top"/>
          </w:tcPr>
          <w:p>
            <w:pPr>
              <w:spacing w:after="0"/>
            </w:pPr>
            <w:r>
              <w:rPr>
                <w:sz w:val="16"/>
              </w:rPr>
              <w:t>apply_package_patch</w:t>
            </w:r>
          </w:p>
        </w:tc>
        <w:tc>
          <w:tcPr>
            <w:tcW w:type="dxa" w:w="3960"/>
            <w:vAlign w:val="top"/>
          </w:tcPr>
          <w:p>
            <w:pPr>
              <w:spacing w:after="0"/>
            </w:pPr>
            <w:r>
              <w:rPr>
                <w:sz w:val="16"/>
              </w:rPr>
              <w:t>Apply bounded add/remove/replace/split/merge/stance/provenance operations.</w:t>
            </w:r>
          </w:p>
        </w:tc>
        <w:tc>
          <w:tcPr>
            <w:tcW w:type="dxa" w:w="4032"/>
            <w:vAlign w:val="top"/>
          </w:tcPr>
          <w:p>
            <w:pPr>
              <w:spacing w:after="0"/>
            </w:pPr>
            <w:r>
              <w:rPr>
                <w:sz w:val="16"/>
              </w:rPr>
              <w:t>Patch schema; audit before/after.</w:t>
            </w:r>
          </w:p>
        </w:tc>
      </w:tr>
      <w:tr>
        <w:tc>
          <w:tcPr>
            <w:tcW w:type="dxa" w:w="1944"/>
            <w:vAlign w:val="top"/>
          </w:tcPr>
          <w:p>
            <w:pPr>
              <w:spacing w:after="0"/>
            </w:pPr>
            <w:r>
              <w:rPr>
                <w:sz w:val="16"/>
              </w:rPr>
              <w:t>finalize_claim_package</w:t>
            </w:r>
          </w:p>
        </w:tc>
        <w:tc>
          <w:tcPr>
            <w:tcW w:type="dxa" w:w="3960"/>
            <w:vAlign w:val="top"/>
          </w:tcPr>
          <w:p>
            <w:pPr>
              <w:spacing w:after="0"/>
            </w:pPr>
            <w:r>
              <w:rPr>
                <w:sz w:val="16"/>
              </w:rPr>
              <w:t>Persist the validated package and end the run.</w:t>
            </w:r>
          </w:p>
        </w:tc>
        <w:tc>
          <w:tcPr>
            <w:tcW w:type="dxa" w:w="4032"/>
            <w:vAlign w:val="top"/>
          </w:tcPr>
          <w:p>
            <w:pPr>
              <w:spacing w:after="0"/>
            </w:pPr>
            <w:r>
              <w:rPr>
                <w:sz w:val="16"/>
              </w:rPr>
              <w:t>Blocked unless hard gates pass or an explicit abstention is recorded.</w:t>
            </w:r>
          </w:p>
        </w:tc>
      </w:tr>
    </w:tbl>
    <w:p>
      <w:pPr>
        <w:spacing w:after="0"/>
      </w:pPr>
    </w:p>
    <w:p>
      <w:pPr>
        <w:pStyle w:val="Callout"/>
        <w:shd w:fill="EAF2F5"/>
        <w:pBdr>
          <w:left w:val="single" w:sz="18" w:space="5" w:color="4C879B"/>
        </w:pBdr>
      </w:pPr>
      <w:r>
        <w:t>The model should not have a generic 'write file' tool. Give it verbs from the ClaimFoundry domain. This keeps the autonomy meaningful and the blast radius tiny.</w:t>
      </w:r>
    </w:p>
    <w:p>
      <w:pPr>
        <w:pStyle w:val="Heading1"/>
      </w:pPr>
      <w:r>
        <w:t>8. ClaimFoundry agent instruction</w:t>
      </w:r>
    </w:p>
    <w:p>
      <w:r>
        <w:t>The agent instruction should describe the goal, tool semantics, stopping conditions, and boundaries. It should not prescribe a fixed call sequence.</w:t>
      </w:r>
    </w:p>
    <w:p>
      <w:pPr>
        <w:pStyle w:val="CodeBlock"/>
        <w:shd w:fill="F4F6F7"/>
        <w:pBdr>
          <w:left w:val="single" w:sz="18" w:space="5" w:color="4C879B"/>
        </w:pBdr>
      </w:pPr>
      <w:r>
        <w:t>You are the ClaimFoundry agent.</w:t>
      </w:r>
    </w:p>
    <w:p>
      <w:pPr>
        <w:pStyle w:val="CodeBlock"/>
        <w:shd w:fill="F4F6F7"/>
        <w:pBdr>
          <w:left w:val="single" w:sz="18" w:space="5" w:color="4C879B"/>
        </w:pBdr>
      </w:pPr>
      <w:r>
        <w:t xml:space="preserve"> </w:t>
      </w:r>
    </w:p>
    <w:p>
      <w:pPr>
        <w:pStyle w:val="CodeBlock"/>
        <w:shd w:fill="F4F6F7"/>
        <w:pBdr>
          <w:left w:val="single" w:sz="18" w:space="5" w:color="4C879B"/>
        </w:pBdr>
      </w:pPr>
      <w:r>
        <w:t>Your goal is to produce the smallest complete, grounded set of independently</w:t>
      </w:r>
    </w:p>
    <w:p>
      <w:pPr>
        <w:pStyle w:val="CodeBlock"/>
        <w:shd w:fill="F4F6F7"/>
        <w:pBdr>
          <w:left w:val="single" w:sz="18" w:space="5" w:color="4C879B"/>
        </w:pBdr>
      </w:pPr>
      <w:r>
        <w:t>investigable evidentiary targets needed to evaluate the substantive</w:t>
      </w:r>
    </w:p>
    <w:p>
      <w:pPr>
        <w:pStyle w:val="CodeBlock"/>
        <w:shd w:fill="F4F6F7"/>
        <w:pBdr>
          <w:left w:val="single" w:sz="18" w:space="5" w:color="4C879B"/>
        </w:pBdr>
      </w:pPr>
      <w:r>
        <w:t>representations made or relied upon by the supplied content.</w:t>
      </w:r>
    </w:p>
    <w:p>
      <w:pPr>
        <w:pStyle w:val="CodeBlock"/>
        <w:shd w:fill="F4F6F7"/>
        <w:pBdr>
          <w:left w:val="single" w:sz="18" w:space="5" w:color="4C879B"/>
        </w:pBdr>
      </w:pPr>
      <w:r>
        <w:t xml:space="preserve"> </w:t>
      </w:r>
    </w:p>
    <w:p>
      <w:pPr>
        <w:pStyle w:val="CodeBlock"/>
        <w:shd w:fill="F4F6F7"/>
        <w:pBdr>
          <w:left w:val="single" w:sz="18" w:space="5" w:color="4C879B"/>
        </w:pBdr>
      </w:pPr>
      <w:r>
        <w:t>The content may be an article, post, transcript, video transcript, paper,</w:t>
      </w:r>
    </w:p>
    <w:p>
      <w:pPr>
        <w:pStyle w:val="CodeBlock"/>
        <w:shd w:fill="F4F6F7"/>
        <w:pBdr>
          <w:left w:val="single" w:sz="18" w:space="5" w:color="4C879B"/>
        </w:pBdr>
      </w:pPr>
      <w:r>
        <w:t>speech, thread, report, or other content. Do not assume journalism or an</w:t>
      </w:r>
    </w:p>
    <w:p>
      <w:pPr>
        <w:pStyle w:val="CodeBlock"/>
        <w:shd w:fill="F4F6F7"/>
        <w:pBdr>
          <w:left w:val="single" w:sz="18" w:space="5" w:color="4C879B"/>
        </w:pBdr>
      </w:pPr>
      <w:r>
        <w:t>oppositional argument structure.</w:t>
      </w:r>
    </w:p>
    <w:p>
      <w:pPr>
        <w:pStyle w:val="CodeBlock"/>
        <w:shd w:fill="F4F6F7"/>
        <w:pBdr>
          <w:left w:val="single" w:sz="18" w:space="5" w:color="4C879B"/>
        </w:pBdr>
      </w:pPr>
      <w:r>
        <w:t xml:space="preserve"> </w:t>
      </w:r>
    </w:p>
    <w:p>
      <w:pPr>
        <w:pStyle w:val="CodeBlock"/>
        <w:shd w:fill="F4F6F7"/>
        <w:pBdr>
          <w:left w:val="single" w:sz="18" w:space="5" w:color="4C879B"/>
        </w:pBdr>
      </w:pPr>
      <w:r>
        <w:t>Use only the supplied content. Do not search for evidence and do not decide</w:t>
      </w:r>
    </w:p>
    <w:p>
      <w:pPr>
        <w:pStyle w:val="CodeBlock"/>
        <w:shd w:fill="F4F6F7"/>
        <w:pBdr>
          <w:left w:val="single" w:sz="18" w:space="5" w:color="4C879B"/>
        </w:pBdr>
      </w:pPr>
      <w:r>
        <w:t>whether its representations are true. EvidenceRun performs retrieval and</w:t>
      </w:r>
    </w:p>
    <w:p>
      <w:pPr>
        <w:pStyle w:val="CodeBlock"/>
        <w:shd w:fill="F4F6F7"/>
        <w:pBdr>
          <w:left w:val="single" w:sz="18" w:space="5" w:color="4C879B"/>
        </w:pBdr>
      </w:pPr>
      <w:r>
        <w:t>evidentiary evaluation later.</w:t>
      </w:r>
    </w:p>
    <w:p>
      <w:pPr>
        <w:pStyle w:val="CodeBlock"/>
        <w:shd w:fill="F4F6F7"/>
        <w:pBdr>
          <w:left w:val="single" w:sz="18" w:space="5" w:color="4C879B"/>
        </w:pBdr>
      </w:pPr>
      <w:r>
        <w:t xml:space="preserve"> </w:t>
      </w:r>
    </w:p>
    <w:p>
      <w:pPr>
        <w:pStyle w:val="CodeBlock"/>
        <w:shd w:fill="F4F6F7"/>
        <w:pBdr>
          <w:left w:val="single" w:sz="18" w:space="5" w:color="4C879B"/>
        </w:pBdr>
      </w:pPr>
      <w:r>
        <w:t>You control the extraction process through the available tools. Inspect the</w:t>
      </w:r>
    </w:p>
    <w:p>
      <w:pPr>
        <w:pStyle w:val="CodeBlock"/>
        <w:shd w:fill="F4F6F7"/>
        <w:pBdr>
          <w:left w:val="single" w:sz="18" w:space="5" w:color="4C879B"/>
        </w:pBdr>
      </w:pPr>
      <w:r>
        <w:t>content as needed, maintain a working package, validate it, repair material</w:t>
      </w:r>
    </w:p>
    <w:p>
      <w:pPr>
        <w:pStyle w:val="CodeBlock"/>
        <w:shd w:fill="F4F6F7"/>
        <w:pBdr>
          <w:left w:val="single" w:sz="18" w:space="5" w:color="4C879B"/>
        </w:pBdr>
      </w:pPr>
      <w:r>
        <w:t>defects, and finalize only when the package is ready or when a bounded</w:t>
      </w:r>
    </w:p>
    <w:p>
      <w:pPr>
        <w:pStyle w:val="CodeBlock"/>
        <w:shd w:fill="F4F6F7"/>
        <w:pBdr>
          <w:left w:val="single" w:sz="18" w:space="5" w:color="4C879B"/>
        </w:pBdr>
      </w:pPr>
      <w:r>
        <w:t>abstention is required.</w:t>
      </w:r>
    </w:p>
    <w:p>
      <w:pPr>
        <w:pStyle w:val="CodeBlock"/>
        <w:shd w:fill="F4F6F7"/>
        <w:pBdr>
          <w:left w:val="single" w:sz="18" w:space="5" w:color="4C879B"/>
        </w:pBdr>
      </w:pPr>
      <w:r>
        <w:t xml:space="preserve"> </w:t>
      </w:r>
    </w:p>
    <w:p>
      <w:pPr>
        <w:pStyle w:val="CodeBlock"/>
        <w:shd w:fill="F4F6F7"/>
        <w:pBdr>
          <w:left w:val="single" w:sz="18" w:space="5" w:color="4C879B"/>
        </w:pBdr>
      </w:pPr>
      <w:r>
        <w:t>A useful output unit:</w:t>
      </w:r>
    </w:p>
    <w:p>
      <w:pPr>
        <w:pStyle w:val="CodeBlock"/>
        <w:shd w:fill="F4F6F7"/>
        <w:pBdr>
          <w:left w:val="single" w:sz="18" w:space="5" w:color="4C879B"/>
        </w:pBdr>
      </w:pPr>
      <w:r>
        <w:t>- is grounded in valid source units;</w:t>
      </w:r>
    </w:p>
    <w:p>
      <w:pPr>
        <w:pStyle w:val="CodeBlock"/>
        <w:shd w:fill="F4F6F7"/>
        <w:pBdr>
          <w:left w:val="single" w:sz="18" w:space="5" w:color="4C879B"/>
        </w:pBdr>
      </w:pPr>
      <w:r>
        <w:t>- can be investigated outside the content;</w:t>
      </w:r>
    </w:p>
    <w:p>
      <w:pPr>
        <w:pStyle w:val="CodeBlock"/>
        <w:shd w:fill="F4F6F7"/>
        <w:pBdr>
          <w:left w:val="single" w:sz="18" w:space="5" w:color="4C879B"/>
        </w:pBdr>
      </w:pPr>
      <w:r>
        <w:t>- has one coherent evidentiary question;</w:t>
      </w:r>
    </w:p>
    <w:p>
      <w:pPr>
        <w:pStyle w:val="CodeBlock"/>
        <w:shd w:fill="F4F6F7"/>
        <w:pBdr>
          <w:left w:val="single" w:sz="18" w:space="5" w:color="4C879B"/>
        </w:pBdr>
      </w:pPr>
      <w:r>
        <w:t>- preserves material names, quantities, scope, attribution, and treatment;</w:t>
      </w:r>
    </w:p>
    <w:p>
      <w:pPr>
        <w:pStyle w:val="CodeBlock"/>
        <w:shd w:fill="F4F6F7"/>
        <w:pBdr>
          <w:left w:val="single" w:sz="18" w:space="5" w:color="4C879B"/>
        </w:pBdr>
      </w:pPr>
      <w:r>
        <w:t>- materially affects evaluation of the content;</w:t>
      </w:r>
    </w:p>
    <w:p>
      <w:pPr>
        <w:pStyle w:val="CodeBlock"/>
        <w:shd w:fill="F4F6F7"/>
        <w:pBdr>
          <w:left w:val="single" w:sz="18" w:space="5" w:color="4C879B"/>
        </w:pBdr>
      </w:pPr>
      <w:r>
        <w:t>- is not a decorative detail or duplicate.</w:t>
      </w:r>
    </w:p>
    <w:p>
      <w:pPr>
        <w:pStyle w:val="CodeBlock"/>
        <w:shd w:fill="F4F6F7"/>
        <w:pBdr>
          <w:left w:val="single" w:sz="18" w:space="5" w:color="4C879B"/>
        </w:pBdr>
      </w:pPr>
      <w:r>
        <w:t xml:space="preserve"> </w:t>
      </w:r>
    </w:p>
    <w:p>
      <w:pPr>
        <w:pStyle w:val="CodeBlock"/>
        <w:shd w:fill="F4F6F7"/>
        <w:pBdr>
          <w:left w:val="single" w:sz="18" w:space="5" w:color="4C879B"/>
        </w:pBdr>
      </w:pPr>
      <w:r>
        <w:t>Do not follow a fixed ritual. Choose the next tool based on the content,</w:t>
      </w:r>
    </w:p>
    <w:p>
      <w:pPr>
        <w:pStyle w:val="CodeBlock"/>
        <w:shd w:fill="F4F6F7"/>
        <w:pBdr>
          <w:left w:val="single" w:sz="18" w:space="5" w:color="4C879B"/>
        </w:pBdr>
      </w:pPr>
      <w:r>
        <w:t>working package, and validation diagnostics.</w:t>
      </w:r>
    </w:p>
    <w:p>
      <w:pPr>
        <w:pStyle w:val="CodeBlock"/>
        <w:shd w:fill="F4F6F7"/>
        <w:pBdr>
          <w:left w:val="single" w:sz="18" w:space="5" w:color="4C879B"/>
        </w:pBdr>
      </w:pPr>
      <w:r>
        <w:t xml:space="preserve"> </w:t>
      </w:r>
    </w:p>
    <w:p>
      <w:pPr>
        <w:pStyle w:val="CodeBlock"/>
        <w:shd w:fill="F4F6F7"/>
        <w:pBdr>
          <w:left w:val="single" w:sz="18" w:space="5" w:color="4C879B"/>
        </w:pBdr>
      </w:pPr>
      <w:r>
        <w:t>Never invent grounding, provenance, quotations, studies, identifiers, or</w:t>
      </w:r>
    </w:p>
    <w:p>
      <w:pPr>
        <w:pStyle w:val="CodeBlock"/>
        <w:shd w:fill="F4F6F7"/>
        <w:pBdr>
          <w:left w:val="single" w:sz="18" w:space="5" w:color="4C879B"/>
        </w:pBdr>
      </w:pPr>
      <w:r>
        <w:t>content not present in the supplied source units.</w:t>
      </w:r>
    </w:p>
    <w:p>
      <w:pPr>
        <w:pStyle w:val="CodeBlock"/>
        <w:shd w:fill="F4F6F7"/>
        <w:pBdr>
          <w:left w:val="single" w:sz="18" w:space="5" w:color="4C879B"/>
        </w:pBdr>
      </w:pPr>
      <w:r>
        <w:t xml:space="preserve"> </w:t>
      </w:r>
    </w:p>
    <w:p>
      <w:pPr>
        <w:pStyle w:val="CodeBlock"/>
        <w:shd w:fill="F4F6F7"/>
        <w:pBdr>
          <w:left w:val="single" w:sz="18" w:space="5" w:color="4C879B"/>
        </w:pBdr>
      </w:pPr>
      <w:r>
        <w:t>You may repair the package only through the provided patch tool. Respect all</w:t>
      </w:r>
    </w:p>
    <w:p>
      <w:pPr>
        <w:pStyle w:val="CodeBlock"/>
        <w:shd w:fill="F4F6F7"/>
        <w:pBdr>
          <w:left w:val="single" w:sz="18" w:space="5" w:color="4C879B"/>
        </w:pBdr>
      </w:pPr>
      <w:r>
        <w:t>run budgets. Finalize when hard validation gates pass and further changes are</w:t>
      </w:r>
    </w:p>
    <w:p>
      <w:pPr>
        <w:pStyle w:val="CodeBlock"/>
        <w:shd w:fill="F4F6F7"/>
        <w:pBdr>
          <w:left w:val="single" w:sz="18" w:space="5" w:color="4C879B"/>
        </w:pBdr>
      </w:pPr>
      <w:r>
        <w:t>unlikely to materially improve the package.</w:t>
      </w:r>
    </w:p>
    <w:p>
      <w:pPr>
        <w:pStyle w:val="Heading1"/>
      </w:pPr>
      <w:r>
        <w:t>9. What the agent loop looks like in code</w:t>
      </w:r>
    </w:p>
    <w:p>
      <w:pPr>
        <w:pStyle w:val="CodeBlock"/>
        <w:shd w:fill="F4F6F7"/>
        <w:pBdr>
          <w:left w:val="single" w:sz="18" w:space="5" w:color="4C879B"/>
        </w:pBdr>
      </w:pPr>
      <w:r>
        <w:t>import { Agent, Runner } from "@openai/agents";</w:t>
      </w:r>
    </w:p>
    <w:p>
      <w:pPr>
        <w:pStyle w:val="CodeBlock"/>
        <w:shd w:fill="F4F6F7"/>
        <w:pBdr>
          <w:left w:val="single" w:sz="18" w:space="5" w:color="4C879B"/>
        </w:pBdr>
      </w:pPr>
      <w:r>
        <w:t>import { ClaimPackageSchema } from "./claimFoundrySchemas.js";</w:t>
      </w:r>
    </w:p>
    <w:p>
      <w:pPr>
        <w:pStyle w:val="CodeBlock"/>
        <w:shd w:fill="F4F6F7"/>
        <w:pBdr>
          <w:left w:val="single" w:sz="18" w:space="5" w:color="4C879B"/>
        </w:pBdr>
      </w:pPr>
      <w:r>
        <w:t>import { claimFoundryTools } from "./claimFoundryTools.js";</w:t>
      </w:r>
    </w:p>
    <w:p>
      <w:pPr>
        <w:pStyle w:val="CodeBlock"/>
        <w:shd w:fill="F4F6F7"/>
        <w:pBdr>
          <w:left w:val="single" w:sz="18" w:space="5" w:color="4C879B"/>
        </w:pBdr>
      </w:pPr>
      <w:r>
        <w:t xml:space="preserve"> </w:t>
      </w:r>
    </w:p>
    <w:p>
      <w:pPr>
        <w:pStyle w:val="CodeBlock"/>
        <w:shd w:fill="F4F6F7"/>
        <w:pBdr>
          <w:left w:val="single" w:sz="18" w:space="5" w:color="4C879B"/>
        </w:pBdr>
      </w:pPr>
      <w:r>
        <w:t>export const claimFoundryAgent = new Agent({</w:t>
      </w:r>
    </w:p>
    <w:p>
      <w:pPr>
        <w:pStyle w:val="CodeBlock"/>
        <w:shd w:fill="F4F6F7"/>
        <w:pBdr>
          <w:left w:val="single" w:sz="18" w:space="5" w:color="4C879B"/>
        </w:pBdr>
      </w:pPr>
      <w:r>
        <w:t xml:space="preserve">  name: "ClaimFoundry",</w:t>
      </w:r>
    </w:p>
    <w:p>
      <w:pPr>
        <w:pStyle w:val="CodeBlock"/>
        <w:shd w:fill="F4F6F7"/>
        <w:pBdr>
          <w:left w:val="single" w:sz="18" w:space="5" w:color="4C879B"/>
        </w:pBdr>
      </w:pPr>
      <w:r>
        <w:t xml:space="preserve">  instructions: buildClaimFoundryInstructions,</w:t>
      </w:r>
    </w:p>
    <w:p>
      <w:pPr>
        <w:pStyle w:val="CodeBlock"/>
        <w:shd w:fill="F4F6F7"/>
        <w:pBdr>
          <w:left w:val="single" w:sz="18" w:space="5" w:color="4C879B"/>
        </w:pBdr>
      </w:pPr>
      <w:r>
        <w:t xml:space="preserve">  model: process.env.CLAIM_AGENT_MODEL,</w:t>
      </w:r>
    </w:p>
    <w:p>
      <w:pPr>
        <w:pStyle w:val="CodeBlock"/>
        <w:shd w:fill="F4F6F7"/>
        <w:pBdr>
          <w:left w:val="single" w:sz="18" w:space="5" w:color="4C879B"/>
        </w:pBdr>
      </w:pPr>
      <w:r>
        <w:t xml:space="preserve">  tools: claimFoundryTools,</w:t>
      </w:r>
    </w:p>
    <w:p>
      <w:pPr>
        <w:pStyle w:val="CodeBlock"/>
        <w:shd w:fill="F4F6F7"/>
        <w:pBdr>
          <w:left w:val="single" w:sz="18" w:space="5" w:color="4C879B"/>
        </w:pBdr>
      </w:pPr>
      <w:r>
        <w:t xml:space="preserve">  outputType: ClaimPackageSchema,</w:t>
      </w:r>
    </w:p>
    <w:p>
      <w:pPr>
        <w:pStyle w:val="CodeBlock"/>
        <w:shd w:fill="F4F6F7"/>
        <w:pBdr>
          <w:left w:val="single" w:sz="18" w:space="5" w:color="4C879B"/>
        </w:pBdr>
      </w:pPr>
      <w:r>
        <w:t>});</w:t>
      </w:r>
    </w:p>
    <w:p>
      <w:pPr>
        <w:pStyle w:val="CodeBlock"/>
        <w:shd w:fill="F4F6F7"/>
        <w:pBdr>
          <w:left w:val="single" w:sz="18" w:space="5" w:color="4C879B"/>
        </w:pBdr>
      </w:pPr>
      <w:r>
        <w:t xml:space="preserve"> </w:t>
      </w:r>
    </w:p>
    <w:p>
      <w:pPr>
        <w:pStyle w:val="CodeBlock"/>
        <w:shd w:fill="F4F6F7"/>
        <w:pBdr>
          <w:left w:val="single" w:sz="18" w:space="5" w:color="4C879B"/>
        </w:pBdr>
      </w:pPr>
      <w:r>
        <w:t>const runner = new Runner({</w:t>
      </w:r>
    </w:p>
    <w:p>
      <w:pPr>
        <w:pStyle w:val="CodeBlock"/>
        <w:shd w:fill="F4F6F7"/>
        <w:pBdr>
          <w:left w:val="single" w:sz="18" w:space="5" w:color="4C879B"/>
        </w:pBdr>
      </w:pPr>
      <w:r>
        <w:t xml:space="preserve">  tracingDisabled: false,</w:t>
      </w:r>
    </w:p>
    <w:p>
      <w:pPr>
        <w:pStyle w:val="CodeBlock"/>
        <w:shd w:fill="F4F6F7"/>
        <w:pBdr>
          <w:left w:val="single" w:sz="18" w:space="5" w:color="4C879B"/>
        </w:pBdr>
      </w:pPr>
      <w:r>
        <w:t>});</w:t>
      </w:r>
    </w:p>
    <w:p>
      <w:pPr>
        <w:pStyle w:val="CodeBlock"/>
        <w:shd w:fill="F4F6F7"/>
        <w:pBdr>
          <w:left w:val="single" w:sz="18" w:space="5" w:color="4C879B"/>
        </w:pBdr>
      </w:pPr>
      <w:r>
        <w:t xml:space="preserve"> </w:t>
      </w:r>
    </w:p>
    <w:p>
      <w:pPr>
        <w:pStyle w:val="CodeBlock"/>
        <w:shd w:fill="F4F6F7"/>
        <w:pBdr>
          <w:left w:val="single" w:sz="18" w:space="5" w:color="4C879B"/>
        </w:pBdr>
      </w:pPr>
      <w:r>
        <w:t>export async function runClaimFoundryAgent(input, context, session) {</w:t>
      </w:r>
    </w:p>
    <w:p>
      <w:pPr>
        <w:pStyle w:val="CodeBlock"/>
        <w:shd w:fill="F4F6F7"/>
        <w:pBdr>
          <w:left w:val="single" w:sz="18" w:space="5" w:color="4C879B"/>
        </w:pBdr>
      </w:pPr>
      <w:r>
        <w:t xml:space="preserve">  return runner.run(</w:t>
      </w:r>
    </w:p>
    <w:p>
      <w:pPr>
        <w:pStyle w:val="CodeBlock"/>
        <w:shd w:fill="F4F6F7"/>
        <w:pBdr>
          <w:left w:val="single" w:sz="18" w:space="5" w:color="4C879B"/>
        </w:pBdr>
      </w:pPr>
      <w:r>
        <w:t xml:space="preserve">    claimFoundryAgent,</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role: "user",</w:t>
      </w:r>
    </w:p>
    <w:p>
      <w:pPr>
        <w:pStyle w:val="CodeBlock"/>
        <w:shd w:fill="F4F6F7"/>
        <w:pBdr>
          <w:left w:val="single" w:sz="18" w:space="5" w:color="4C879B"/>
        </w:pBdr>
      </w:pPr>
      <w:r>
        <w:t xml:space="preserve">      content: [{</w:t>
      </w:r>
    </w:p>
    <w:p>
      <w:pPr>
        <w:pStyle w:val="CodeBlock"/>
        <w:shd w:fill="F4F6F7"/>
        <w:pBdr>
          <w:left w:val="single" w:sz="18" w:space="5" w:color="4C879B"/>
        </w:pBdr>
      </w:pPr>
      <w:r>
        <w:t xml:space="preserve">        type: "input_text",</w:t>
      </w:r>
    </w:p>
    <w:p>
      <w:pPr>
        <w:pStyle w:val="CodeBlock"/>
        <w:shd w:fill="F4F6F7"/>
        <w:pBdr>
          <w:left w:val="single" w:sz="18" w:space="5" w:color="4C879B"/>
        </w:pBdr>
      </w:pPr>
      <w:r>
        <w:t xml:space="preserve">        text: `Build the claim package for content ${input.contentId}.`</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context,</w:t>
      </w:r>
    </w:p>
    <w:p>
      <w:pPr>
        <w:pStyle w:val="CodeBlock"/>
        <w:shd w:fill="F4F6F7"/>
        <w:pBdr>
          <w:left w:val="single" w:sz="18" w:space="5" w:color="4C879B"/>
        </w:pBdr>
      </w:pPr>
      <w:r>
        <w:t xml:space="preserve">      session,</w:t>
      </w:r>
    </w:p>
    <w:p>
      <w:pPr>
        <w:pStyle w:val="CodeBlock"/>
        <w:shd w:fill="F4F6F7"/>
        <w:pBdr>
          <w:left w:val="single" w:sz="18" w:space="5" w:color="4C879B"/>
        </w:pBdr>
      </w:pPr>
      <w:r>
        <w:t xml:space="preserve">      maxTurns: context.state.budget.maxTurns,</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w:t>
      </w:r>
    </w:p>
    <w:p>
      <w:pPr>
        <w:pStyle w:val="CodeBlock"/>
        <w:shd w:fill="F4F6F7"/>
        <w:pBdr>
          <w:left w:val="single" w:sz="18" w:space="5" w:color="4C879B"/>
        </w:pBdr>
      </w:pPr>
      <w:r>
        <w:t>}</w:t>
      </w:r>
    </w:p>
    <w:p>
      <w:r>
        <w:t>Exact SDK property names should be confirmed against the installed TypeScript version during implementation. The architectural requirement is the point: the Runner owns model/tool turns, tools receive typed local context, and the final output is structured.</w:t>
      </w:r>
    </w:p>
    <w:p>
      <w:pPr>
        <w:pStyle w:val="Heading1"/>
      </w:pPr>
      <w:r>
        <w:t>10. Deterministic validation contract</w:t>
      </w:r>
    </w:p>
    <w:p>
      <w:pPr>
        <w:pStyle w:val="CodeBlock"/>
        <w:shd w:fill="F4F6F7"/>
        <w:pBdr>
          <w:left w:val="single" w:sz="18" w:space="5" w:color="4C879B"/>
        </w:pBdr>
      </w:pPr>
      <w:r>
        <w:t>type ClaimPackageValidationReport = {</w:t>
      </w:r>
    </w:p>
    <w:p>
      <w:pPr>
        <w:pStyle w:val="CodeBlock"/>
        <w:shd w:fill="F4F6F7"/>
        <w:pBdr>
          <w:left w:val="single" w:sz="18" w:space="5" w:color="4C879B"/>
        </w:pBdr>
      </w:pPr>
      <w:r>
        <w:t xml:space="preserve">  hardPass: boolean;</w:t>
      </w:r>
    </w:p>
    <w:p>
      <w:pPr>
        <w:pStyle w:val="CodeBlock"/>
        <w:shd w:fill="F4F6F7"/>
        <w:pBdr>
          <w:left w:val="single" w:sz="18" w:space="5" w:color="4C879B"/>
        </w:pBdr>
      </w:pPr>
      <w:r>
        <w:t xml:space="preserve">  findings: Array&lt;{</w:t>
      </w:r>
    </w:p>
    <w:p>
      <w:pPr>
        <w:pStyle w:val="CodeBlock"/>
        <w:shd w:fill="F4F6F7"/>
        <w:pBdr>
          <w:left w:val="single" w:sz="18" w:space="5" w:color="4C879B"/>
        </w:pBdr>
      </w:pPr>
      <w:r>
        <w:t xml:space="preserve">    code:</w:t>
      </w:r>
    </w:p>
    <w:p>
      <w:pPr>
        <w:pStyle w:val="CodeBlock"/>
        <w:shd w:fill="F4F6F7"/>
        <w:pBdr>
          <w:left w:val="single" w:sz="18" w:space="5" w:color="4C879B"/>
        </w:pBdr>
      </w:pPr>
      <w:r>
        <w:t xml:space="preserve">      | "INVALID_GROUNDING"</w:t>
      </w:r>
    </w:p>
    <w:p>
      <w:pPr>
        <w:pStyle w:val="CodeBlock"/>
        <w:shd w:fill="F4F6F7"/>
        <w:pBdr>
          <w:left w:val="single" w:sz="18" w:space="5" w:color="4C879B"/>
        </w:pBdr>
      </w:pPr>
      <w:r>
        <w:t xml:space="preserve">      | "MISSING_MATERIAL_REPRESENTATION"</w:t>
      </w:r>
    </w:p>
    <w:p>
      <w:pPr>
        <w:pStyle w:val="CodeBlock"/>
        <w:shd w:fill="F4F6F7"/>
        <w:pBdr>
          <w:left w:val="single" w:sz="18" w:space="5" w:color="4C879B"/>
        </w:pBdr>
      </w:pPr>
      <w:r>
        <w:t xml:space="preserve">      | "COMPOUND_EVIDENCE_UNIT"</w:t>
      </w:r>
    </w:p>
    <w:p>
      <w:pPr>
        <w:pStyle w:val="CodeBlock"/>
        <w:shd w:fill="F4F6F7"/>
        <w:pBdr>
          <w:left w:val="single" w:sz="18" w:space="5" w:color="4C879B"/>
        </w:pBdr>
      </w:pPr>
      <w:r>
        <w:t xml:space="preserve">      | "DUPLICATE_UNIT"</w:t>
      </w:r>
    </w:p>
    <w:p>
      <w:pPr>
        <w:pStyle w:val="CodeBlock"/>
        <w:shd w:fill="F4F6F7"/>
        <w:pBdr>
          <w:left w:val="single" w:sz="18" w:space="5" w:color="4C879B"/>
        </w:pBdr>
      </w:pPr>
      <w:r>
        <w:t xml:space="preserve">      | "AMBIGUOUS_REFERENCE"</w:t>
      </w:r>
    </w:p>
    <w:p>
      <w:pPr>
        <w:pStyle w:val="CodeBlock"/>
        <w:shd w:fill="F4F6F7"/>
        <w:pBdr>
          <w:left w:val="single" w:sz="18" w:space="5" w:color="4C879B"/>
        </w:pBdr>
      </w:pPr>
      <w:r>
        <w:t xml:space="preserve">      | "PROVENANCE_CONFLATION"</w:t>
      </w:r>
    </w:p>
    <w:p>
      <w:pPr>
        <w:pStyle w:val="CodeBlock"/>
        <w:shd w:fill="F4F6F7"/>
        <w:pBdr>
          <w:left w:val="single" w:sz="18" w:space="5" w:color="4C879B"/>
        </w:pBdr>
      </w:pPr>
      <w:r>
        <w:t xml:space="preserve">      | "TREATMENT_CONFLICT"</w:t>
      </w:r>
    </w:p>
    <w:p>
      <w:pPr>
        <w:pStyle w:val="CodeBlock"/>
        <w:shd w:fill="F4F6F7"/>
        <w:pBdr>
          <w:left w:val="single" w:sz="18" w:space="5" w:color="4C879B"/>
        </w:pBdr>
      </w:pPr>
      <w:r>
        <w:t xml:space="preserve">      | "OVERINCLUSIVE_SELECTION"</w:t>
      </w:r>
    </w:p>
    <w:p>
      <w:pPr>
        <w:pStyle w:val="CodeBlock"/>
        <w:shd w:fill="F4F6F7"/>
        <w:pBdr>
          <w:left w:val="single" w:sz="18" w:space="5" w:color="4C879B"/>
        </w:pBdr>
      </w:pPr>
      <w:r>
        <w:t xml:space="preserve">      | "UNDERINCLUSIVE_SELECTION"</w:t>
      </w:r>
    </w:p>
    <w:p>
      <w:pPr>
        <w:pStyle w:val="CodeBlock"/>
        <w:shd w:fill="F4F6F7"/>
        <w:pBdr>
          <w:left w:val="single" w:sz="18" w:space="5" w:color="4C879B"/>
        </w:pBdr>
      </w:pPr>
      <w:r>
        <w:t xml:space="preserve">      | "SCHEMA_ERROR";</w:t>
      </w:r>
    </w:p>
    <w:p>
      <w:pPr>
        <w:pStyle w:val="CodeBlock"/>
        <w:shd w:fill="F4F6F7"/>
        <w:pBdr>
          <w:left w:val="single" w:sz="18" w:space="5" w:color="4C879B"/>
        </w:pBdr>
      </w:pPr>
      <w:r>
        <w:t xml:space="preserve">    severity: "error" | "warning";</w:t>
      </w:r>
    </w:p>
    <w:p>
      <w:pPr>
        <w:pStyle w:val="CodeBlock"/>
        <w:shd w:fill="F4F6F7"/>
        <w:pBdr>
          <w:left w:val="single" w:sz="18" w:space="5" w:color="4C879B"/>
        </w:pBdr>
      </w:pPr>
      <w:r>
        <w:t xml:space="preserve">    itemIds: string[];</w:t>
      </w:r>
    </w:p>
    <w:p>
      <w:pPr>
        <w:pStyle w:val="CodeBlock"/>
        <w:shd w:fill="F4F6F7"/>
        <w:pBdr>
          <w:left w:val="single" w:sz="18" w:space="5" w:color="4C879B"/>
        </w:pBdr>
      </w:pPr>
      <w:r>
        <w:t xml:space="preserve">    sourceUnitIds: string[];</w:t>
      </w:r>
    </w:p>
    <w:p>
      <w:pPr>
        <w:pStyle w:val="CodeBlock"/>
        <w:shd w:fill="F4F6F7"/>
        <w:pBdr>
          <w:left w:val="single" w:sz="18" w:space="5" w:color="4C879B"/>
        </w:pBdr>
      </w:pPr>
      <w:r>
        <w:t xml:space="preserve">    explanation: string;</w:t>
      </w:r>
    </w:p>
    <w:p>
      <w:pPr>
        <w:pStyle w:val="CodeBlock"/>
        <w:shd w:fill="F4F6F7"/>
        <w:pBdr>
          <w:left w:val="single" w:sz="18" w:space="5" w:color="4C879B"/>
        </w:pBdr>
      </w:pPr>
      <w:r>
        <w:t xml:space="preserve">    permittedRepairs: Array&lt;</w:t>
      </w:r>
    </w:p>
    <w:p>
      <w:pPr>
        <w:pStyle w:val="CodeBlock"/>
        <w:shd w:fill="F4F6F7"/>
        <w:pBdr>
          <w:left w:val="single" w:sz="18" w:space="5" w:color="4C879B"/>
        </w:pBdr>
      </w:pPr>
      <w:r>
        <w:t xml:space="preserve">      "add" | "remove" | "replace" | "split" | "merge" |</w:t>
      </w:r>
    </w:p>
    <w:p>
      <w:pPr>
        <w:pStyle w:val="CodeBlock"/>
        <w:shd w:fill="F4F6F7"/>
        <w:pBdr>
          <w:left w:val="single" w:sz="18" w:space="5" w:color="4C879B"/>
        </w:pBdr>
      </w:pPr>
      <w:r>
        <w:t xml:space="preserve">      "change_treatment" | "change_provenance"</w:t>
      </w:r>
    </w:p>
    <w:p>
      <w:pPr>
        <w:pStyle w:val="CodeBlock"/>
        <w:shd w:fill="F4F6F7"/>
        <w:pBdr>
          <w:left w:val="single" w:sz="18" w:space="5" w:color="4C879B"/>
        </w:pBdr>
      </w:pPr>
      <w:r>
        <w:t xml:space="preserve">    &gt;;</w:t>
      </w:r>
    </w:p>
    <w:p>
      <w:pPr>
        <w:pStyle w:val="CodeBlock"/>
        <w:shd w:fill="F4F6F7"/>
        <w:pBdr>
          <w:left w:val="single" w:sz="18" w:space="5" w:color="4C879B"/>
        </w:pBdr>
      </w:pPr>
      <w:r>
        <w:t xml:space="preserve">  }&gt;;</w:t>
      </w:r>
    </w:p>
    <w:p>
      <w:pPr>
        <w:pStyle w:val="CodeBlock"/>
        <w:shd w:fill="F4F6F7"/>
        <w:pBdr>
          <w:left w:val="single" w:sz="18" w:space="5" w:color="4C879B"/>
        </w:pBdr>
      </w:pPr>
      <w:r>
        <w:t>};</w:t>
      </w:r>
    </w:p>
    <w:p>
      <w:r>
        <w:t>The validator may identify defects. It must not secretly rewrite semantic content. The agent sees the findings, chooses repairs, and the patch tool records every mutation.</w:t>
      </w:r>
    </w:p>
    <w:p>
      <w:pPr>
        <w:pStyle w:val="Heading1"/>
      </w:pPr>
      <w:r>
        <w:t>11. Repair without another mega-prompt</w:t>
      </w:r>
    </w:p>
    <w:p>
      <w:r>
        <w:t>Do not create a universal 'repair everything' call. Repairs are agent-selected operations against typed diagnostics.</w:t>
      </w:r>
    </w:p>
    <w:p>
      <w:pPr>
        <w:pStyle w:val="CodeBlock"/>
        <w:shd w:fill="F4F6F7"/>
        <w:pBdr>
          <w:left w:val="single" w:sz="18" w:space="5" w:color="4C879B"/>
        </w:pBdr>
      </w:pPr>
      <w:r>
        <w:t>validate_working_package()</w:t>
      </w:r>
    </w:p>
    <w:p>
      <w:pPr>
        <w:pStyle w:val="CodeBlock"/>
        <w:shd w:fill="F4F6F7"/>
        <w:pBdr>
          <w:left w:val="single" w:sz="18" w:space="5" w:color="4C879B"/>
        </w:pBdr>
      </w:pPr>
      <w:r>
        <w:t>→ findings:</w:t>
      </w:r>
    </w:p>
    <w:p>
      <w:pPr>
        <w:pStyle w:val="CodeBlock"/>
        <w:shd w:fill="F4F6F7"/>
        <w:pBdr>
          <w:left w:val="single" w:sz="18" w:space="5" w:color="4C879B"/>
        </w:pBdr>
      </w:pPr>
      <w:r>
        <w:t xml:space="preserve">   - E004 compound</w:t>
      </w:r>
    </w:p>
    <w:p>
      <w:pPr>
        <w:pStyle w:val="CodeBlock"/>
        <w:shd w:fill="F4F6F7"/>
        <w:pBdr>
          <w:left w:val="single" w:sz="18" w:space="5" w:color="4C879B"/>
        </w:pBdr>
      </w:pPr>
      <w:r>
        <w:t xml:space="preserve">   - central allegation grounded in U031-U034 missing</w:t>
      </w:r>
    </w:p>
    <w:p>
      <w:pPr>
        <w:pStyle w:val="CodeBlock"/>
        <w:shd w:fill="F4F6F7"/>
        <w:pBdr>
          <w:left w:val="single" w:sz="18" w:space="5" w:color="4C879B"/>
        </w:pBdr>
      </w:pPr>
      <w:r>
        <w:t xml:space="preserve">   - E007/E009 duplicates</w:t>
      </w:r>
    </w:p>
    <w:p>
      <w:pPr>
        <w:pStyle w:val="CodeBlock"/>
        <w:shd w:fill="F4F6F7"/>
        <w:pBdr>
          <w:left w:val="single" w:sz="18" w:space="5" w:color="4C879B"/>
        </w:pBdr>
      </w:pPr>
      <w:r>
        <w:t xml:space="preserve"> </w:t>
      </w:r>
    </w:p>
    <w:p>
      <w:pPr>
        <w:pStyle w:val="CodeBlock"/>
        <w:shd w:fill="F4F6F7"/>
        <w:pBdr>
          <w:left w:val="single" w:sz="18" w:space="5" w:color="4C879B"/>
        </w:pBdr>
      </w:pPr>
      <w:r>
        <w:t>Agent chooses:</w:t>
      </w:r>
    </w:p>
    <w:p>
      <w:pPr>
        <w:pStyle w:val="CodeBlock"/>
        <w:shd w:fill="F4F6F7"/>
        <w:pBdr>
          <w:left w:val="single" w:sz="18" w:space="5" w:color="4C879B"/>
        </w:pBdr>
      </w:pPr>
      <w:r>
        <w:t xml:space="preserve">  read_source_units(["U031","U032","U033","U034"])</w:t>
      </w:r>
    </w:p>
    <w:p>
      <w:pPr>
        <w:pStyle w:val="CodeBlock"/>
        <w:shd w:fill="F4F6F7"/>
        <w:pBdr>
          <w:left w:val="single" w:sz="18" w:space="5" w:color="4C879B"/>
        </w:pBdr>
      </w:pPr>
      <w:r>
        <w:t xml:space="preserve">  apply_package_patch({</w:t>
      </w:r>
    </w:p>
    <w:p>
      <w:pPr>
        <w:pStyle w:val="CodeBlock"/>
        <w:shd w:fill="F4F6F7"/>
        <w:pBdr>
          <w:left w:val="single" w:sz="18" w:space="5" w:color="4C879B"/>
        </w:pBdr>
      </w:pPr>
      <w:r>
        <w:t xml:space="preserve">    operations: [</w:t>
      </w:r>
    </w:p>
    <w:p>
      <w:pPr>
        <w:pStyle w:val="CodeBlock"/>
        <w:shd w:fill="F4F6F7"/>
        <w:pBdr>
          <w:left w:val="single" w:sz="18" w:space="5" w:color="4C879B"/>
        </w:pBdr>
      </w:pPr>
      <w:r>
        <w:t xml:space="preserve">      { type: "split", itemId: "E004", ... },</w:t>
      </w:r>
    </w:p>
    <w:p>
      <w:pPr>
        <w:pStyle w:val="CodeBlock"/>
        <w:shd w:fill="F4F6F7"/>
        <w:pBdr>
          <w:left w:val="single" w:sz="18" w:space="5" w:color="4C879B"/>
        </w:pBdr>
      </w:pPr>
      <w:r>
        <w:t xml:space="preserve">      { type: "add", ... },</w:t>
      </w:r>
    </w:p>
    <w:p>
      <w:pPr>
        <w:pStyle w:val="CodeBlock"/>
        <w:shd w:fill="F4F6F7"/>
        <w:pBdr>
          <w:left w:val="single" w:sz="18" w:space="5" w:color="4C879B"/>
        </w:pBdr>
      </w:pPr>
      <w:r>
        <w:t xml:space="preserve">      { type: "merge", itemIds: ["E007","E009"], ... }</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w:t>
      </w:r>
    </w:p>
    <w:p>
      <w:pPr>
        <w:pStyle w:val="CodeBlock"/>
        <w:shd w:fill="F4F6F7"/>
        <w:pBdr>
          <w:left w:val="single" w:sz="18" w:space="5" w:color="4C879B"/>
        </w:pBdr>
      </w:pPr>
      <w:r>
        <w:t xml:space="preserve">  validate_working_package()</w:t>
      </w:r>
    </w:p>
    <w:p>
      <w:pPr>
        <w:pStyle w:val="CodeBlock"/>
        <w:shd w:fill="F4F6F7"/>
        <w:pBdr>
          <w:left w:val="single" w:sz="18" w:space="5" w:color="4C879B"/>
        </w:pBdr>
      </w:pPr>
      <w:r>
        <w:t xml:space="preserve">  finalize_claim_package()</w:t>
      </w:r>
    </w:p>
    <w:p>
      <w:r>
        <w:t>The agent can also decide that a warning is immaterial, but it must record a reason. Hard errors block finalization.</w:t>
      </w:r>
    </w:p>
    <w:p>
      <w:pPr>
        <w:pStyle w:val="Heading1"/>
      </w:pPr>
      <w:r>
        <w:t>12. EvidenceRun agent</w:t>
      </w:r>
    </w:p>
    <w:p>
      <w:r>
        <w:t>Build EvidenceRun after the ClaimFoundry vertical slice passes. It consumes persisted targets and may access external retrieval tools. It does not mutate ClaimFoundry's canonical target text.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CEAF0"/>
            <w:vAlign w:val="center"/>
          </w:tcPr>
          <w:p>
            <w:r>
              <w:rPr>
                <w:b/>
                <w:sz w:val="17"/>
              </w:rPr>
              <w:t>Tool</w:t>
            </w:r>
          </w:p>
        </w:tc>
        <w:tc>
          <w:tcPr>
            <w:tcW w:type="dxa" w:w="7776"/>
            <w:shd w:fill="DCEAF0"/>
            <w:vAlign w:val="center"/>
          </w:tcPr>
          <w:p>
            <w:r>
              <w:rPr>
                <w:b/>
                <w:sz w:val="17"/>
              </w:rPr>
              <w:t>Purpose</w:t>
            </w:r>
          </w:p>
        </w:tc>
      </w:tr>
      <w:tr>
        <w:tc>
          <w:tcPr>
            <w:tcW w:type="dxa" w:w="2376"/>
            <w:vAlign w:val="top"/>
          </w:tcPr>
          <w:p>
            <w:pPr>
              <w:spacing w:after="0"/>
            </w:pPr>
            <w:r>
              <w:rPr>
                <w:sz w:val="16"/>
              </w:rPr>
              <w:t>load_evidence_targets</w:t>
            </w:r>
          </w:p>
        </w:tc>
        <w:tc>
          <w:tcPr>
            <w:tcW w:type="dxa" w:w="7776"/>
            <w:vAlign w:val="top"/>
          </w:tcPr>
          <w:p>
            <w:pPr>
              <w:spacing w:after="0"/>
            </w:pPr>
            <w:r>
              <w:rPr>
                <w:sz w:val="16"/>
              </w:rPr>
              <w:t>Load selected claims, Phase 3 targets, identity hints, bearing criteria, and budgets.</w:t>
            </w:r>
          </w:p>
        </w:tc>
      </w:tr>
      <w:tr>
        <w:tc>
          <w:tcPr>
            <w:tcW w:type="dxa" w:w="2376"/>
            <w:vAlign w:val="top"/>
          </w:tcPr>
          <w:p>
            <w:pPr>
              <w:spacing w:after="0"/>
            </w:pPr>
            <w:r>
              <w:rPr>
                <w:sz w:val="16"/>
              </w:rPr>
              <w:t>plan_query_lanes</w:t>
            </w:r>
          </w:p>
        </w:tc>
        <w:tc>
          <w:tcPr>
            <w:tcW w:type="dxa" w:w="7776"/>
            <w:vAlign w:val="top"/>
          </w:tcPr>
          <w:p>
            <w:pPr>
              <w:spacing w:after="0"/>
            </w:pPr>
            <w:r>
              <w:rPr>
                <w:sz w:val="16"/>
              </w:rPr>
              <w:t>Persist support/refute/qualify/context query lanes and role budgets.</w:t>
            </w:r>
          </w:p>
        </w:tc>
      </w:tr>
      <w:tr>
        <w:tc>
          <w:tcPr>
            <w:tcW w:type="dxa" w:w="2376"/>
            <w:vAlign w:val="top"/>
          </w:tcPr>
          <w:p>
            <w:pPr>
              <w:spacing w:after="0"/>
            </w:pPr>
            <w:r>
              <w:rPr>
                <w:sz w:val="16"/>
              </w:rPr>
              <w:t>search_provider</w:t>
            </w:r>
          </w:p>
        </w:tc>
        <w:tc>
          <w:tcPr>
            <w:tcW w:type="dxa" w:w="7776"/>
            <w:vAlign w:val="top"/>
          </w:tcPr>
          <w:p>
            <w:pPr>
              <w:spacing w:after="0"/>
            </w:pPr>
            <w:r>
              <w:rPr>
                <w:sz w:val="16"/>
              </w:rPr>
              <w:t>Execute a bounded provider query and normalize candidates.</w:t>
            </w:r>
          </w:p>
        </w:tc>
      </w:tr>
      <w:tr>
        <w:tc>
          <w:tcPr>
            <w:tcW w:type="dxa" w:w="2376"/>
            <w:vAlign w:val="top"/>
          </w:tcPr>
          <w:p>
            <w:pPr>
              <w:spacing w:after="0"/>
            </w:pPr>
            <w:r>
              <w:rPr>
                <w:sz w:val="16"/>
              </w:rPr>
              <w:t>inspect_candidate</w:t>
            </w:r>
          </w:p>
        </w:tc>
        <w:tc>
          <w:tcPr>
            <w:tcW w:type="dxa" w:w="7776"/>
            <w:vAlign w:val="top"/>
          </w:tcPr>
          <w:p>
            <w:pPr>
              <w:spacing w:after="0"/>
            </w:pPr>
            <w:r>
              <w:rPr>
                <w:sz w:val="16"/>
              </w:rPr>
              <w:t>Read metadata, abstract, snippet, or fetched full text already associated with a candidate.</w:t>
            </w:r>
          </w:p>
        </w:tc>
      </w:tr>
      <w:tr>
        <w:tc>
          <w:tcPr>
            <w:tcW w:type="dxa" w:w="2376"/>
            <w:vAlign w:val="top"/>
          </w:tcPr>
          <w:p>
            <w:pPr>
              <w:spacing w:after="0"/>
            </w:pPr>
            <w:r>
              <w:rPr>
                <w:sz w:val="16"/>
              </w:rPr>
              <w:t>fetch_candidate</w:t>
            </w:r>
          </w:p>
        </w:tc>
        <w:tc>
          <w:tcPr>
            <w:tcW w:type="dxa" w:w="7776"/>
            <w:vAlign w:val="top"/>
          </w:tcPr>
          <w:p>
            <w:pPr>
              <w:spacing w:after="0"/>
            </w:pPr>
            <w:r>
              <w:rPr>
                <w:sz w:val="16"/>
              </w:rPr>
              <w:t>Retrieve bounded full text through approved fetchers.</w:t>
            </w:r>
          </w:p>
        </w:tc>
      </w:tr>
      <w:tr>
        <w:tc>
          <w:tcPr>
            <w:tcW w:type="dxa" w:w="2376"/>
            <w:vAlign w:val="top"/>
          </w:tcPr>
          <w:p>
            <w:pPr>
              <w:spacing w:after="0"/>
            </w:pPr>
            <w:r>
              <w:rPr>
                <w:sz w:val="16"/>
              </w:rPr>
              <w:t>judge_bearing</w:t>
            </w:r>
          </w:p>
        </w:tc>
        <w:tc>
          <w:tcPr>
            <w:tcW w:type="dxa" w:w="7776"/>
            <w:vAlign w:val="top"/>
          </w:tcPr>
          <w:p>
            <w:pPr>
              <w:spacing w:after="0"/>
            </w:pPr>
            <w:r>
              <w:rPr>
                <w:sz w:val="16"/>
              </w:rPr>
              <w:t>Return typed bearing analysis against one target predicate.</w:t>
            </w:r>
          </w:p>
        </w:tc>
      </w:tr>
      <w:tr>
        <w:tc>
          <w:tcPr>
            <w:tcW w:type="dxa" w:w="2376"/>
            <w:vAlign w:val="top"/>
          </w:tcPr>
          <w:p>
            <w:pPr>
              <w:spacing w:after="0"/>
            </w:pPr>
            <w:r>
              <w:rPr>
                <w:sz w:val="16"/>
              </w:rPr>
              <w:t>judge_stance</w:t>
            </w:r>
          </w:p>
        </w:tc>
        <w:tc>
          <w:tcPr>
            <w:tcW w:type="dxa" w:w="7776"/>
            <w:vAlign w:val="top"/>
          </w:tcPr>
          <w:p>
            <w:pPr>
              <w:spacing w:after="0"/>
            </w:pPr>
            <w:r>
              <w:rPr>
                <w:sz w:val="16"/>
              </w:rPr>
              <w:t>For bearing sources only, return support/refute/qualify and explanation.</w:t>
            </w:r>
          </w:p>
        </w:tc>
      </w:tr>
      <w:tr>
        <w:tc>
          <w:tcPr>
            <w:tcW w:type="dxa" w:w="2376"/>
            <w:vAlign w:val="top"/>
          </w:tcPr>
          <w:p>
            <w:pPr>
              <w:spacing w:after="0"/>
            </w:pPr>
            <w:r>
              <w:rPr>
                <w:sz w:val="16"/>
              </w:rPr>
              <w:t>save_evidence_link</w:t>
            </w:r>
          </w:p>
        </w:tc>
        <w:tc>
          <w:tcPr>
            <w:tcW w:type="dxa" w:w="7776"/>
            <w:vAlign w:val="top"/>
          </w:tcPr>
          <w:p>
            <w:pPr>
              <w:spacing w:after="0"/>
            </w:pPr>
            <w:r>
              <w:rPr>
                <w:sz w:val="16"/>
              </w:rPr>
              <w:t>Persist target-level source relationship, provenance, and diagnostics.</w:t>
            </w:r>
          </w:p>
        </w:tc>
      </w:tr>
      <w:tr>
        <w:tc>
          <w:tcPr>
            <w:tcW w:type="dxa" w:w="2376"/>
            <w:vAlign w:val="top"/>
          </w:tcPr>
          <w:p>
            <w:pPr>
              <w:spacing w:after="0"/>
            </w:pPr>
            <w:r>
              <w:rPr>
                <w:sz w:val="16"/>
              </w:rPr>
              <w:t>validate_evidence_package</w:t>
            </w:r>
          </w:p>
        </w:tc>
        <w:tc>
          <w:tcPr>
            <w:tcW w:type="dxa" w:w="7776"/>
            <w:vAlign w:val="top"/>
          </w:tcPr>
          <w:p>
            <w:pPr>
              <w:spacing w:after="0"/>
            </w:pPr>
            <w:r>
              <w:rPr>
                <w:sz w:val="16"/>
              </w:rPr>
              <w:t>Check role diversity, target coverage, unresolved retrieval failures, and schema integrity.</w:t>
            </w:r>
          </w:p>
        </w:tc>
      </w:tr>
      <w:tr>
        <w:tc>
          <w:tcPr>
            <w:tcW w:type="dxa" w:w="2376"/>
            <w:vAlign w:val="top"/>
          </w:tcPr>
          <w:p>
            <w:pPr>
              <w:spacing w:after="0"/>
            </w:pPr>
            <w:r>
              <w:rPr>
                <w:sz w:val="16"/>
              </w:rPr>
              <w:t>finalize_evidence_package</w:t>
            </w:r>
          </w:p>
        </w:tc>
        <w:tc>
          <w:tcPr>
            <w:tcW w:type="dxa" w:w="7776"/>
            <w:vAlign w:val="top"/>
          </w:tcPr>
          <w:p>
            <w:pPr>
              <w:spacing w:after="0"/>
            </w:pPr>
            <w:r>
              <w:rPr>
                <w:sz w:val="16"/>
              </w:rPr>
              <w:t>Persist and complete; scoring remains deterministic.</w:t>
            </w:r>
          </w:p>
        </w:tc>
      </w:tr>
    </w:tbl>
    <w:p>
      <w:pPr>
        <w:spacing w:after="0"/>
      </w:pPr>
    </w:p>
    <w:p>
      <w:pPr>
        <w:pStyle w:val="Callout"/>
        <w:shd w:fill="EAF2F5"/>
        <w:pBdr>
          <w:left w:val="single" w:sz="18" w:space="5" w:color="4C879B"/>
        </w:pBdr>
      </w:pPr>
      <w:r>
        <w:t>Search is not the agent. The agentic decision is which target and lane to pursue next, whether a candidate is worth fetching, whether more diversity is needed, and when the evidence package is sufficient or must abstain.</w:t>
      </w:r>
    </w:p>
    <w:p>
      <w:pPr>
        <w:pStyle w:val="Heading1"/>
      </w:pPr>
      <w:r>
        <w:t>13. EvidenceRun agent instruction</w:t>
      </w:r>
    </w:p>
    <w:p>
      <w:pPr>
        <w:pStyle w:val="CodeBlock"/>
        <w:shd w:fill="F4F6F7"/>
        <w:pBdr>
          <w:left w:val="single" w:sz="18" w:space="5" w:color="4C879B"/>
        </w:pBdr>
      </w:pPr>
      <w:r>
        <w:t>You are the EvidenceRun agent.</w:t>
      </w:r>
    </w:p>
    <w:p>
      <w:pPr>
        <w:pStyle w:val="CodeBlock"/>
        <w:shd w:fill="F4F6F7"/>
        <w:pBdr>
          <w:left w:val="single" w:sz="18" w:space="5" w:color="4C879B"/>
        </w:pBdr>
      </w:pPr>
      <w:r>
        <w:t xml:space="preserve"> </w:t>
      </w:r>
    </w:p>
    <w:p>
      <w:pPr>
        <w:pStyle w:val="CodeBlock"/>
        <w:shd w:fill="F4F6F7"/>
        <w:pBdr>
          <w:left w:val="single" w:sz="18" w:space="5" w:color="4C879B"/>
        </w:pBdr>
      </w:pPr>
      <w:r>
        <w:t>Your goal is to build a bounded, role-diverse evidence package for the supplied</w:t>
      </w:r>
    </w:p>
    <w:p>
      <w:pPr>
        <w:pStyle w:val="CodeBlock"/>
        <w:shd w:fill="F4F6F7"/>
        <w:pBdr>
          <w:left w:val="single" w:sz="18" w:space="5" w:color="4C879B"/>
        </w:pBdr>
      </w:pPr>
      <w:r>
        <w:t>evidence targets.</w:t>
      </w:r>
    </w:p>
    <w:p>
      <w:pPr>
        <w:pStyle w:val="CodeBlock"/>
        <w:shd w:fill="F4F6F7"/>
        <w:pBdr>
          <w:left w:val="single" w:sz="18" w:space="5" w:color="4C879B"/>
        </w:pBdr>
      </w:pPr>
      <w:r>
        <w:t xml:space="preserve"> </w:t>
      </w:r>
    </w:p>
    <w:p>
      <w:pPr>
        <w:pStyle w:val="CodeBlock"/>
        <w:shd w:fill="F4F6F7"/>
        <w:pBdr>
          <w:left w:val="single" w:sz="18" w:space="5" w:color="4C879B"/>
        </w:pBdr>
      </w:pPr>
      <w:r>
        <w:t>Evaluate evidentiary support, not metaphysical truth. A source may bear on a</w:t>
      </w:r>
    </w:p>
    <w:p>
      <w:pPr>
        <w:pStyle w:val="CodeBlock"/>
        <w:shd w:fill="F4F6F7"/>
        <w:pBdr>
          <w:left w:val="single" w:sz="18" w:space="5" w:color="4C879B"/>
        </w:pBdr>
      </w:pPr>
      <w:r>
        <w:t>target by supporting, refuting, or materially qualifying it. Topic overlap is</w:t>
      </w:r>
    </w:p>
    <w:p>
      <w:pPr>
        <w:pStyle w:val="CodeBlock"/>
        <w:shd w:fill="F4F6F7"/>
        <w:pBdr>
          <w:left w:val="single" w:sz="18" w:space="5" w:color="4C879B"/>
        </w:pBdr>
      </w:pPr>
      <w:r>
        <w:t>not bearing.</w:t>
      </w:r>
    </w:p>
    <w:p>
      <w:pPr>
        <w:pStyle w:val="CodeBlock"/>
        <w:shd w:fill="F4F6F7"/>
        <w:pBdr>
          <w:left w:val="single" w:sz="18" w:space="5" w:color="4C879B"/>
        </w:pBdr>
      </w:pPr>
      <w:r>
        <w:t xml:space="preserve"> </w:t>
      </w:r>
    </w:p>
    <w:p>
      <w:pPr>
        <w:pStyle w:val="CodeBlock"/>
        <w:shd w:fill="F4F6F7"/>
        <w:pBdr>
          <w:left w:val="single" w:sz="18" w:space="5" w:color="4C879B"/>
        </w:pBdr>
      </w:pPr>
      <w:r>
        <w:t>Use target text, scope, identity hints, evidence needs, bearing criteria,</w:t>
      </w:r>
    </w:p>
    <w:p>
      <w:pPr>
        <w:pStyle w:val="CodeBlock"/>
        <w:shd w:fill="F4F6F7"/>
        <w:pBdr>
          <w:left w:val="single" w:sz="18" w:space="5" w:color="4C879B"/>
        </w:pBdr>
      </w:pPr>
      <w:r>
        <w:t>rejection boundaries, and query-lane budgets. Choose which target, lane,</w:t>
      </w:r>
    </w:p>
    <w:p>
      <w:pPr>
        <w:pStyle w:val="CodeBlock"/>
        <w:shd w:fill="F4F6F7"/>
        <w:pBdr>
          <w:left w:val="single" w:sz="18" w:space="5" w:color="4C879B"/>
        </w:pBdr>
      </w:pPr>
      <w:r>
        <w:t>provider, candidate, or fetch action to pursue next based on the current</w:t>
      </w:r>
    </w:p>
    <w:p>
      <w:pPr>
        <w:pStyle w:val="CodeBlock"/>
        <w:shd w:fill="F4F6F7"/>
        <w:pBdr>
          <w:left w:val="single" w:sz="18" w:space="5" w:color="4C879B"/>
        </w:pBdr>
      </w:pPr>
      <w:r>
        <w:t>evidence state.</w:t>
      </w:r>
    </w:p>
    <w:p>
      <w:pPr>
        <w:pStyle w:val="CodeBlock"/>
        <w:shd w:fill="F4F6F7"/>
        <w:pBdr>
          <w:left w:val="single" w:sz="18" w:space="5" w:color="4C879B"/>
        </w:pBdr>
      </w:pPr>
      <w:r>
        <w:t xml:space="preserve"> </w:t>
      </w:r>
    </w:p>
    <w:p>
      <w:pPr>
        <w:pStyle w:val="CodeBlock"/>
        <w:shd w:fill="F4F6F7"/>
        <w:pBdr>
          <w:left w:val="single" w:sz="18" w:space="5" w:color="4C879B"/>
        </w:pBdr>
      </w:pPr>
      <w:r>
        <w:t>Do not change canonical target text. Do not infer stance before bearing. Do not</w:t>
      </w:r>
    </w:p>
    <w:p>
      <w:pPr>
        <w:pStyle w:val="CodeBlock"/>
        <w:shd w:fill="F4F6F7"/>
        <w:pBdr>
          <w:left w:val="single" w:sz="18" w:space="5" w:color="4C879B"/>
        </w:pBdr>
      </w:pPr>
      <w:r>
        <w:t>treat snippets as sufficient when the required proposition is not present.</w:t>
      </w:r>
    </w:p>
    <w:p>
      <w:pPr>
        <w:pStyle w:val="CodeBlock"/>
        <w:shd w:fill="F4F6F7"/>
        <w:pBdr>
          <w:left w:val="single" w:sz="18" w:space="5" w:color="4C879B"/>
        </w:pBdr>
      </w:pPr>
      <w:r>
        <w:t>Prefer primary and high-quality sources appropriate to the target. Preserve</w:t>
      </w:r>
    </w:p>
    <w:p>
      <w:pPr>
        <w:pStyle w:val="CodeBlock"/>
        <w:shd w:fill="F4F6F7"/>
        <w:pBdr>
          <w:left w:val="single" w:sz="18" w:space="5" w:color="4C879B"/>
        </w:pBdr>
      </w:pPr>
      <w:r>
        <w:t>source identity, retrieval provenance, and quoted support within permitted</w:t>
      </w:r>
    </w:p>
    <w:p>
      <w:pPr>
        <w:pStyle w:val="CodeBlock"/>
        <w:shd w:fill="F4F6F7"/>
        <w:pBdr>
          <w:left w:val="single" w:sz="18" w:space="5" w:color="4C879B"/>
        </w:pBdr>
      </w:pPr>
      <w:r>
        <w:t>limits.</w:t>
      </w:r>
    </w:p>
    <w:p>
      <w:pPr>
        <w:pStyle w:val="CodeBlock"/>
        <w:shd w:fill="F4F6F7"/>
        <w:pBdr>
          <w:left w:val="single" w:sz="18" w:space="5" w:color="4C879B"/>
        </w:pBdr>
      </w:pPr>
      <w:r>
        <w:t xml:space="preserve"> </w:t>
      </w:r>
    </w:p>
    <w:p>
      <w:pPr>
        <w:pStyle w:val="CodeBlock"/>
        <w:shd w:fill="F4F6F7"/>
        <w:pBdr>
          <w:left w:val="single" w:sz="18" w:space="5" w:color="4C879B"/>
        </w:pBdr>
      </w:pPr>
      <w:r>
        <w:t>Use the available tools. Validate the package before finalizing. Stop when</w:t>
      </w:r>
    </w:p>
    <w:p>
      <w:pPr>
        <w:pStyle w:val="CodeBlock"/>
        <w:shd w:fill="F4F6F7"/>
        <w:pBdr>
          <w:left w:val="single" w:sz="18" w:space="5" w:color="4C879B"/>
        </w:pBdr>
      </w:pPr>
      <w:r>
        <w:t>coverage and diversity gates pass, budgets are exhausted, or a typed abstention</w:t>
      </w:r>
    </w:p>
    <w:p>
      <w:pPr>
        <w:pStyle w:val="CodeBlock"/>
        <w:shd w:fill="F4F6F7"/>
        <w:pBdr>
          <w:left w:val="single" w:sz="18" w:space="5" w:color="4C879B"/>
        </w:pBdr>
      </w:pPr>
      <w:r>
        <w:t>is warranted.</w:t>
      </w:r>
    </w:p>
    <w:p>
      <w:pPr>
        <w:pStyle w:val="Heading1"/>
      </w:pPr>
      <w:r>
        <w:t>14. API and persistence</w:t>
      </w:r>
    </w:p>
    <w:p>
      <w:pPr>
        <w:pStyle w:val="CodeBlock"/>
        <w:shd w:fill="F4F6F7"/>
        <w:pBdr>
          <w:left w:val="single" w:sz="18" w:space="5" w:color="4C879B"/>
        </w:pBdr>
      </w:pPr>
      <w:r>
        <w:t>POST /api/agent-runs/claim-foundry</w:t>
      </w:r>
    </w:p>
    <w:p>
      <w:pPr>
        <w:pStyle w:val="CodeBlock"/>
        <w:shd w:fill="F4F6F7"/>
        <w:pBdr>
          <w:left w:val="single" w:sz="18" w:space="5" w:color="4C879B"/>
        </w:pBdr>
      </w:pPr>
      <w:r>
        <w:t xml:space="preserve">  body: { contentId, model?, promptVersion?, budgetProfile? }</w:t>
      </w:r>
    </w:p>
    <w:p>
      <w:pPr>
        <w:pStyle w:val="CodeBlock"/>
        <w:shd w:fill="F4F6F7"/>
        <w:pBdr>
          <w:left w:val="single" w:sz="18" w:space="5" w:color="4C879B"/>
        </w:pBdr>
      </w:pPr>
      <w:r>
        <w:t xml:space="preserve">  returns: { runId, status, streamUrl }</w:t>
      </w:r>
    </w:p>
    <w:p>
      <w:pPr>
        <w:pStyle w:val="CodeBlock"/>
        <w:shd w:fill="F4F6F7"/>
        <w:pBdr>
          <w:left w:val="single" w:sz="18" w:space="5" w:color="4C879B"/>
        </w:pBdr>
      </w:pPr>
      <w:r>
        <w:t xml:space="preserve"> </w:t>
      </w:r>
    </w:p>
    <w:p>
      <w:pPr>
        <w:pStyle w:val="CodeBlock"/>
        <w:shd w:fill="F4F6F7"/>
        <w:pBdr>
          <w:left w:val="single" w:sz="18" w:space="5" w:color="4C879B"/>
        </w:pBdr>
      </w:pPr>
      <w:r>
        <w:t>GET /api/agent-runs/:runId</w:t>
      </w:r>
    </w:p>
    <w:p>
      <w:pPr>
        <w:pStyle w:val="CodeBlock"/>
        <w:shd w:fill="F4F6F7"/>
        <w:pBdr>
          <w:left w:val="single" w:sz="18" w:space="5" w:color="4C879B"/>
        </w:pBdr>
      </w:pPr>
      <w:r>
        <w:t xml:space="preserve">  returns: persisted state, progress, diagnostics, artifacts</w:t>
      </w:r>
    </w:p>
    <w:p>
      <w:pPr>
        <w:pStyle w:val="CodeBlock"/>
        <w:shd w:fill="F4F6F7"/>
        <w:pBdr>
          <w:left w:val="single" w:sz="18" w:space="5" w:color="4C879B"/>
        </w:pBdr>
      </w:pPr>
      <w:r>
        <w:t xml:space="preserve"> </w:t>
      </w:r>
    </w:p>
    <w:p>
      <w:pPr>
        <w:pStyle w:val="CodeBlock"/>
        <w:shd w:fill="F4F6F7"/>
        <w:pBdr>
          <w:left w:val="single" w:sz="18" w:space="5" w:color="4C879B"/>
        </w:pBdr>
      </w:pPr>
      <w:r>
        <w:t>POST /api/agent-runs/:runId/resume</w:t>
      </w:r>
    </w:p>
    <w:p>
      <w:pPr>
        <w:pStyle w:val="CodeBlock"/>
        <w:shd w:fill="F4F6F7"/>
        <w:pBdr>
          <w:left w:val="single" w:sz="18" w:space="5" w:color="4C879B"/>
        </w:pBdr>
      </w:pPr>
      <w:r>
        <w:t xml:space="preserve">  body: { approval?, humanPatch?, instruction? }</w:t>
      </w:r>
    </w:p>
    <w:p>
      <w:pPr>
        <w:pStyle w:val="CodeBlock"/>
        <w:shd w:fill="F4F6F7"/>
        <w:pBdr>
          <w:left w:val="single" w:sz="18" w:space="5" w:color="4C879B"/>
        </w:pBdr>
      </w:pPr>
      <w:r>
        <w:t xml:space="preserve"> </w:t>
      </w:r>
    </w:p>
    <w:p>
      <w:pPr>
        <w:pStyle w:val="CodeBlock"/>
        <w:shd w:fill="F4F6F7"/>
        <w:pBdr>
          <w:left w:val="single" w:sz="18" w:space="5" w:color="4C879B"/>
        </w:pBdr>
      </w:pPr>
      <w:r>
        <w:t>POST /api/agent-runs/evidence-run</w:t>
      </w:r>
    </w:p>
    <w:p>
      <w:pPr>
        <w:pStyle w:val="CodeBlock"/>
        <w:shd w:fill="F4F6F7"/>
        <w:pBdr>
          <w:left w:val="single" w:sz="18" w:space="5" w:color="4C879B"/>
        </w:pBdr>
      </w:pPr>
      <w:r>
        <w:t xml:space="preserve">  body: { claimPackageId, targetIds?, budgetProfile? }</w:t>
      </w:r>
    </w:p>
    <w:p>
      <w:r>
        <w:t>Use a job queue only for execution reliability, not to pretend the work is agentic. Each run should have an idempotency key, lease/heartbeat, persisted state transitions, retry classification, and a terminal status.</w:t>
      </w:r>
    </w:p>
    <w:p>
      <w:pPr>
        <w:pStyle w:val="ListBullet"/>
        <w:spacing w:after="40"/>
      </w:pPr>
      <w:r>
        <w:t>Persist raw model events or provider response IDs where permitted.</w:t>
      </w:r>
    </w:p>
    <w:p>
      <w:pPr>
        <w:pStyle w:val="ListBullet"/>
        <w:spacing w:after="40"/>
      </w:pPr>
      <w:r>
        <w:t>Persist every tool call name, validated arguments, result hash, duration, and error.</w:t>
      </w:r>
    </w:p>
    <w:p>
      <w:pPr>
        <w:pStyle w:val="ListBullet"/>
        <w:spacing w:after="40"/>
      </w:pPr>
      <w:r>
        <w:t>Persist prompt version, tool schema version, model, model settings, code commit, and source manifest hash.</w:t>
      </w:r>
    </w:p>
    <w:p>
      <w:pPr>
        <w:pStyle w:val="ListBullet"/>
        <w:spacing w:after="40"/>
      </w:pPr>
      <w:r>
        <w:t>Separate retryable infrastructure failures from semantic repair.</w:t>
      </w:r>
    </w:p>
    <w:p>
      <w:pPr>
        <w:pStyle w:val="ListBullet"/>
        <w:spacing w:after="40"/>
      </w:pPr>
      <w:r>
        <w:t>Never replay a mutating tool without idempotency protection.</w:t>
      </w:r>
    </w:p>
    <w:p>
      <w:pPr>
        <w:pStyle w:val="Heading1"/>
      </w:pPr>
      <w:r>
        <w:t>15. Budgets and stopping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CEAF0"/>
            <w:vAlign w:val="center"/>
          </w:tcPr>
          <w:p>
            <w:r>
              <w:rPr>
                <w:b/>
                <w:sz w:val="17"/>
              </w:rPr>
              <w:t>Boundary</w:t>
            </w:r>
          </w:p>
        </w:tc>
        <w:tc>
          <w:tcPr>
            <w:tcW w:type="dxa" w:w="2952"/>
            <w:shd w:fill="DCEAF0"/>
            <w:vAlign w:val="center"/>
          </w:tcPr>
          <w:p>
            <w:r>
              <w:rPr>
                <w:b/>
                <w:sz w:val="17"/>
              </w:rPr>
              <w:t>Initial claim-agent default</w:t>
            </w:r>
          </w:p>
        </w:tc>
        <w:tc>
          <w:tcPr>
            <w:tcW w:type="dxa" w:w="5256"/>
            <w:shd w:fill="DCEAF0"/>
            <w:vAlign w:val="center"/>
          </w:tcPr>
          <w:p>
            <w:r>
              <w:rPr>
                <w:b/>
                <w:sz w:val="17"/>
              </w:rPr>
              <w:t>Why</w:t>
            </w:r>
          </w:p>
        </w:tc>
      </w:tr>
      <w:tr>
        <w:tc>
          <w:tcPr>
            <w:tcW w:type="dxa" w:w="1944"/>
            <w:vAlign w:val="top"/>
          </w:tcPr>
          <w:p>
            <w:pPr>
              <w:spacing w:after="0"/>
            </w:pPr>
            <w:r>
              <w:rPr>
                <w:sz w:val="16"/>
              </w:rPr>
              <w:t>Model turns</w:t>
            </w:r>
          </w:p>
        </w:tc>
        <w:tc>
          <w:tcPr>
            <w:tcW w:type="dxa" w:w="2952"/>
            <w:vAlign w:val="top"/>
          </w:tcPr>
          <w:p>
            <w:pPr>
              <w:spacing w:after="0"/>
            </w:pPr>
            <w:r>
              <w:rPr>
                <w:sz w:val="16"/>
              </w:rPr>
              <w:t>12</w:t>
            </w:r>
          </w:p>
        </w:tc>
        <w:tc>
          <w:tcPr>
            <w:tcW w:type="dxa" w:w="5256"/>
            <w:vAlign w:val="top"/>
          </w:tcPr>
          <w:p>
            <w:pPr>
              <w:spacing w:after="0"/>
            </w:pPr>
            <w:r>
              <w:rPr>
                <w:sz w:val="16"/>
              </w:rPr>
              <w:t>Enough for inspection, draft, validation, and focused repair.</w:t>
            </w:r>
          </w:p>
        </w:tc>
      </w:tr>
      <w:tr>
        <w:tc>
          <w:tcPr>
            <w:tcW w:type="dxa" w:w="1944"/>
            <w:vAlign w:val="top"/>
          </w:tcPr>
          <w:p>
            <w:pPr>
              <w:spacing w:after="0"/>
            </w:pPr>
            <w:r>
              <w:rPr>
                <w:sz w:val="16"/>
              </w:rPr>
              <w:t>Tool calls</w:t>
            </w:r>
          </w:p>
        </w:tc>
        <w:tc>
          <w:tcPr>
            <w:tcW w:type="dxa" w:w="2952"/>
            <w:vAlign w:val="top"/>
          </w:tcPr>
          <w:p>
            <w:pPr>
              <w:spacing w:after="0"/>
            </w:pPr>
            <w:r>
              <w:rPr>
                <w:sz w:val="16"/>
              </w:rPr>
              <w:t>30</w:t>
            </w:r>
          </w:p>
        </w:tc>
        <w:tc>
          <w:tcPr>
            <w:tcW w:type="dxa" w:w="5256"/>
            <w:vAlign w:val="top"/>
          </w:tcPr>
          <w:p>
            <w:pPr>
              <w:spacing w:after="0"/>
            </w:pPr>
            <w:r>
              <w:rPr>
                <w:sz w:val="16"/>
              </w:rPr>
              <w:t>Prevents wandering while allowing selective source inspection.</w:t>
            </w:r>
          </w:p>
        </w:tc>
      </w:tr>
      <w:tr>
        <w:tc>
          <w:tcPr>
            <w:tcW w:type="dxa" w:w="1944"/>
            <w:vAlign w:val="top"/>
          </w:tcPr>
          <w:p>
            <w:pPr>
              <w:spacing w:after="0"/>
            </w:pPr>
            <w:r>
              <w:rPr>
                <w:sz w:val="16"/>
              </w:rPr>
              <w:t>Repair rounds</w:t>
            </w:r>
          </w:p>
        </w:tc>
        <w:tc>
          <w:tcPr>
            <w:tcW w:type="dxa" w:w="2952"/>
            <w:vAlign w:val="top"/>
          </w:tcPr>
          <w:p>
            <w:pPr>
              <w:spacing w:after="0"/>
            </w:pPr>
            <w:r>
              <w:rPr>
                <w:sz w:val="16"/>
              </w:rPr>
              <w:t>2</w:t>
            </w:r>
          </w:p>
        </w:tc>
        <w:tc>
          <w:tcPr>
            <w:tcW w:type="dxa" w:w="5256"/>
            <w:vAlign w:val="top"/>
          </w:tcPr>
          <w:p>
            <w:pPr>
              <w:spacing w:after="0"/>
            </w:pPr>
            <w:r>
              <w:rPr>
                <w:sz w:val="16"/>
              </w:rPr>
              <w:t>A third repair usually signals a prompt/tool/schema defect.</w:t>
            </w:r>
          </w:p>
        </w:tc>
      </w:tr>
      <w:tr>
        <w:tc>
          <w:tcPr>
            <w:tcW w:type="dxa" w:w="1944"/>
            <w:vAlign w:val="top"/>
          </w:tcPr>
          <w:p>
            <w:pPr>
              <w:spacing w:after="0"/>
            </w:pPr>
            <w:r>
              <w:rPr>
                <w:sz w:val="16"/>
              </w:rPr>
              <w:t>Content read</w:t>
            </w:r>
          </w:p>
        </w:tc>
        <w:tc>
          <w:tcPr>
            <w:tcW w:type="dxa" w:w="2952"/>
            <w:vAlign w:val="top"/>
          </w:tcPr>
          <w:p>
            <w:pPr>
              <w:spacing w:after="0"/>
            </w:pPr>
            <w:r>
              <w:rPr>
                <w:sz w:val="16"/>
              </w:rPr>
              <w:t>Entire short content; chunked long content</w:t>
            </w:r>
          </w:p>
        </w:tc>
        <w:tc>
          <w:tcPr>
            <w:tcW w:type="dxa" w:w="5256"/>
            <w:vAlign w:val="top"/>
          </w:tcPr>
          <w:p>
            <w:pPr>
              <w:spacing w:after="0"/>
            </w:pPr>
            <w:r>
              <w:rPr>
                <w:sz w:val="16"/>
              </w:rPr>
              <w:t>Avoid arbitrary truncation while controlling context.</w:t>
            </w:r>
          </w:p>
        </w:tc>
      </w:tr>
      <w:tr>
        <w:tc>
          <w:tcPr>
            <w:tcW w:type="dxa" w:w="1944"/>
            <w:vAlign w:val="top"/>
          </w:tcPr>
          <w:p>
            <w:pPr>
              <w:spacing w:after="0"/>
            </w:pPr>
            <w:r>
              <w:rPr>
                <w:sz w:val="16"/>
              </w:rPr>
              <w:t>Wall-clock</w:t>
            </w:r>
          </w:p>
        </w:tc>
        <w:tc>
          <w:tcPr>
            <w:tcW w:type="dxa" w:w="2952"/>
            <w:vAlign w:val="top"/>
          </w:tcPr>
          <w:p>
            <w:pPr>
              <w:spacing w:after="0"/>
            </w:pPr>
            <w:r>
              <w:rPr>
                <w:sz w:val="16"/>
              </w:rPr>
              <w:t>Application-configured</w:t>
            </w:r>
          </w:p>
        </w:tc>
        <w:tc>
          <w:tcPr>
            <w:tcW w:type="dxa" w:w="5256"/>
            <w:vAlign w:val="top"/>
          </w:tcPr>
          <w:p>
            <w:pPr>
              <w:spacing w:after="0"/>
            </w:pPr>
            <w:r>
              <w:rPr>
                <w:sz w:val="16"/>
              </w:rPr>
              <w:t>Classify timeout distinctly from semantic failure.</w:t>
            </w:r>
          </w:p>
        </w:tc>
      </w:tr>
      <w:tr>
        <w:tc>
          <w:tcPr>
            <w:tcW w:type="dxa" w:w="1944"/>
            <w:vAlign w:val="top"/>
          </w:tcPr>
          <w:p>
            <w:pPr>
              <w:spacing w:after="0"/>
            </w:pPr>
            <w:r>
              <w:rPr>
                <w:sz w:val="16"/>
              </w:rPr>
              <w:t>Finalization</w:t>
            </w:r>
          </w:p>
        </w:tc>
        <w:tc>
          <w:tcPr>
            <w:tcW w:type="dxa" w:w="2952"/>
            <w:vAlign w:val="top"/>
          </w:tcPr>
          <w:p>
            <w:pPr>
              <w:spacing w:after="0"/>
            </w:pPr>
            <w:r>
              <w:rPr>
                <w:sz w:val="16"/>
              </w:rPr>
              <w:t>Hard gates pass or typed abstention</w:t>
            </w:r>
          </w:p>
        </w:tc>
        <w:tc>
          <w:tcPr>
            <w:tcW w:type="dxa" w:w="5256"/>
            <w:vAlign w:val="top"/>
          </w:tcPr>
          <w:p>
            <w:pPr>
              <w:spacing w:after="0"/>
            </w:pPr>
            <w:r>
              <w:rPr>
                <w:sz w:val="16"/>
              </w:rPr>
              <w:t>No confident mush.</w:t>
            </w:r>
          </w:p>
        </w:tc>
      </w:tr>
    </w:tbl>
    <w:p>
      <w:pPr>
        <w:spacing w:after="0"/>
      </w:pPr>
    </w:p>
    <w:p>
      <w:r>
        <w:t>These are starting values, not doctrine. Record the actual tool trajectory and tune budgets from evidence.</w:t>
      </w:r>
    </w:p>
    <w:p>
      <w:pPr>
        <w:pStyle w:val="Heading1"/>
      </w:pPr>
      <w:r>
        <w:t>16. Evaluation</w:t>
      </w:r>
    </w:p>
    <w:p>
      <w:r>
        <w:t>The agent must beat or materially complement CF5 on semantic quality, not merely produce more elaborate traces.</w:t>
      </w:r>
    </w:p>
    <w:p>
      <w:pPr>
        <w:pStyle w:val="ListBullet"/>
        <w:spacing w:after="40"/>
      </w:pPr>
      <w:r>
        <w:t>Gold crux recall and material omission rate.</w:t>
      </w:r>
    </w:p>
    <w:p>
      <w:pPr>
        <w:pStyle w:val="ListBullet"/>
        <w:spacing w:after="40"/>
      </w:pPr>
      <w:r>
        <w:t>Atomicity measured by independent-evidence verdictability, not conjunction counting.</w:t>
      </w:r>
    </w:p>
    <w:p>
      <w:pPr>
        <w:pStyle w:val="ListBullet"/>
        <w:spacing w:after="40"/>
      </w:pPr>
      <w:r>
        <w:t>Grounding validity and attribution-layer accuracy.</w:t>
      </w:r>
    </w:p>
    <w:p>
      <w:pPr>
        <w:pStyle w:val="ListBullet"/>
        <w:spacing w:after="40"/>
      </w:pPr>
      <w:r>
        <w:t>Treatment/stance accuracy for adopted, challenged, and reported material.</w:t>
      </w:r>
    </w:p>
    <w:p>
      <w:pPr>
        <w:pStyle w:val="ListBullet"/>
        <w:spacing w:after="40"/>
      </w:pPr>
      <w:r>
        <w:t>Duplicate and over-selection rates.</w:t>
      </w:r>
    </w:p>
    <w:p>
      <w:pPr>
        <w:pStyle w:val="ListBullet"/>
        <w:spacing w:after="40"/>
      </w:pPr>
      <w:r>
        <w:t>Run-to-run package stability.</w:t>
      </w:r>
    </w:p>
    <w:p>
      <w:pPr>
        <w:pStyle w:val="ListBullet"/>
        <w:spacing w:after="40"/>
      </w:pPr>
      <w:r>
        <w:t>Repair effectiveness: findings before and after each patch.</w:t>
      </w:r>
    </w:p>
    <w:p>
      <w:pPr>
        <w:pStyle w:val="ListBullet"/>
        <w:spacing w:after="40"/>
      </w:pPr>
      <w:r>
        <w:t>Tool efficiency, model calls, tokens, cost, and latency.</w:t>
      </w:r>
    </w:p>
    <w:p>
      <w:pPr>
        <w:pStyle w:val="ListBullet"/>
        <w:spacing w:after="40"/>
      </w:pPr>
      <w:r>
        <w:t>Abstention quality and failure transparency.</w:t>
      </w:r>
    </w:p>
    <w:p>
      <w:pPr>
        <w:pStyle w:val="Callout"/>
        <w:shd w:fill="EAF2F5"/>
        <w:pBdr>
          <w:left w:val="single" w:sz="18" w:space="5" w:color="4C879B"/>
        </w:pBdr>
      </w:pPr>
      <w:r>
        <w:t>A successful agent does not need identical tool trajectories across repeats. It does need consistently good final packages and intelligible reasons for divergent moves.</w:t>
      </w:r>
    </w:p>
    <w:p>
      <w:pPr>
        <w:pStyle w:val="Heading1"/>
      </w:pPr>
      <w:r>
        <w:t>17. Minimum real-agent milestone</w:t>
      </w:r>
    </w:p>
    <w:p>
      <w:r>
        <w:t>Do not build all of CF6 before learning whether agency helps. The first shippable experiment is:</w:t>
      </w:r>
    </w:p>
    <w:p>
      <w:pPr>
        <w:pStyle w:val="ListNumber"/>
        <w:spacing w:after="60"/>
      </w:pPr>
      <w:r>
        <w:t>One stored F02/F03/F06 content fixture.</w:t>
      </w:r>
    </w:p>
    <w:p>
      <w:pPr>
        <w:pStyle w:val="ListNumber"/>
        <w:spacing w:after="60"/>
      </w:pPr>
      <w:r>
        <w:t>One ClaimFoundry manager agent.</w:t>
      </w:r>
    </w:p>
    <w:p>
      <w:pPr>
        <w:pStyle w:val="ListNumber"/>
        <w:spacing w:after="60"/>
      </w:pPr>
      <w:r>
        <w:t>Tools: get_content_map, read_source_units, find_source_units, save_working_package, validate_working_package, apply_package_patch, finalize_claim_package.</w:t>
      </w:r>
    </w:p>
    <w:p>
      <w:pPr>
        <w:pStyle w:val="ListNumber"/>
        <w:spacing w:after="60"/>
      </w:pPr>
      <w:r>
        <w:t>Existing CF5 package schema or a strict compatible projection.</w:t>
      </w:r>
    </w:p>
    <w:p>
      <w:pPr>
        <w:pStyle w:val="ListNumber"/>
        <w:spacing w:after="60"/>
      </w:pPr>
      <w:r>
        <w:t>A persisted state row and tool-event table.</w:t>
      </w:r>
    </w:p>
    <w:p>
      <w:pPr>
        <w:pStyle w:val="ListNumber"/>
        <w:spacing w:after="60"/>
      </w:pPr>
      <w:r>
        <w:t>Twelve-turn maximum and two repair rounds.</w:t>
      </w:r>
    </w:p>
    <w:p>
      <w:pPr>
        <w:pStyle w:val="ListNumber"/>
        <w:spacing w:after="60"/>
      </w:pPr>
      <w:r>
        <w:t>A comparison report showing final rows, validation history, and tool trajectory beside CF5.</w:t>
      </w:r>
    </w:p>
    <w:p>
      <w:r>
        <w:t>If this vertical slice cannot beat the fixed pipeline or reveal why it fails, stop. Do not add subagents, memory layers, planners, or retrieval.</w:t>
      </w:r>
    </w:p>
    <w:p>
      <w:pPr>
        <w:pStyle w:val="Heading1"/>
      </w:pPr>
      <w:r>
        <w:t>18. Claude implementation prompts</w:t>
      </w:r>
    </w:p>
    <w:p>
      <w:r>
        <w:t>Run these sequentially in Claude Code. Each prompt assumes the governing MCT is available and instructs Claude not to repeat or redesign settled architecture.</w:t>
      </w:r>
    </w:p>
    <w:p>
      <w:pPr>
        <w:pStyle w:val="Heading2"/>
      </w:pPr>
      <w:r>
        <w:t>Prompt 1 — Repository audit and integration map</w:t>
      </w:r>
    </w:p>
    <w:p>
      <w:pPr>
        <w:pStyle w:val="CodeBlock"/>
        <w:shd w:fill="F4F6F7"/>
        <w:pBdr>
          <w:left w:val="single" w:sz="18" w:space="5" w:color="4C879B"/>
        </w:pBdr>
      </w:pPr>
      <w:r>
        <w:t>Use CF6_REAL_AGENT_BUILD_MCT_2026-07-27.md as the governing specification.</w:t>
      </w:r>
    </w:p>
    <w:p>
      <w:pPr>
        <w:pStyle w:val="CodeBlock"/>
        <w:shd w:fill="F4F6F7"/>
        <w:pBdr>
          <w:left w:val="single" w:sz="18" w:space="5" w:color="4C879B"/>
        </w:pBdr>
      </w:pPr>
      <w:r>
        <w:t xml:space="preserve"> </w:t>
      </w:r>
    </w:p>
    <w:p>
      <w:pPr>
        <w:pStyle w:val="CodeBlock"/>
        <w:shd w:fill="F4F6F7"/>
        <w:pBdr>
          <w:left w:val="single" w:sz="18" w:space="5" w:color="4C879B"/>
        </w:pBdr>
      </w:pPr>
      <w:r>
        <w:t>Do not change code yet.</w:t>
      </w:r>
    </w:p>
    <w:p>
      <w:pPr>
        <w:pStyle w:val="CodeBlock"/>
        <w:shd w:fill="F4F6F7"/>
        <w:pBdr>
          <w:left w:val="single" w:sz="18" w:space="5" w:color="4C879B"/>
        </w:pBdr>
      </w:pPr>
      <w:r>
        <w:t xml:space="preserve"> </w:t>
      </w:r>
    </w:p>
    <w:p>
      <w:pPr>
        <w:pStyle w:val="CodeBlock"/>
        <w:shd w:fill="F4F6F7"/>
        <w:pBdr>
          <w:left w:val="single" w:sz="18" w:space="5" w:color="4C879B"/>
        </w:pBdr>
      </w:pPr>
      <w:r>
        <w:t>Inspect the current VeriStrata repository and identify:</w:t>
      </w:r>
    </w:p>
    <w:p>
      <w:pPr>
        <w:pStyle w:val="CodeBlock"/>
        <w:shd w:fill="F4F6F7"/>
        <w:pBdr>
          <w:left w:val="single" w:sz="18" w:space="5" w:color="4C879B"/>
        </w:pBdr>
      </w:pPr>
      <w:r>
        <w:t>1. the current CF5 service entry point;</w:t>
      </w:r>
    </w:p>
    <w:p>
      <w:pPr>
        <w:pStyle w:val="CodeBlock"/>
        <w:shd w:fill="F4F6F7"/>
        <w:pBdr>
          <w:left w:val="single" w:sz="18" w:space="5" w:color="4C879B"/>
        </w:pBdr>
      </w:pPr>
      <w:r>
        <w:t>2. preprocessing and source-unit APIs;</w:t>
      </w:r>
    </w:p>
    <w:p>
      <w:pPr>
        <w:pStyle w:val="CodeBlock"/>
        <w:shd w:fill="F4F6F7"/>
        <w:pBdr>
          <w:left w:val="single" w:sz="18" w:space="5" w:color="4C879B"/>
        </w:pBdr>
      </w:pPr>
      <w:r>
        <w:t>3. claim package schemas and validators;</w:t>
      </w:r>
    </w:p>
    <w:p>
      <w:pPr>
        <w:pStyle w:val="CodeBlock"/>
        <w:shd w:fill="F4F6F7"/>
        <w:pBdr>
          <w:left w:val="single" w:sz="18" w:space="5" w:color="4C879B"/>
        </w:pBdr>
      </w:pPr>
      <w:r>
        <w:t>4. persistence paths;</w:t>
      </w:r>
    </w:p>
    <w:p>
      <w:pPr>
        <w:pStyle w:val="CodeBlock"/>
        <w:shd w:fill="F4F6F7"/>
        <w:pBdr>
          <w:left w:val="single" w:sz="18" w:space="5" w:color="4C879B"/>
        </w:pBdr>
      </w:pPr>
      <w:r>
        <w:t>5. experiment fixtures and report builder;</w:t>
      </w:r>
    </w:p>
    <w:p>
      <w:pPr>
        <w:pStyle w:val="CodeBlock"/>
        <w:shd w:fill="F4F6F7"/>
        <w:pBdr>
          <w:left w:val="single" w:sz="18" w:space="5" w:color="4C879B"/>
        </w:pBdr>
      </w:pPr>
      <w:r>
        <w:t>6. model/provider abstractions already present;</w:t>
      </w:r>
    </w:p>
    <w:p>
      <w:pPr>
        <w:pStyle w:val="CodeBlock"/>
        <w:shd w:fill="F4F6F7"/>
        <w:pBdr>
          <w:left w:val="single" w:sz="18" w:space="5" w:color="4C879B"/>
        </w:pBdr>
      </w:pPr>
      <w:r>
        <w:t>7. the smallest insertion points for a parallel agent-backed path.</w:t>
      </w:r>
    </w:p>
    <w:p>
      <w:pPr>
        <w:pStyle w:val="CodeBlock"/>
        <w:shd w:fill="F4F6F7"/>
        <w:pBdr>
          <w:left w:val="single" w:sz="18" w:space="5" w:color="4C879B"/>
        </w:pBdr>
      </w:pPr>
      <w:r>
        <w:t xml:space="preserve"> </w:t>
      </w:r>
    </w:p>
    <w:p>
      <w:pPr>
        <w:pStyle w:val="CodeBlock"/>
        <w:shd w:fill="F4F6F7"/>
        <w:pBdr>
          <w:left w:val="single" w:sz="18" w:space="5" w:color="4C879B"/>
        </w:pBdr>
      </w:pPr>
      <w:r>
        <w:t>Produce:</w:t>
      </w:r>
    </w:p>
    <w:p>
      <w:pPr>
        <w:pStyle w:val="CodeBlock"/>
        <w:shd w:fill="F4F6F7"/>
        <w:pBdr>
          <w:left w:val="single" w:sz="18" w:space="5" w:color="4C879B"/>
        </w:pBdr>
      </w:pPr>
      <w:r>
        <w:t>- backend/agents/CF6_INTEGRATION_MAP.md</w:t>
      </w:r>
    </w:p>
    <w:p>
      <w:pPr>
        <w:pStyle w:val="CodeBlock"/>
        <w:shd w:fill="F4F6F7"/>
        <w:pBdr>
          <w:left w:val="single" w:sz="18" w:space="5" w:color="4C879B"/>
        </w:pBdr>
      </w:pPr>
      <w:r>
        <w:t>- a proposed exact file list for Milestone 1</w:t>
      </w:r>
    </w:p>
    <w:p>
      <w:pPr>
        <w:pStyle w:val="CodeBlock"/>
        <w:shd w:fill="F4F6F7"/>
        <w:pBdr>
          <w:left w:val="single" w:sz="18" w:space="5" w:color="4C879B"/>
        </w:pBdr>
      </w:pPr>
      <w:r>
        <w:t>- risks caused by current uncommitted tracked changes</w:t>
      </w:r>
    </w:p>
    <w:p>
      <w:pPr>
        <w:pStyle w:val="CodeBlock"/>
        <w:shd w:fill="F4F6F7"/>
        <w:pBdr>
          <w:left w:val="single" w:sz="18" w:space="5" w:color="4C879B"/>
        </w:pBdr>
      </w:pPr>
      <w:r>
        <w:t xml:space="preserve"> </w:t>
      </w:r>
    </w:p>
    <w:p>
      <w:pPr>
        <w:pStyle w:val="CodeBlock"/>
        <w:shd w:fill="F4F6F7"/>
        <w:pBdr>
          <w:left w:val="single" w:sz="18" w:space="5" w:color="4C879B"/>
        </w:pBdr>
      </w:pPr>
      <w:r>
        <w:t>Do not restate the MCT. Cite actual files and exported functions. Do not propose rewriting working CF5 logic.</w:t>
      </w:r>
    </w:p>
    <w:p>
      <w:pPr>
        <w:pStyle w:val="Heading2"/>
      </w:pPr>
      <w:r>
        <w:t>Prompt 2 — Install SDK and create smoke test</w:t>
      </w:r>
    </w:p>
    <w:p>
      <w:pPr>
        <w:pStyle w:val="CodeBlock"/>
        <w:shd w:fill="F4F6F7"/>
        <w:pBdr>
          <w:left w:val="single" w:sz="18" w:space="5" w:color="4C879B"/>
        </w:pBdr>
      </w:pPr>
      <w:r>
        <w:t>Use the CF6 MCT and the completed integration map.</w:t>
      </w:r>
    </w:p>
    <w:p>
      <w:pPr>
        <w:pStyle w:val="CodeBlock"/>
        <w:shd w:fill="F4F6F7"/>
        <w:pBdr>
          <w:left w:val="single" w:sz="18" w:space="5" w:color="4C879B"/>
        </w:pBdr>
      </w:pPr>
      <w:r>
        <w:t xml:space="preserve"> </w:t>
      </w:r>
    </w:p>
    <w:p>
      <w:pPr>
        <w:pStyle w:val="CodeBlock"/>
        <w:shd w:fill="F4F6F7"/>
        <w:pBdr>
          <w:left w:val="single" w:sz="18" w:space="5" w:color="4C879B"/>
        </w:pBdr>
      </w:pPr>
      <w:r>
        <w:t>Implement only the agent-runtime scaffold.</w:t>
      </w:r>
    </w:p>
    <w:p>
      <w:pPr>
        <w:pStyle w:val="CodeBlock"/>
        <w:shd w:fill="F4F6F7"/>
        <w:pBdr>
          <w:left w:val="single" w:sz="18" w:space="5" w:color="4C879B"/>
        </w:pBdr>
      </w:pPr>
      <w:r>
        <w:t xml:space="preserve"> </w:t>
      </w:r>
    </w:p>
    <w:p>
      <w:pPr>
        <w:pStyle w:val="CodeBlock"/>
        <w:shd w:fill="F4F6F7"/>
        <w:pBdr>
          <w:left w:val="single" w:sz="18" w:space="5" w:color="4C879B"/>
        </w:pBdr>
      </w:pPr>
      <w:r>
        <w:t>Tasks:</w:t>
      </w:r>
    </w:p>
    <w:p>
      <w:pPr>
        <w:pStyle w:val="CodeBlock"/>
        <w:shd w:fill="F4F6F7"/>
        <w:pBdr>
          <w:left w:val="single" w:sz="18" w:space="5" w:color="4C879B"/>
        </w:pBdr>
      </w:pPr>
      <w:r>
        <w:t>1. install @openai/agents and Zod v4 using the repository's package manager;</w:t>
      </w:r>
    </w:p>
    <w:p>
      <w:pPr>
        <w:pStyle w:val="CodeBlock"/>
        <w:shd w:fill="F4F6F7"/>
        <w:pBdr>
          <w:left w:val="single" w:sz="18" w:space="5" w:color="4C879B"/>
        </w:pBdr>
      </w:pPr>
      <w:r>
        <w:t>2. add a provider-neutral backend/agents/shared runtime boundary;</w:t>
      </w:r>
    </w:p>
    <w:p>
      <w:pPr>
        <w:pStyle w:val="CodeBlock"/>
        <w:shd w:fill="F4F6F7"/>
        <w:pBdr>
          <w:left w:val="single" w:sz="18" w:space="5" w:color="4C879B"/>
        </w:pBdr>
      </w:pPr>
      <w:r>
        <w:t>3. add environment validation for the agent model and API key;</w:t>
      </w:r>
    </w:p>
    <w:p>
      <w:pPr>
        <w:pStyle w:val="CodeBlock"/>
        <w:shd w:fill="F4F6F7"/>
        <w:pBdr>
          <w:left w:val="single" w:sz="18" w:space="5" w:color="4C879B"/>
        </w:pBdr>
      </w:pPr>
      <w:r>
        <w:t>4. create a minimal non-production smoke agent with one harmless typed function tool;</w:t>
      </w:r>
    </w:p>
    <w:p>
      <w:pPr>
        <w:pStyle w:val="CodeBlock"/>
        <w:shd w:fill="F4F6F7"/>
        <w:pBdr>
          <w:left w:val="single" w:sz="18" w:space="5" w:color="4C879B"/>
        </w:pBdr>
      </w:pPr>
      <w:r>
        <w:t>5. add one test proving the SDK-managed tool loop executes;</w:t>
      </w:r>
    </w:p>
    <w:p>
      <w:pPr>
        <w:pStyle w:val="CodeBlock"/>
        <w:shd w:fill="F4F6F7"/>
        <w:pBdr>
          <w:left w:val="single" w:sz="18" w:space="5" w:color="4C879B"/>
        </w:pBdr>
      </w:pPr>
      <w:r>
        <w:t>6. document commands to run the smoke test.</w:t>
      </w:r>
    </w:p>
    <w:p>
      <w:pPr>
        <w:pStyle w:val="CodeBlock"/>
        <w:shd w:fill="F4F6F7"/>
        <w:pBdr>
          <w:left w:val="single" w:sz="18" w:space="5" w:color="4C879B"/>
        </w:pBdr>
      </w:pPr>
      <w:r>
        <w:t xml:space="preserve"> </w:t>
      </w:r>
    </w:p>
    <w:p>
      <w:pPr>
        <w:pStyle w:val="CodeBlock"/>
        <w:shd w:fill="F4F6F7"/>
        <w:pBdr>
          <w:left w:val="single" w:sz="18" w:space="5" w:color="4C879B"/>
        </w:pBdr>
      </w:pPr>
      <w:r>
        <w:t>Do not integrate ClaimFoundry yet.</w:t>
      </w:r>
    </w:p>
    <w:p>
      <w:pPr>
        <w:pStyle w:val="CodeBlock"/>
        <w:shd w:fill="F4F6F7"/>
        <w:pBdr>
          <w:left w:val="single" w:sz="18" w:space="5" w:color="4C879B"/>
        </w:pBdr>
      </w:pPr>
      <w:r>
        <w:t>Do not change CF5 behavior.</w:t>
      </w:r>
    </w:p>
    <w:p>
      <w:pPr>
        <w:pStyle w:val="CodeBlock"/>
        <w:shd w:fill="F4F6F7"/>
        <w:pBdr>
          <w:left w:val="single" w:sz="18" w:space="5" w:color="4C879B"/>
        </w:pBdr>
      </w:pPr>
      <w:r>
        <w:t>Do not add another agent framework.</w:t>
      </w:r>
    </w:p>
    <w:p>
      <w:pPr>
        <w:pStyle w:val="CodeBlock"/>
        <w:shd w:fill="F4F6F7"/>
        <w:pBdr>
          <w:left w:val="single" w:sz="18" w:space="5" w:color="4C879B"/>
        </w:pBdr>
      </w:pPr>
      <w:r>
        <w:t>Report exact tracked files changed and generated artifacts.</w:t>
      </w:r>
    </w:p>
    <w:p>
      <w:pPr>
        <w:pStyle w:val="Heading2"/>
      </w:pPr>
      <w:r>
        <w:t>Prompt 3 — Persisted state and domain tool contracts</w:t>
      </w:r>
    </w:p>
    <w:p>
      <w:pPr>
        <w:pStyle w:val="CodeBlock"/>
        <w:shd w:fill="F4F6F7"/>
        <w:pBdr>
          <w:left w:val="single" w:sz="18" w:space="5" w:color="4C879B"/>
        </w:pBdr>
      </w:pPr>
      <w:r>
        <w:t>Use the CF6 MCT and existing repository types.</w:t>
      </w:r>
    </w:p>
    <w:p>
      <w:pPr>
        <w:pStyle w:val="CodeBlock"/>
        <w:shd w:fill="F4F6F7"/>
        <w:pBdr>
          <w:left w:val="single" w:sz="18" w:space="5" w:color="4C879B"/>
        </w:pBdr>
      </w:pPr>
      <w:r>
        <w:t xml:space="preserve"> </w:t>
      </w:r>
    </w:p>
    <w:p>
      <w:pPr>
        <w:pStyle w:val="CodeBlock"/>
        <w:shd w:fill="F4F6F7"/>
        <w:pBdr>
          <w:left w:val="single" w:sz="18" w:space="5" w:color="4C879B"/>
        </w:pBdr>
      </w:pPr>
      <w:r>
        <w:t>Implement ClaimFoundryRunState, run budgets, state persistence, and the seven ClaimFoundry tool contracts:</w:t>
      </w:r>
    </w:p>
    <w:p>
      <w:pPr>
        <w:pStyle w:val="CodeBlock"/>
        <w:shd w:fill="F4F6F7"/>
        <w:pBdr>
          <w:left w:val="single" w:sz="18" w:space="5" w:color="4C879B"/>
        </w:pBdr>
      </w:pPr>
      <w:r>
        <w:t>- get_content_map</w:t>
      </w:r>
    </w:p>
    <w:p>
      <w:pPr>
        <w:pStyle w:val="CodeBlock"/>
        <w:shd w:fill="F4F6F7"/>
        <w:pBdr>
          <w:left w:val="single" w:sz="18" w:space="5" w:color="4C879B"/>
        </w:pBdr>
      </w:pPr>
      <w:r>
        <w:t>- read_source_units</w:t>
      </w:r>
    </w:p>
    <w:p>
      <w:pPr>
        <w:pStyle w:val="CodeBlock"/>
        <w:shd w:fill="F4F6F7"/>
        <w:pBdr>
          <w:left w:val="single" w:sz="18" w:space="5" w:color="4C879B"/>
        </w:pBdr>
      </w:pPr>
      <w:r>
        <w:t>- find_source_units</w:t>
      </w:r>
    </w:p>
    <w:p>
      <w:pPr>
        <w:pStyle w:val="CodeBlock"/>
        <w:shd w:fill="F4F6F7"/>
        <w:pBdr>
          <w:left w:val="single" w:sz="18" w:space="5" w:color="4C879B"/>
        </w:pBdr>
      </w:pPr>
      <w:r>
        <w:t>- save_working_package</w:t>
      </w:r>
    </w:p>
    <w:p>
      <w:pPr>
        <w:pStyle w:val="CodeBlock"/>
        <w:shd w:fill="F4F6F7"/>
        <w:pBdr>
          <w:left w:val="single" w:sz="18" w:space="5" w:color="4C879B"/>
        </w:pBdr>
      </w:pPr>
      <w:r>
        <w:t>- validate_working_package</w:t>
      </w:r>
    </w:p>
    <w:p>
      <w:pPr>
        <w:pStyle w:val="CodeBlock"/>
        <w:shd w:fill="F4F6F7"/>
        <w:pBdr>
          <w:left w:val="single" w:sz="18" w:space="5" w:color="4C879B"/>
        </w:pBdr>
      </w:pPr>
      <w:r>
        <w:t>- apply_package_patch</w:t>
      </w:r>
    </w:p>
    <w:p>
      <w:pPr>
        <w:pStyle w:val="CodeBlock"/>
        <w:shd w:fill="F4F6F7"/>
        <w:pBdr>
          <w:left w:val="single" w:sz="18" w:space="5" w:color="4C879B"/>
        </w:pBdr>
      </w:pPr>
      <w:r>
        <w:t>- finalize_claim_package</w:t>
      </w:r>
    </w:p>
    <w:p>
      <w:pPr>
        <w:pStyle w:val="CodeBlock"/>
        <w:shd w:fill="F4F6F7"/>
        <w:pBdr>
          <w:left w:val="single" w:sz="18" w:space="5" w:color="4C879B"/>
        </w:pBdr>
      </w:pPr>
      <w:r>
        <w:t xml:space="preserve"> </w:t>
      </w:r>
    </w:p>
    <w:p>
      <w:pPr>
        <w:pStyle w:val="CodeBlock"/>
        <w:shd w:fill="F4F6F7"/>
        <w:pBdr>
          <w:left w:val="single" w:sz="18" w:space="5" w:color="4C879B"/>
        </w:pBdr>
      </w:pPr>
      <w:r>
        <w:t>Wrap existing preprocessing, schemas, validation, and persistence wherever possible.</w:t>
      </w:r>
    </w:p>
    <w:p>
      <w:pPr>
        <w:pStyle w:val="CodeBlock"/>
        <w:shd w:fill="F4F6F7"/>
        <w:pBdr>
          <w:left w:val="single" w:sz="18" w:space="5" w:color="4C879B"/>
        </w:pBdr>
      </w:pPr>
      <w:r>
        <w:t>Do not implement the agent instructions or runner yet.</w:t>
      </w:r>
    </w:p>
    <w:p>
      <w:pPr>
        <w:pStyle w:val="CodeBlock"/>
        <w:shd w:fill="F4F6F7"/>
        <w:pBdr>
          <w:left w:val="single" w:sz="18" w:space="5" w:color="4C879B"/>
        </w:pBdr>
      </w:pPr>
      <w:r>
        <w:t>Do not create generic filesystem, shell, SQL, or web tools.</w:t>
      </w:r>
    </w:p>
    <w:p>
      <w:pPr>
        <w:pStyle w:val="CodeBlock"/>
        <w:shd w:fill="F4F6F7"/>
        <w:pBdr>
          <w:left w:val="single" w:sz="18" w:space="5" w:color="4C879B"/>
        </w:pBdr>
      </w:pPr>
      <w:r>
        <w:t>Add unit tests for tool input validation, invalid source IDs, idempotency, patch audit, and blocked finalization.</w:t>
      </w:r>
    </w:p>
    <w:p>
      <w:pPr>
        <w:pStyle w:val="Heading2"/>
      </w:pPr>
      <w:r>
        <w:t>Prompt 4 — ClaimFoundry vertical-slice agent</w:t>
      </w:r>
    </w:p>
    <w:p>
      <w:pPr>
        <w:pStyle w:val="CodeBlock"/>
        <w:shd w:fill="F4F6F7"/>
        <w:pBdr>
          <w:left w:val="single" w:sz="18" w:space="5" w:color="4C879B"/>
        </w:pBdr>
      </w:pPr>
      <w:r>
        <w:t>Use the CF6 MCT and the completed domain tools.</w:t>
      </w:r>
    </w:p>
    <w:p>
      <w:pPr>
        <w:pStyle w:val="CodeBlock"/>
        <w:shd w:fill="F4F6F7"/>
        <w:pBdr>
          <w:left w:val="single" w:sz="18" w:space="5" w:color="4C879B"/>
        </w:pBdr>
      </w:pPr>
      <w:r>
        <w:t xml:space="preserve"> </w:t>
      </w:r>
    </w:p>
    <w:p>
      <w:pPr>
        <w:pStyle w:val="CodeBlock"/>
        <w:shd w:fill="F4F6F7"/>
        <w:pBdr>
          <w:left w:val="single" w:sz="18" w:space="5" w:color="4C879B"/>
        </w:pBdr>
      </w:pPr>
      <w:r>
        <w:t>Implement one ClaimFoundry manager agent and runner.</w:t>
      </w:r>
    </w:p>
    <w:p>
      <w:pPr>
        <w:pStyle w:val="CodeBlock"/>
        <w:shd w:fill="F4F6F7"/>
        <w:pBdr>
          <w:left w:val="single" w:sz="18" w:space="5" w:color="4C879B"/>
        </w:pBdr>
      </w:pPr>
      <w:r>
        <w:t xml:space="preserve"> </w:t>
      </w:r>
    </w:p>
    <w:p>
      <w:pPr>
        <w:pStyle w:val="CodeBlock"/>
        <w:shd w:fill="F4F6F7"/>
        <w:pBdr>
          <w:left w:val="single" w:sz="18" w:space="5" w:color="4C879B"/>
        </w:pBdr>
      </w:pPr>
      <w:r>
        <w:t>Requirements:</w:t>
      </w:r>
    </w:p>
    <w:p>
      <w:pPr>
        <w:pStyle w:val="CodeBlock"/>
        <w:shd w:fill="F4F6F7"/>
        <w:pBdr>
          <w:left w:val="single" w:sz="18" w:space="5" w:color="4C879B"/>
        </w:pBdr>
      </w:pPr>
      <w:r>
        <w:t>- SDK-managed multi-turn tool loop;</w:t>
      </w:r>
    </w:p>
    <w:p>
      <w:pPr>
        <w:pStyle w:val="CodeBlock"/>
        <w:shd w:fill="F4F6F7"/>
        <w:pBdr>
          <w:left w:val="single" w:sz="18" w:space="5" w:color="4C879B"/>
        </w:pBdr>
      </w:pPr>
      <w:r>
        <w:t>- dynamic instructions with content/run identifiers but no article text dumped into the system prompt;</w:t>
      </w:r>
    </w:p>
    <w:p>
      <w:pPr>
        <w:pStyle w:val="CodeBlock"/>
        <w:shd w:fill="F4F6F7"/>
        <w:pBdr>
          <w:left w:val="single" w:sz="18" w:space="5" w:color="4C879B"/>
        </w:pBdr>
      </w:pPr>
      <w:r>
        <w:t>- structured final ClaimPackage output;</w:t>
      </w:r>
    </w:p>
    <w:p>
      <w:pPr>
        <w:pStyle w:val="CodeBlock"/>
        <w:shd w:fill="F4F6F7"/>
        <w:pBdr>
          <w:left w:val="single" w:sz="18" w:space="5" w:color="4C879B"/>
        </w:pBdr>
      </w:pPr>
      <w:r>
        <w:t>- persisted state after consequential tool calls;</w:t>
      </w:r>
    </w:p>
    <w:p>
      <w:pPr>
        <w:pStyle w:val="CodeBlock"/>
        <w:shd w:fill="F4F6F7"/>
        <w:pBdr>
          <w:left w:val="single" w:sz="18" w:space="5" w:color="4C879B"/>
        </w:pBdr>
      </w:pPr>
      <w:r>
        <w:t>- max-turn, tool-call, token, and repair budgets;</w:t>
      </w:r>
    </w:p>
    <w:p>
      <w:pPr>
        <w:pStyle w:val="CodeBlock"/>
        <w:shd w:fill="F4F6F7"/>
        <w:pBdr>
          <w:left w:val="single" w:sz="18" w:space="5" w:color="4C879B"/>
        </w:pBdr>
      </w:pPr>
      <w:r>
        <w:t>- tracing metadata;</w:t>
      </w:r>
    </w:p>
    <w:p>
      <w:pPr>
        <w:pStyle w:val="CodeBlock"/>
        <w:shd w:fill="F4F6F7"/>
        <w:pBdr>
          <w:left w:val="single" w:sz="18" w:space="5" w:color="4C879B"/>
        </w:pBdr>
      </w:pPr>
      <w:r>
        <w:t>- no handoffs and no subagents in this milestone;</w:t>
      </w:r>
    </w:p>
    <w:p>
      <w:pPr>
        <w:pStyle w:val="CodeBlock"/>
        <w:shd w:fill="F4F6F7"/>
        <w:pBdr>
          <w:left w:val="single" w:sz="18" w:space="5" w:color="4C879B"/>
        </w:pBdr>
      </w:pPr>
      <w:r>
        <w:t>- no evidence search;</w:t>
      </w:r>
    </w:p>
    <w:p>
      <w:pPr>
        <w:pStyle w:val="CodeBlock"/>
        <w:shd w:fill="F4F6F7"/>
        <w:pBdr>
          <w:left w:val="single" w:sz="18" w:space="5" w:color="4C879B"/>
        </w:pBdr>
      </w:pPr>
      <w:r>
        <w:t>- CF5 remains callable and unchanged.</w:t>
      </w:r>
    </w:p>
    <w:p>
      <w:pPr>
        <w:pStyle w:val="CodeBlock"/>
        <w:shd w:fill="F4F6F7"/>
        <w:pBdr>
          <w:left w:val="single" w:sz="18" w:space="5" w:color="4C879B"/>
        </w:pBdr>
      </w:pPr>
      <w:r>
        <w:t xml:space="preserve"> </w:t>
      </w:r>
    </w:p>
    <w:p>
      <w:pPr>
        <w:pStyle w:val="CodeBlock"/>
        <w:shd w:fill="F4F6F7"/>
        <w:pBdr>
          <w:left w:val="single" w:sz="18" w:space="5" w:color="4C879B"/>
        </w:pBdr>
      </w:pPr>
      <w:r>
        <w:t>Add a CLI or test runner that executes the agent on one fixture and writes:</w:t>
      </w:r>
    </w:p>
    <w:p>
      <w:pPr>
        <w:pStyle w:val="CodeBlock"/>
        <w:shd w:fill="F4F6F7"/>
        <w:pBdr>
          <w:left w:val="single" w:sz="18" w:space="5" w:color="4C879B"/>
        </w:pBdr>
      </w:pPr>
      <w:r>
        <w:t>- final package</w:t>
      </w:r>
    </w:p>
    <w:p>
      <w:pPr>
        <w:pStyle w:val="CodeBlock"/>
        <w:shd w:fill="F4F6F7"/>
        <w:pBdr>
          <w:left w:val="single" w:sz="18" w:space="5" w:color="4C879B"/>
        </w:pBdr>
      </w:pPr>
      <w:r>
        <w:t>- validation reports</w:t>
      </w:r>
    </w:p>
    <w:p>
      <w:pPr>
        <w:pStyle w:val="CodeBlock"/>
        <w:shd w:fill="F4F6F7"/>
        <w:pBdr>
          <w:left w:val="single" w:sz="18" w:space="5" w:color="4C879B"/>
        </w:pBdr>
      </w:pPr>
      <w:r>
        <w:t>- tool trajectory</w:t>
      </w:r>
    </w:p>
    <w:p>
      <w:pPr>
        <w:pStyle w:val="CodeBlock"/>
        <w:shd w:fill="F4F6F7"/>
        <w:pBdr>
          <w:left w:val="single" w:sz="18" w:space="5" w:color="4C879B"/>
        </w:pBdr>
      </w:pPr>
      <w:r>
        <w:t>- token/cost/latency summary</w:t>
      </w:r>
    </w:p>
    <w:p>
      <w:pPr>
        <w:pStyle w:val="CodeBlock"/>
        <w:shd w:fill="F4F6F7"/>
        <w:pBdr>
          <w:left w:val="single" w:sz="18" w:space="5" w:color="4C879B"/>
        </w:pBdr>
      </w:pPr>
      <w:r>
        <w:t>- trace identifier</w:t>
      </w:r>
    </w:p>
    <w:p>
      <w:pPr>
        <w:pStyle w:val="CodeBlock"/>
        <w:shd w:fill="F4F6F7"/>
        <w:pBdr>
          <w:left w:val="single" w:sz="18" w:space="5" w:color="4C879B"/>
        </w:pBdr>
      </w:pPr>
      <w:r>
        <w:t xml:space="preserve"> </w:t>
      </w:r>
    </w:p>
    <w:p>
      <w:pPr>
        <w:pStyle w:val="CodeBlock"/>
        <w:shd w:fill="F4F6F7"/>
        <w:pBdr>
          <w:left w:val="single" w:sz="18" w:space="5" w:color="4C879B"/>
        </w:pBdr>
      </w:pPr>
      <w:r>
        <w:t>Do not tune the extraction prompt yet. First prove the loop and tools work.</w:t>
      </w:r>
    </w:p>
    <w:p>
      <w:pPr>
        <w:pStyle w:val="Heading2"/>
      </w:pPr>
      <w:r>
        <w:t>Prompt 5 — Blind fixture evaluation and standard report</w:t>
      </w:r>
    </w:p>
    <w:p>
      <w:pPr>
        <w:pStyle w:val="CodeBlock"/>
        <w:shd w:fill="F4F6F7"/>
        <w:pBdr>
          <w:left w:val="single" w:sz="18" w:space="5" w:color="4C879B"/>
        </w:pBdr>
      </w:pPr>
      <w:r>
        <w:t>Use the CF6 MCT and the working ClaimFoundry agent.</w:t>
      </w:r>
    </w:p>
    <w:p>
      <w:pPr>
        <w:pStyle w:val="CodeBlock"/>
        <w:shd w:fill="F4F6F7"/>
        <w:pBdr>
          <w:left w:val="single" w:sz="18" w:space="5" w:color="4C879B"/>
        </w:pBdr>
      </w:pPr>
      <w:r>
        <w:t xml:space="preserve"> </w:t>
      </w:r>
    </w:p>
    <w:p>
      <w:pPr>
        <w:pStyle w:val="CodeBlock"/>
        <w:shd w:fill="F4F6F7"/>
        <w:pBdr>
          <w:left w:val="single" w:sz="18" w:space="5" w:color="4C879B"/>
        </w:pBdr>
      </w:pPr>
      <w:r>
        <w:t>Run the frozen CF5 baseline and the agent path on F02, F03, and F06, three independent repeats each.</w:t>
      </w:r>
    </w:p>
    <w:p>
      <w:pPr>
        <w:pStyle w:val="CodeBlock"/>
        <w:shd w:fill="F4F6F7"/>
        <w:pBdr>
          <w:left w:val="single" w:sz="18" w:space="5" w:color="4C879B"/>
        </w:pBdr>
      </w:pPr>
      <w:r>
        <w:t xml:space="preserve"> </w:t>
      </w:r>
    </w:p>
    <w:p>
      <w:pPr>
        <w:pStyle w:val="CodeBlock"/>
        <w:shd w:fill="F4F6F7"/>
        <w:pBdr>
          <w:left w:val="single" w:sz="18" w:space="5" w:color="4C879B"/>
        </w:pBdr>
      </w:pPr>
      <w:r>
        <w:t>Do not change prompts, tools, validators, fixtures, gold overlays, or report logic during the run.</w:t>
      </w:r>
    </w:p>
    <w:p>
      <w:pPr>
        <w:pStyle w:val="CodeBlock"/>
        <w:shd w:fill="F4F6F7"/>
        <w:pBdr>
          <w:left w:val="single" w:sz="18" w:space="5" w:color="4C879B"/>
        </w:pBdr>
      </w:pPr>
      <w:r>
        <w:t xml:space="preserve"> </w:t>
      </w:r>
    </w:p>
    <w:p>
      <w:pPr>
        <w:pStyle w:val="CodeBlock"/>
        <w:shd w:fill="F4F6F7"/>
        <w:pBdr>
          <w:left w:val="single" w:sz="18" w:space="5" w:color="4C879B"/>
        </w:pBdr>
      </w:pPr>
      <w:r>
        <w:t>Extend the standard report only as needed to include:</w:t>
      </w:r>
    </w:p>
    <w:p>
      <w:pPr>
        <w:pStyle w:val="CodeBlock"/>
        <w:shd w:fill="F4F6F7"/>
        <w:pBdr>
          <w:left w:val="single" w:sz="18" w:space="5" w:color="4C879B"/>
        </w:pBdr>
      </w:pPr>
      <w:r>
        <w:t>- final claim rows;</w:t>
      </w:r>
    </w:p>
    <w:p>
      <w:pPr>
        <w:pStyle w:val="CodeBlock"/>
        <w:shd w:fill="F4F6F7"/>
        <w:pBdr>
          <w:left w:val="single" w:sz="18" w:space="5" w:color="4C879B"/>
        </w:pBdr>
      </w:pPr>
      <w:r>
        <w:t>- crux recall and omissions;</w:t>
      </w:r>
    </w:p>
    <w:p>
      <w:pPr>
        <w:pStyle w:val="CodeBlock"/>
        <w:shd w:fill="F4F6F7"/>
        <w:pBdr>
          <w:left w:val="single" w:sz="18" w:space="5" w:color="4C879B"/>
        </w:pBdr>
      </w:pPr>
      <w:r>
        <w:t>- duplicate and compound indicators;</w:t>
      </w:r>
    </w:p>
    <w:p>
      <w:pPr>
        <w:pStyle w:val="CodeBlock"/>
        <w:shd w:fill="F4F6F7"/>
        <w:pBdr>
          <w:left w:val="single" w:sz="18" w:space="5" w:color="4C879B"/>
        </w:pBdr>
      </w:pPr>
      <w:r>
        <w:t>- grounding and treatment defects;</w:t>
      </w:r>
    </w:p>
    <w:p>
      <w:pPr>
        <w:pStyle w:val="CodeBlock"/>
        <w:shd w:fill="F4F6F7"/>
        <w:pBdr>
          <w:left w:val="single" w:sz="18" w:space="5" w:color="4C879B"/>
        </w:pBdr>
      </w:pPr>
      <w:r>
        <w:t>- validation findings before and after repair;</w:t>
      </w:r>
    </w:p>
    <w:p>
      <w:pPr>
        <w:pStyle w:val="CodeBlock"/>
        <w:shd w:fill="F4F6F7"/>
        <w:pBdr>
          <w:left w:val="single" w:sz="18" w:space="5" w:color="4C879B"/>
        </w:pBdr>
      </w:pPr>
      <w:r>
        <w:t>- per-run tool trajectory;</w:t>
      </w:r>
    </w:p>
    <w:p>
      <w:pPr>
        <w:pStyle w:val="CodeBlock"/>
        <w:shd w:fill="F4F6F7"/>
        <w:pBdr>
          <w:left w:val="single" w:sz="18" w:space="5" w:color="4C879B"/>
        </w:pBdr>
      </w:pPr>
      <w:r>
        <w:t>- model calls, tool calls, tokens, cost, and latency;</w:t>
      </w:r>
    </w:p>
    <w:p>
      <w:pPr>
        <w:pStyle w:val="CodeBlock"/>
        <w:shd w:fill="F4F6F7"/>
        <w:pBdr>
          <w:left w:val="single" w:sz="18" w:space="5" w:color="4C879B"/>
        </w:pBdr>
      </w:pPr>
      <w:r>
        <w:t>- whether the agent finalized, abstained, exhausted budget, or failed.</w:t>
      </w:r>
    </w:p>
    <w:p>
      <w:pPr>
        <w:pStyle w:val="CodeBlock"/>
        <w:shd w:fill="F4F6F7"/>
        <w:pBdr>
          <w:left w:val="single" w:sz="18" w:space="5" w:color="4C879B"/>
        </w:pBdr>
      </w:pPr>
      <w:r>
        <w:t xml:space="preserve"> </w:t>
      </w:r>
    </w:p>
    <w:p>
      <w:pPr>
        <w:pStyle w:val="CodeBlock"/>
        <w:shd w:fill="F4F6F7"/>
        <w:pBdr>
          <w:left w:val="single" w:sz="18" w:space="5" w:color="4C879B"/>
        </w:pBdr>
      </w:pPr>
      <w:r>
        <w:t>Produce review.html and a concise recommendation.</w:t>
      </w:r>
    </w:p>
    <w:p>
      <w:pPr>
        <w:pStyle w:val="CodeBlock"/>
        <w:shd w:fill="F4F6F7"/>
        <w:pBdr>
          <w:left w:val="single" w:sz="18" w:space="5" w:color="4C879B"/>
        </w:pBdr>
      </w:pPr>
      <w:r>
        <w:t>Do not promote the agent merely because it is agentic.</w:t>
      </w:r>
    </w:p>
    <w:p>
      <w:pPr>
        <w:pStyle w:val="Heading2"/>
      </w:pPr>
      <w:r>
        <w:t>Prompt 6 — Focused repair improvement</w:t>
      </w:r>
    </w:p>
    <w:p>
      <w:pPr>
        <w:pStyle w:val="CodeBlock"/>
        <w:shd w:fill="F4F6F7"/>
        <w:pBdr>
          <w:left w:val="single" w:sz="18" w:space="5" w:color="4C879B"/>
        </w:pBdr>
      </w:pPr>
      <w:r>
        <w:t>Use the CF6 MCT and the first blind agent report.</w:t>
      </w:r>
    </w:p>
    <w:p>
      <w:pPr>
        <w:pStyle w:val="CodeBlock"/>
        <w:shd w:fill="F4F6F7"/>
        <w:pBdr>
          <w:left w:val="single" w:sz="18" w:space="5" w:color="4C879B"/>
        </w:pBdr>
      </w:pPr>
      <w:r>
        <w:t xml:space="preserve"> </w:t>
      </w:r>
    </w:p>
    <w:p>
      <w:pPr>
        <w:pStyle w:val="CodeBlock"/>
        <w:shd w:fill="F4F6F7"/>
        <w:pBdr>
          <w:left w:val="single" w:sz="18" w:space="5" w:color="4C879B"/>
        </w:pBdr>
      </w:pPr>
      <w:r>
        <w:t>Choose no more than two recurring material failure classes that the agent could reasonably repair through existing tools.</w:t>
      </w:r>
    </w:p>
    <w:p>
      <w:pPr>
        <w:pStyle w:val="CodeBlock"/>
        <w:shd w:fill="F4F6F7"/>
        <w:pBdr>
          <w:left w:val="single" w:sz="18" w:space="5" w:color="4C879B"/>
        </w:pBdr>
      </w:pPr>
      <w:r>
        <w:t xml:space="preserve"> </w:t>
      </w:r>
    </w:p>
    <w:p>
      <w:pPr>
        <w:pStyle w:val="CodeBlock"/>
        <w:shd w:fill="F4F6F7"/>
        <w:pBdr>
          <w:left w:val="single" w:sz="18" w:space="5" w:color="4C879B"/>
        </w:pBdr>
      </w:pPr>
      <w:r>
        <w:t>Improve only:</w:t>
      </w:r>
    </w:p>
    <w:p>
      <w:pPr>
        <w:pStyle w:val="CodeBlock"/>
        <w:shd w:fill="F4F6F7"/>
        <w:pBdr>
          <w:left w:val="single" w:sz="18" w:space="5" w:color="4C879B"/>
        </w:pBdr>
      </w:pPr>
      <w:r>
        <w:t>- diagnostic specificity,</w:t>
      </w:r>
    </w:p>
    <w:p>
      <w:pPr>
        <w:pStyle w:val="CodeBlock"/>
        <w:shd w:fill="F4F6F7"/>
        <w:pBdr>
          <w:left w:val="single" w:sz="18" w:space="5" w:color="4C879B"/>
        </w:pBdr>
      </w:pPr>
      <w:r>
        <w:t>- tool descriptions,</w:t>
      </w:r>
    </w:p>
    <w:p>
      <w:pPr>
        <w:pStyle w:val="CodeBlock"/>
        <w:shd w:fill="F4F6F7"/>
        <w:pBdr>
          <w:left w:val="single" w:sz="18" w:space="5" w:color="4C879B"/>
        </w:pBdr>
      </w:pPr>
      <w:r>
        <w:t>- patch operations, or</w:t>
      </w:r>
    </w:p>
    <w:p>
      <w:pPr>
        <w:pStyle w:val="CodeBlock"/>
        <w:shd w:fill="F4F6F7"/>
        <w:pBdr>
          <w:left w:val="single" w:sz="18" w:space="5" w:color="4C879B"/>
        </w:pBdr>
      </w:pPr>
      <w:r>
        <w:t>- agent stopping/repair instructions.</w:t>
      </w:r>
    </w:p>
    <w:p>
      <w:pPr>
        <w:pStyle w:val="CodeBlock"/>
        <w:shd w:fill="F4F6F7"/>
        <w:pBdr>
          <w:left w:val="single" w:sz="18" w:space="5" w:color="4C879B"/>
        </w:pBdr>
      </w:pPr>
      <w:r>
        <w:t xml:space="preserve"> </w:t>
      </w:r>
    </w:p>
    <w:p>
      <w:pPr>
        <w:pStyle w:val="CodeBlock"/>
        <w:shd w:fill="F4F6F7"/>
        <w:pBdr>
          <w:left w:val="single" w:sz="18" w:space="5" w:color="4C879B"/>
        </w:pBdr>
      </w:pPr>
      <w:r>
        <w:t>Do not rewrite the ontology, package schema, or entire prompt.</w:t>
      </w:r>
    </w:p>
    <w:p>
      <w:pPr>
        <w:pStyle w:val="CodeBlock"/>
        <w:shd w:fill="F4F6F7"/>
        <w:pBdr>
          <w:left w:val="single" w:sz="18" w:space="5" w:color="4C879B"/>
        </w:pBdr>
      </w:pPr>
      <w:r>
        <w:t>Do not add subagents.</w:t>
      </w:r>
    </w:p>
    <w:p>
      <w:pPr>
        <w:pStyle w:val="CodeBlock"/>
        <w:shd w:fill="F4F6F7"/>
        <w:pBdr>
          <w:left w:val="single" w:sz="18" w:space="5" w:color="4C879B"/>
        </w:pBdr>
      </w:pPr>
      <w:r>
        <w:t>Run the same frozen fixtures and report before/after repair effectiveness.</w:t>
      </w:r>
    </w:p>
    <w:p>
      <w:pPr>
        <w:pStyle w:val="Heading2"/>
      </w:pPr>
      <w:r>
        <w:t>Prompt 7 — EvidenceRun agent scaffold</w:t>
      </w:r>
    </w:p>
    <w:p>
      <w:pPr>
        <w:pStyle w:val="CodeBlock"/>
        <w:shd w:fill="F4F6F7"/>
        <w:pBdr>
          <w:left w:val="single" w:sz="18" w:space="5" w:color="4C879B"/>
        </w:pBdr>
      </w:pPr>
      <w:r>
        <w:t>Proceed only if the ClaimFoundry vertical slice has an accepted package and the user has approved continuing.</w:t>
      </w:r>
    </w:p>
    <w:p>
      <w:pPr>
        <w:pStyle w:val="CodeBlock"/>
        <w:shd w:fill="F4F6F7"/>
        <w:pBdr>
          <w:left w:val="single" w:sz="18" w:space="5" w:color="4C879B"/>
        </w:pBdr>
      </w:pPr>
      <w:r>
        <w:t xml:space="preserve"> </w:t>
      </w:r>
    </w:p>
    <w:p>
      <w:pPr>
        <w:pStyle w:val="CodeBlock"/>
        <w:shd w:fill="F4F6F7"/>
        <w:pBdr>
          <w:left w:val="single" w:sz="18" w:space="5" w:color="4C879B"/>
        </w:pBdr>
      </w:pPr>
      <w:r>
        <w:t>Use the CF6 MCT.</w:t>
      </w:r>
    </w:p>
    <w:p>
      <w:pPr>
        <w:pStyle w:val="CodeBlock"/>
        <w:shd w:fill="F4F6F7"/>
        <w:pBdr>
          <w:left w:val="single" w:sz="18" w:space="5" w:color="4C879B"/>
        </w:pBdr>
      </w:pPr>
      <w:r>
        <w:t xml:space="preserve"> </w:t>
      </w:r>
    </w:p>
    <w:p>
      <w:pPr>
        <w:pStyle w:val="CodeBlock"/>
        <w:shd w:fill="F4F6F7"/>
        <w:pBdr>
          <w:left w:val="single" w:sz="18" w:space="5" w:color="4C879B"/>
        </w:pBdr>
      </w:pPr>
      <w:r>
        <w:t>Build a separate EvidenceRun manager agent with provider-neutral retrieval tools and persisted EvidenceRun state. Reuse existing query planning, provider adapters, fetchers, bearing logic, stance logic, score transforms, and persistence where they work.</w:t>
      </w:r>
    </w:p>
    <w:p>
      <w:pPr>
        <w:pStyle w:val="CodeBlock"/>
        <w:shd w:fill="F4F6F7"/>
        <w:pBdr>
          <w:left w:val="single" w:sz="18" w:space="5" w:color="4C879B"/>
        </w:pBdr>
      </w:pPr>
      <w:r>
        <w:t xml:space="preserve"> </w:t>
      </w:r>
    </w:p>
    <w:p>
      <w:pPr>
        <w:pStyle w:val="CodeBlock"/>
        <w:shd w:fill="F4F6F7"/>
        <w:pBdr>
          <w:left w:val="single" w:sz="18" w:space="5" w:color="4C879B"/>
        </w:pBdr>
      </w:pPr>
      <w:r>
        <w:t>Maintain the boundaries:</w:t>
      </w:r>
    </w:p>
    <w:p>
      <w:pPr>
        <w:pStyle w:val="CodeBlock"/>
        <w:shd w:fill="F4F6F7"/>
        <w:pBdr>
          <w:left w:val="single" w:sz="18" w:space="5" w:color="4C879B"/>
        </w:pBdr>
      </w:pPr>
      <w:r>
        <w:t>- no mutation of canonical target text;</w:t>
      </w:r>
    </w:p>
    <w:p>
      <w:pPr>
        <w:pStyle w:val="CodeBlock"/>
        <w:shd w:fill="F4F6F7"/>
        <w:pBdr>
          <w:left w:val="single" w:sz="18" w:space="5" w:color="4C879B"/>
        </w:pBdr>
      </w:pPr>
      <w:r>
        <w:t>- bearing before stance;</w:t>
      </w:r>
    </w:p>
    <w:p>
      <w:pPr>
        <w:pStyle w:val="CodeBlock"/>
        <w:shd w:fill="F4F6F7"/>
        <w:pBdr>
          <w:left w:val="single" w:sz="18" w:space="5" w:color="4C879B"/>
        </w:pBdr>
      </w:pPr>
      <w:r>
        <w:t>- snippets are retrieval signals, not automatically evidence;</w:t>
      </w:r>
    </w:p>
    <w:p>
      <w:pPr>
        <w:pStyle w:val="CodeBlock"/>
        <w:shd w:fill="F4F6F7"/>
        <w:pBdr>
          <w:left w:val="single" w:sz="18" w:space="5" w:color="4C879B"/>
        </w:pBdr>
      </w:pPr>
      <w:r>
        <w:t>- scoring remains deterministic;</w:t>
      </w:r>
    </w:p>
    <w:p>
      <w:pPr>
        <w:pStyle w:val="CodeBlock"/>
        <w:shd w:fill="F4F6F7"/>
        <w:pBdr>
          <w:left w:val="single" w:sz="18" w:space="5" w:color="4C879B"/>
        </w:pBdr>
      </w:pPr>
      <w:r>
        <w:t>- ClaimFoundry and EvidenceRun are separate runs.</w:t>
      </w:r>
    </w:p>
    <w:p>
      <w:pPr>
        <w:pStyle w:val="CodeBlock"/>
        <w:shd w:fill="F4F6F7"/>
        <w:pBdr>
          <w:left w:val="single" w:sz="18" w:space="5" w:color="4C879B"/>
        </w:pBdr>
      </w:pPr>
      <w:r>
        <w:t xml:space="preserve"> </w:t>
      </w:r>
    </w:p>
    <w:p>
      <w:pPr>
        <w:pStyle w:val="CodeBlock"/>
        <w:shd w:fill="F4F6F7"/>
        <w:pBdr>
          <w:left w:val="single" w:sz="18" w:space="5" w:color="4C879B"/>
        </w:pBdr>
      </w:pPr>
      <w:r>
        <w:t>Start with one target and a tiny provider budget. Add a traceable vertical slice before portfolio-scale retrieval.</w:t>
      </w:r>
    </w:p>
    <w:p>
      <w:pPr>
        <w:pStyle w:val="Heading2"/>
      </w:pPr>
      <w:r>
        <w:t>Prompt 8 — Product integration and rollback</w:t>
      </w:r>
    </w:p>
    <w:p>
      <w:pPr>
        <w:pStyle w:val="CodeBlock"/>
        <w:shd w:fill="F4F6F7"/>
        <w:pBdr>
          <w:left w:val="single" w:sz="18" w:space="5" w:color="4C879B"/>
        </w:pBdr>
      </w:pPr>
      <w:r>
        <w:t>Use the CF6 MCT and accepted agent evaluations.</w:t>
      </w:r>
    </w:p>
    <w:p>
      <w:pPr>
        <w:pStyle w:val="CodeBlock"/>
        <w:shd w:fill="F4F6F7"/>
        <w:pBdr>
          <w:left w:val="single" w:sz="18" w:space="5" w:color="4C879B"/>
        </w:pBdr>
      </w:pPr>
      <w:r>
        <w:t xml:space="preserve"> </w:t>
      </w:r>
    </w:p>
    <w:p>
      <w:pPr>
        <w:pStyle w:val="CodeBlock"/>
        <w:shd w:fill="F4F6F7"/>
        <w:pBdr>
          <w:left w:val="single" w:sz="18" w:space="5" w:color="4C879B"/>
        </w:pBdr>
      </w:pPr>
      <w:r>
        <w:t>Integrate the ClaimFoundry agent behind a disabled-by-default feature flag.</w:t>
      </w:r>
    </w:p>
    <w:p>
      <w:pPr>
        <w:pStyle w:val="CodeBlock"/>
        <w:shd w:fill="F4F6F7"/>
        <w:pBdr>
          <w:left w:val="single" w:sz="18" w:space="5" w:color="4C879B"/>
        </w:pBdr>
      </w:pPr>
      <w:r>
        <w:t xml:space="preserve"> </w:t>
      </w:r>
    </w:p>
    <w:p>
      <w:pPr>
        <w:pStyle w:val="CodeBlock"/>
        <w:shd w:fill="F4F6F7"/>
        <w:pBdr>
          <w:left w:val="single" w:sz="18" w:space="5" w:color="4C879B"/>
        </w:pBdr>
      </w:pPr>
      <w:r>
        <w:t>Add:</w:t>
      </w:r>
    </w:p>
    <w:p>
      <w:pPr>
        <w:pStyle w:val="CodeBlock"/>
        <w:shd w:fill="F4F6F7"/>
        <w:pBdr>
          <w:left w:val="single" w:sz="18" w:space="5" w:color="4C879B"/>
        </w:pBdr>
      </w:pPr>
      <w:r>
        <w:t>- API create/status/resume endpoints;</w:t>
      </w:r>
    </w:p>
    <w:p>
      <w:pPr>
        <w:pStyle w:val="CodeBlock"/>
        <w:shd w:fill="F4F6F7"/>
        <w:pBdr>
          <w:left w:val="single" w:sz="18" w:space="5" w:color="4C879B"/>
        </w:pBdr>
      </w:pPr>
      <w:r>
        <w:t>- idempotency;</w:t>
      </w:r>
    </w:p>
    <w:p>
      <w:pPr>
        <w:pStyle w:val="CodeBlock"/>
        <w:shd w:fill="F4F6F7"/>
        <w:pBdr>
          <w:left w:val="single" w:sz="18" w:space="5" w:color="4C879B"/>
        </w:pBdr>
      </w:pPr>
      <w:r>
        <w:t>- queue/worker execution if consistent with the existing platform;</w:t>
      </w:r>
    </w:p>
    <w:p>
      <w:pPr>
        <w:pStyle w:val="CodeBlock"/>
        <w:shd w:fill="F4F6F7"/>
        <w:pBdr>
          <w:left w:val="single" w:sz="18" w:space="5" w:color="4C879B"/>
        </w:pBdr>
      </w:pPr>
      <w:r>
        <w:t>- persisted progress events;</w:t>
      </w:r>
    </w:p>
    <w:p>
      <w:pPr>
        <w:pStyle w:val="CodeBlock"/>
        <w:shd w:fill="F4F6F7"/>
        <w:pBdr>
          <w:left w:val="single" w:sz="18" w:space="5" w:color="4C879B"/>
        </w:pBdr>
      </w:pPr>
      <w:r>
        <w:t>- human review interruption;</w:t>
      </w:r>
    </w:p>
    <w:p>
      <w:pPr>
        <w:pStyle w:val="CodeBlock"/>
        <w:shd w:fill="F4F6F7"/>
        <w:pBdr>
          <w:left w:val="single" w:sz="18" w:space="5" w:color="4C879B"/>
        </w:pBdr>
      </w:pPr>
      <w:r>
        <w:t>- legacy CF5 fallback;</w:t>
      </w:r>
    </w:p>
    <w:p>
      <w:pPr>
        <w:pStyle w:val="CodeBlock"/>
        <w:shd w:fill="F4F6F7"/>
        <w:pBdr>
          <w:left w:val="single" w:sz="18" w:space="5" w:color="4C879B"/>
        </w:pBdr>
      </w:pPr>
      <w:r>
        <w:t>- operational metrics;</w:t>
      </w:r>
    </w:p>
    <w:p>
      <w:pPr>
        <w:pStyle w:val="CodeBlock"/>
        <w:shd w:fill="F4F6F7"/>
        <w:pBdr>
          <w:left w:val="single" w:sz="18" w:space="5" w:color="4C879B"/>
        </w:pBdr>
      </w:pPr>
      <w:r>
        <w:t>- explicit rollback instructions.</w:t>
      </w:r>
    </w:p>
    <w:p>
      <w:pPr>
        <w:pStyle w:val="CodeBlock"/>
        <w:shd w:fill="F4F6F7"/>
        <w:pBdr>
          <w:left w:val="single" w:sz="18" w:space="5" w:color="4C879B"/>
        </w:pBdr>
      </w:pPr>
      <w:r>
        <w:t xml:space="preserve"> </w:t>
      </w:r>
    </w:p>
    <w:p>
      <w:pPr>
        <w:pStyle w:val="CodeBlock"/>
        <w:shd w:fill="F4F6F7"/>
        <w:pBdr>
          <w:left w:val="single" w:sz="18" w:space="5" w:color="4C879B"/>
        </w:pBdr>
      </w:pPr>
      <w:r>
        <w:t>Do not delete CF5.</w:t>
      </w:r>
    </w:p>
    <w:p>
      <w:pPr>
        <w:pStyle w:val="CodeBlock"/>
        <w:shd w:fill="F4F6F7"/>
        <w:pBdr>
          <w:left w:val="single" w:sz="18" w:space="5" w:color="4C879B"/>
        </w:pBdr>
      </w:pPr>
      <w:r>
        <w:t>Do not make the agent path the default.</w:t>
      </w:r>
    </w:p>
    <w:p>
      <w:pPr>
        <w:pStyle w:val="CodeBlock"/>
        <w:shd w:fill="F4F6F7"/>
        <w:pBdr>
          <w:left w:val="single" w:sz="18" w:space="5" w:color="4C879B"/>
        </w:pBdr>
      </w:pPr>
      <w:r>
        <w:t>Do not commit unless explicitly asked.</w:t>
      </w:r>
    </w:p>
    <w:p>
      <w:pPr>
        <w:pStyle w:val="CodeBlock"/>
        <w:shd w:fill="F4F6F7"/>
        <w:pBdr>
          <w:left w:val="single" w:sz="18" w:space="5" w:color="4C879B"/>
        </w:pBdr>
      </w:pPr>
      <w:r>
        <w:t>Produce an operator runbook and exact deployment checklist.</w:t>
      </w:r>
    </w:p>
    <w:p>
      <w:pPr>
        <w:pStyle w:val="Heading1"/>
      </w:pPr>
      <w:r>
        <w:t>19. Definition of done</w:t>
      </w:r>
    </w:p>
    <w:p>
      <w:pPr>
        <w:pStyle w:val="ListBullet"/>
        <w:spacing w:after="40"/>
      </w:pPr>
      <w:r>
        <w:t>A server request starts a persisted ClaimFoundry agent run.</w:t>
      </w:r>
    </w:p>
    <w:p>
      <w:pPr>
        <w:pStyle w:val="ListBullet"/>
        <w:spacing w:after="40"/>
      </w:pPr>
      <w:r>
        <w:t>The model selects among domain tools for more than one turn.</w:t>
      </w:r>
    </w:p>
    <w:p>
      <w:pPr>
        <w:pStyle w:val="ListBullet"/>
        <w:spacing w:after="40"/>
      </w:pPr>
      <w:r>
        <w:t>The run can inspect only authorized source units and cannot search external evidence.</w:t>
      </w:r>
    </w:p>
    <w:p>
      <w:pPr>
        <w:pStyle w:val="ListBullet"/>
        <w:spacing w:after="40"/>
      </w:pPr>
      <w:r>
        <w:t>A working package is validated deterministically.</w:t>
      </w:r>
    </w:p>
    <w:p>
      <w:pPr>
        <w:pStyle w:val="ListBullet"/>
        <w:spacing w:after="40"/>
      </w:pPr>
      <w:r>
        <w:t>The agent can select and apply bounded semantic repairs.</w:t>
      </w:r>
    </w:p>
    <w:p>
      <w:pPr>
        <w:pStyle w:val="ListBullet"/>
        <w:spacing w:after="40"/>
      </w:pPr>
      <w:r>
        <w:t>Every mutation and tool result is auditable.</w:t>
      </w:r>
    </w:p>
    <w:p>
      <w:pPr>
        <w:pStyle w:val="ListBullet"/>
        <w:spacing w:after="40"/>
      </w:pPr>
      <w:r>
        <w:t>The run finalizes only after hard gates pass or records a typed abstention.</w:t>
      </w:r>
    </w:p>
    <w:p>
      <w:pPr>
        <w:pStyle w:val="ListBullet"/>
        <w:spacing w:after="40"/>
      </w:pPr>
      <w:r>
        <w:t>CF5 remains available for side-by-side comparison and rollback.</w:t>
      </w:r>
    </w:p>
    <w:p>
      <w:pPr>
        <w:pStyle w:val="ListBullet"/>
        <w:spacing w:after="40"/>
      </w:pPr>
      <w:r>
        <w:t>EvidenceRun consumes the persisted package through a separate agent runtime.</w:t>
      </w:r>
    </w:p>
    <w:p>
      <w:pPr>
        <w:pStyle w:val="ListBullet"/>
        <w:spacing w:after="40"/>
      </w:pPr>
      <w:r>
        <w:t>The report exposes semantic output, validation history, tool path, cost, and failure mode.</w:t>
      </w:r>
    </w:p>
    <w:p>
      <w:pPr>
        <w:pStyle w:val="Heading1"/>
      </w:pPr>
      <w:r>
        <w:t>20. Abandonment and portability</w:t>
      </w:r>
    </w:p>
    <w:p>
      <w:r>
        <w:t>This MCT deliberately separates domain tools and state from the SDK. If the OpenAI Agents SDK proves unsuitable, retain the tool functions, schemas, persistence, budgets, and tests. Replace only the runner/provider layer with the Claude Agent SDK or a small custom Responses/Messages tool loop.</w:t>
      </w:r>
    </w:p>
    <w:p>
      <w:pPr>
        <w:pStyle w:val="Callout"/>
        <w:shd w:fill="EAF2F5"/>
        <w:pBdr>
          <w:left w:val="single" w:sz="18" w:space="5" w:color="4C879B"/>
        </w:pBdr>
      </w:pPr>
      <w:r>
        <w:t>The durable asset is not the framework. It is the tested domain action space: what the agent may inspect, change, validate, persist, and finalize.</w:t>
      </w:r>
    </w:p>
    <w:p>
      <w:pPr>
        <w:pStyle w:val="Heading1"/>
      </w:pPr>
      <w:r>
        <w:t>21. Current-source notes</w:t>
      </w:r>
    </w:p>
    <w:p>
      <w:r>
        <w:t>Verified against official documentation on 2026-07-27:</w:t>
      </w:r>
    </w:p>
    <w:p>
      <w:pPr>
        <w:pStyle w:val="ListBullet"/>
        <w:spacing w:after="40"/>
      </w:pPr>
      <w:r>
        <w:t>OpenAI Agents SDK TypeScript overview and installation: https://openai.github.io/openai-agents-js/</w:t>
      </w:r>
    </w:p>
    <w:p>
      <w:pPr>
        <w:pStyle w:val="ListBullet"/>
        <w:spacing w:after="40"/>
      </w:pPr>
      <w:r>
        <w:t>OpenAI Agents SDK tools: https://openai.github.io/openai-agents-js/guides/tools/</w:t>
      </w:r>
    </w:p>
    <w:p>
      <w:pPr>
        <w:pStyle w:val="ListBullet"/>
        <w:spacing w:after="40"/>
      </w:pPr>
      <w:r>
        <w:t>OpenAI Agents SDK running agents and sessions: https://openai.github.io/openai-agents-js/guides/running-agents/ and https://openai.github.io/openai-agents-js/guides/sessions/</w:t>
      </w:r>
    </w:p>
    <w:p>
      <w:pPr>
        <w:pStyle w:val="ListBullet"/>
        <w:spacing w:after="40"/>
      </w:pPr>
      <w:r>
        <w:t>OpenAI Agents SDK human-in-the-loop: https://openai.github.io/openai-agents-js/guides/human-in-the-loop/</w:t>
      </w:r>
    </w:p>
    <w:p>
      <w:pPr>
        <w:pStyle w:val="ListBullet"/>
        <w:spacing w:after="40"/>
      </w:pPr>
      <w:r>
        <w:t>Claude Agent SDK overview and installation: https://code.claude.com/docs/en/agent-sdk/overview</w:t>
      </w:r>
    </w:p>
    <w:p>
      <w:pPr>
        <w:pStyle w:val="Heading1"/>
      </w:pPr>
      <w:r>
        <w:t>22. Governing principles retained from TM5</w:t>
      </w:r>
    </w:p>
    <w:p>
      <w:pPr>
        <w:pStyle w:val="ListBullet"/>
        <w:spacing w:after="40"/>
      </w:pPr>
      <w:r>
        <w:t>Agentic brain, deterministic bones.</w:t>
      </w:r>
    </w:p>
    <w:p>
      <w:pPr>
        <w:pStyle w:val="ListBullet"/>
        <w:spacing w:after="40"/>
      </w:pPr>
      <w:r>
        <w:t>Preserve useful TM4/CF5 logic; wrap it before replacing it.</w:t>
      </w:r>
    </w:p>
    <w:p>
      <w:pPr>
        <w:pStyle w:val="ListBullet"/>
        <w:spacing w:after="40"/>
      </w:pPr>
      <w:r>
        <w:t>ClaimFoundry decides what should be tested.</w:t>
      </w:r>
    </w:p>
    <w:p>
      <w:pPr>
        <w:pStyle w:val="ListBullet"/>
        <w:spacing w:after="40"/>
      </w:pPr>
      <w:r>
        <w:t>EvidenceRun decides what retrieved evidence bears on those tests.</w:t>
      </w:r>
    </w:p>
    <w:p>
      <w:pPr>
        <w:pStyle w:val="ListBullet"/>
        <w:spacing w:after="40"/>
      </w:pPr>
      <w:r>
        <w:t>Raw claims are audit inventory, not automatically production evidence targets.</w:t>
      </w:r>
    </w:p>
    <w:p>
      <w:pPr>
        <w:pStyle w:val="ListBullet"/>
        <w:spacing w:after="40"/>
      </w:pPr>
      <w:r>
        <w:t>Bearing, stance, and score transform remain separate.</w:t>
      </w:r>
    </w:p>
    <w:p>
      <w:pPr>
        <w:pStyle w:val="ListBullet"/>
        <w:spacing w:after="40"/>
      </w:pPr>
      <w:r>
        <w:t>No evidence search in ClaimFoundry.</w:t>
      </w:r>
    </w:p>
    <w:p>
      <w:pPr>
        <w:pStyle w:val="ListBullet"/>
        <w:spacing w:after="40"/>
      </w:pPr>
      <w:r>
        <w:t>No evidence run against raw Phase 1 inventory.</w:t>
      </w:r>
    </w:p>
    <w:p>
      <w:pPr>
        <w:pStyle w:val="ListBullet"/>
        <w:spacing w:after="40"/>
      </w:pPr>
      <w:r>
        <w:t>Deterministic code validates, persists, audits, and enforces boundaries.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880"/>
        <w:sz w:val="15"/>
      </w:rPr>
      <w:t>CF6 Real Agent Build MCT • VeriStrata • 2026-07-27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7566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A63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80"/>
    </w:pPr>
    <w:rPr>
      <w:rFonts w:asciiTheme="majorHAnsi" w:eastAsiaTheme="majorEastAsia" w:hAnsiTheme="majorHAnsi" w:cstheme="majorBidi" w:ascii="Aptos" w:hAnsi="Aptos"/>
      <w:b w:val="0"/>
      <w:i/>
      <w:iCs/>
      <w:color w:val="496B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pPr>
    <w:rPr>
      <w:rFonts w:ascii="Aptos Mono" w:hAnsi="Aptos Mono"/>
      <w:sz w:val="16"/>
    </w:rPr>
  </w:style>
  <w:style w:type="paragraph" w:customStyle="1" w:styleId="Callout">
    <w:name w:val="Callout"/>
    <w:pPr>
      <w:spacing w:before="100" w:after="100"/>
      <w:ind w:left="259" w:right="259"/>
    </w:pPr>
    <w:rPr>
      <w:rFonts w:ascii="Aptos" w:hAnsi="Aptos"/>
      <w:b/>
      <w:color w:val="17324D"/>
      <w:sz w:val="20"/>
    </w:rPr>
  </w:style>
  <w:style w:type="paragraph" w:customStyle="1" w:styleId="Small">
    <w:name w:val="Small"/>
    <w:rPr>
      <w:rFonts w:ascii="Aptos" w:hAnsi="Aptos"/>
      <w:color w:val="5A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