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11"/>
        <w:gridCol w:w="2311"/>
        <w:gridCol w:w="2311"/>
      </w:tblGrid>
      <w:tr w:rsidR="00413E61" w:rsidRPr="00980583" w:rsidTr="0009105E">
        <w:tc>
          <w:tcPr>
            <w:tcW w:w="1809" w:type="dxa"/>
          </w:tcPr>
          <w:p w:rsidR="00413E61" w:rsidRPr="00980583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B07173" w:rsidRPr="0098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11" w:type="dxa"/>
          </w:tcPr>
          <w:p w:rsidR="00413E61" w:rsidRPr="00980583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09105E"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105E" w:rsidRPr="00980583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09105E" w:rsidRPr="0098058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980583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98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980583" w:rsidRDefault="006C076E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98058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60 </w:t>
            </w:r>
            <w:proofErr w:type="spellStart"/>
            <w:r w:rsidRPr="00980583">
              <w:rPr>
                <w:rFonts w:ascii="Arial" w:hAnsi="Arial" w:cs="Arial"/>
                <w:sz w:val="20"/>
                <w:szCs w:val="20"/>
              </w:rPr>
              <w:t>mins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980583" w:rsidTr="00413E61">
        <w:tc>
          <w:tcPr>
            <w:tcW w:w="9242" w:type="dxa"/>
          </w:tcPr>
          <w:p w:rsidR="00413E61" w:rsidRPr="00980583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F53187" w:rsidRPr="00980583" w:rsidRDefault="00B575B8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413E61" w:rsidRPr="00980583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980583" w:rsidTr="00413E61">
        <w:tc>
          <w:tcPr>
            <w:tcW w:w="9242" w:type="dxa"/>
          </w:tcPr>
          <w:p w:rsidR="00413E61" w:rsidRPr="00980583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980583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980583" w:rsidRDefault="0009105E" w:rsidP="00413E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Play, Sleep, Run</w:t>
            </w:r>
          </w:p>
        </w:tc>
      </w:tr>
      <w:tr w:rsidR="00B575B8" w:rsidRPr="00980583" w:rsidTr="00413E61">
        <w:tc>
          <w:tcPr>
            <w:tcW w:w="9242" w:type="dxa"/>
          </w:tcPr>
          <w:p w:rsidR="00B575B8" w:rsidRPr="00980583" w:rsidRDefault="00B575B8" w:rsidP="00B575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Contents: Lesson 2 of 11(12)</w:t>
            </w:r>
          </w:p>
          <w:p w:rsidR="00B575B8" w:rsidRPr="00980583" w:rsidRDefault="00B575B8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After exploring Sonic Pi in the previous week, students will begin to use the terms: 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 xml:space="preserve">loop do, 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Pr="00980583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980583">
              <w:rPr>
                <w:rFonts w:ascii="Arial" w:hAnsi="Arial" w:cs="Arial"/>
                <w:sz w:val="20"/>
                <w:szCs w:val="20"/>
              </w:rPr>
              <w:t>. Students will continue with last week’s piece or create their own.</w:t>
            </w:r>
          </w:p>
        </w:tc>
      </w:tr>
      <w:tr w:rsidR="00413E61" w:rsidRPr="00980583" w:rsidTr="00413E61">
        <w:tc>
          <w:tcPr>
            <w:tcW w:w="9242" w:type="dxa"/>
          </w:tcPr>
          <w:p w:rsidR="00413E61" w:rsidRPr="00980583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980583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980583" w:rsidRDefault="00537ECB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="00BF7278" w:rsidRPr="00980583">
              <w:rPr>
                <w:rFonts w:ascii="Arial" w:hAnsi="Arial" w:cs="Arial"/>
                <w:i/>
                <w:sz w:val="20"/>
                <w:szCs w:val="20"/>
              </w:rPr>
              <w:t>Loop do, end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980583">
              <w:rPr>
                <w:rFonts w:ascii="Arial" w:hAnsi="Arial" w:cs="Arial"/>
                <w:i/>
                <w:sz w:val="20"/>
                <w:szCs w:val="20"/>
              </w:rPr>
              <w:t>use</w:t>
            </w:r>
            <w:r w:rsidR="006C076E" w:rsidRPr="00980583">
              <w:rPr>
                <w:rFonts w:ascii="Arial" w:hAnsi="Arial" w:cs="Arial"/>
                <w:i/>
                <w:sz w:val="20"/>
                <w:szCs w:val="20"/>
              </w:rPr>
              <w:t>_synth</w:t>
            </w:r>
            <w:proofErr w:type="spellEnd"/>
            <w:r w:rsidR="006C076E" w:rsidRPr="00980583">
              <w:rPr>
                <w:rFonts w:ascii="Arial" w:hAnsi="Arial" w:cs="Arial"/>
                <w:i/>
                <w:sz w:val="20"/>
                <w:szCs w:val="20"/>
              </w:rPr>
              <w:t>:</w:t>
            </w:r>
            <w:r w:rsidR="006C076E"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13E61" w:rsidRPr="00980583" w:rsidTr="00413E61">
        <w:tc>
          <w:tcPr>
            <w:tcW w:w="9242" w:type="dxa"/>
          </w:tcPr>
          <w:p w:rsidR="00413E61" w:rsidRPr="00980583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980583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980583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980583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980583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980583" w:rsidTr="00280DA1">
        <w:tc>
          <w:tcPr>
            <w:tcW w:w="4621" w:type="dxa"/>
          </w:tcPr>
          <w:p w:rsidR="00280DA1" w:rsidRPr="00980583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BD00D8" w:rsidRPr="00980583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75B8" w:rsidRPr="00980583">
              <w:rPr>
                <w:rFonts w:ascii="Arial" w:hAnsi="Arial" w:cs="Arial"/>
                <w:sz w:val="20"/>
                <w:szCs w:val="20"/>
              </w:rPr>
              <w:t>To explore synth sounds within Sonic Pi</w:t>
            </w:r>
          </w:p>
          <w:p w:rsidR="00251642" w:rsidRPr="00980583" w:rsidRDefault="00251642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80583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98058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75B8" w:rsidRPr="00980583">
              <w:rPr>
                <w:rFonts w:ascii="Arial" w:hAnsi="Arial" w:cs="Arial"/>
                <w:sz w:val="20"/>
                <w:szCs w:val="20"/>
              </w:rPr>
              <w:t>Engage in discussion over electronic music origins.</w:t>
            </w:r>
            <w:r w:rsidR="00251642"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7ECB" w:rsidRPr="00980583">
              <w:rPr>
                <w:rFonts w:ascii="Arial" w:hAnsi="Arial" w:cs="Arial"/>
                <w:sz w:val="20"/>
                <w:szCs w:val="20"/>
              </w:rPr>
              <w:t>To alter structure on compositions</w:t>
            </w: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980583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98058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980583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980583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980583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980583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251642" w:rsidRPr="00980583">
              <w:rPr>
                <w:rFonts w:ascii="Arial" w:hAnsi="Arial" w:cs="Arial"/>
                <w:sz w:val="20"/>
                <w:szCs w:val="20"/>
              </w:rPr>
              <w:t xml:space="preserve">write </w:t>
            </w:r>
            <w:r w:rsidR="006C076E" w:rsidRPr="00980583">
              <w:rPr>
                <w:rFonts w:ascii="Arial" w:hAnsi="Arial" w:cs="Arial"/>
                <w:sz w:val="20"/>
                <w:szCs w:val="20"/>
              </w:rPr>
              <w:t>a section using synths and loops</w:t>
            </w: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980583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980583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6C076E" w:rsidRPr="00980583">
              <w:rPr>
                <w:rFonts w:ascii="Arial" w:hAnsi="Arial" w:cs="Arial"/>
                <w:sz w:val="20"/>
                <w:szCs w:val="20"/>
              </w:rPr>
              <w:t>understand the principle of structure in code</w:t>
            </w:r>
          </w:p>
          <w:p w:rsidR="00280DA1" w:rsidRPr="00980583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80583" w:rsidRDefault="00280DA1" w:rsidP="00537ECB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980583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251642" w:rsidRPr="00980583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C076E" w:rsidRPr="00980583">
              <w:rPr>
                <w:rFonts w:ascii="Arial" w:hAnsi="Arial" w:cs="Arial"/>
                <w:sz w:val="20"/>
                <w:szCs w:val="20"/>
              </w:rPr>
              <w:t xml:space="preserve">a composition from </w:t>
            </w:r>
            <w:r w:rsidR="00537ECB" w:rsidRPr="00980583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980583" w:rsidTr="00280DA1">
        <w:tc>
          <w:tcPr>
            <w:tcW w:w="9242" w:type="dxa"/>
          </w:tcPr>
          <w:p w:rsidR="00BB2A1E" w:rsidRPr="00980583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BF1BC0" w:rsidRPr="00980583" w:rsidRDefault="00BF1BC0" w:rsidP="00BF1B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Template for live coding</w:t>
            </w:r>
            <w:r w:rsidR="00537ECB" w:rsidRPr="00980583">
              <w:rPr>
                <w:rFonts w:ascii="Arial" w:hAnsi="Arial" w:cs="Arial"/>
                <w:sz w:val="20"/>
                <w:szCs w:val="20"/>
              </w:rPr>
              <w:t>, Example of electronic music</w:t>
            </w:r>
          </w:p>
        </w:tc>
      </w:tr>
      <w:tr w:rsidR="00280DA1" w:rsidRPr="00980583" w:rsidTr="00280DA1">
        <w:tc>
          <w:tcPr>
            <w:tcW w:w="9242" w:type="dxa"/>
          </w:tcPr>
          <w:p w:rsidR="00280DA1" w:rsidRPr="00980583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980583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980583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80583" w:rsidTr="00280DA1">
        <w:tc>
          <w:tcPr>
            <w:tcW w:w="9242" w:type="dxa"/>
          </w:tcPr>
          <w:p w:rsidR="00280DA1" w:rsidRPr="00980583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980583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980583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980583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980583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980583">
              <w:rPr>
                <w:rFonts w:ascii="Arial" w:hAnsi="Arial" w:cs="Arial"/>
                <w:sz w:val="20"/>
                <w:szCs w:val="20"/>
              </w:rPr>
              <w:t>computer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980583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980583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980583" w:rsidTr="002034B4">
        <w:tc>
          <w:tcPr>
            <w:tcW w:w="1526" w:type="dxa"/>
          </w:tcPr>
          <w:p w:rsidR="00280DA1" w:rsidRPr="00980583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980583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980583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980583" w:rsidTr="002034B4">
        <w:tc>
          <w:tcPr>
            <w:tcW w:w="1526" w:type="dxa"/>
          </w:tcPr>
          <w:p w:rsidR="00280DA1" w:rsidRPr="00980583" w:rsidRDefault="00B575B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980583" w:rsidRDefault="00133906" w:rsidP="00F37825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Review of previous week’s work and terminology through a question and answer session. </w:t>
            </w:r>
            <w:r w:rsidR="0009105E" w:rsidRPr="00980583">
              <w:rPr>
                <w:rFonts w:ascii="Arial" w:hAnsi="Arial" w:cs="Arial"/>
                <w:sz w:val="20"/>
                <w:szCs w:val="20"/>
              </w:rPr>
              <w:t xml:space="preserve">Introduce the idea of a loop and relate it to musical structure. Demonstrate on the board for students to add into their work. Commands: </w:t>
            </w:r>
            <w:r w:rsidR="0009105E" w:rsidRPr="00980583">
              <w:rPr>
                <w:rFonts w:ascii="Arial" w:hAnsi="Arial" w:cs="Arial"/>
                <w:i/>
                <w:sz w:val="20"/>
                <w:szCs w:val="20"/>
              </w:rPr>
              <w:t>Loop Do, End</w:t>
            </w:r>
          </w:p>
        </w:tc>
        <w:tc>
          <w:tcPr>
            <w:tcW w:w="3081" w:type="dxa"/>
          </w:tcPr>
          <w:p w:rsidR="002C4FE4" w:rsidRPr="00980583" w:rsidRDefault="002C4FE4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80583" w:rsidTr="002034B4">
        <w:tc>
          <w:tcPr>
            <w:tcW w:w="1526" w:type="dxa"/>
          </w:tcPr>
          <w:p w:rsidR="00280DA1" w:rsidRPr="00980583" w:rsidRDefault="00B575B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Explain/</w:t>
            </w:r>
          </w:p>
          <w:p w:rsidR="00B575B8" w:rsidRPr="00980583" w:rsidRDefault="00B575B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980583" w:rsidRDefault="00133906" w:rsidP="0009105E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Demonstration on how to change instrument sounds in Sonic Pi by altering </w:t>
            </w:r>
            <w:r w:rsidR="0009105E" w:rsidRPr="00980583">
              <w:rPr>
                <w:rFonts w:ascii="Arial" w:hAnsi="Arial" w:cs="Arial"/>
                <w:sz w:val="20"/>
                <w:szCs w:val="20"/>
              </w:rPr>
              <w:t>synths</w:t>
            </w:r>
            <w:r w:rsidRPr="00980583">
              <w:rPr>
                <w:rFonts w:ascii="Arial" w:hAnsi="Arial" w:cs="Arial"/>
                <w:sz w:val="20"/>
                <w:szCs w:val="20"/>
              </w:rPr>
              <w:t>. Students should in the same pairs as last week try changing the synth sounds of last week’s work.</w:t>
            </w:r>
            <w:r w:rsidR="0009105E" w:rsidRPr="00980583">
              <w:rPr>
                <w:rFonts w:ascii="Arial" w:hAnsi="Arial" w:cs="Arial"/>
                <w:sz w:val="20"/>
                <w:szCs w:val="20"/>
              </w:rPr>
              <w:t xml:space="preserve"> Commands: </w:t>
            </w:r>
            <w:proofErr w:type="spellStart"/>
            <w:r w:rsidR="0009105E" w:rsidRPr="00980583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="0009105E" w:rsidRPr="00980583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3081" w:type="dxa"/>
          </w:tcPr>
          <w:p w:rsidR="0033143E" w:rsidRPr="00980583" w:rsidRDefault="00133906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Template of </w:t>
            </w:r>
            <w:r w:rsidR="0009105E" w:rsidRPr="00980583">
              <w:rPr>
                <w:rFonts w:ascii="Arial" w:hAnsi="Arial" w:cs="Arial"/>
                <w:sz w:val="20"/>
                <w:szCs w:val="20"/>
              </w:rPr>
              <w:t xml:space="preserve">finished 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song (encase work is lost) </w:t>
            </w:r>
          </w:p>
        </w:tc>
      </w:tr>
      <w:tr w:rsidR="00280DA1" w:rsidRPr="00980583" w:rsidTr="002034B4">
        <w:tc>
          <w:tcPr>
            <w:tcW w:w="1526" w:type="dxa"/>
          </w:tcPr>
          <w:p w:rsidR="00280DA1" w:rsidRPr="00980583" w:rsidRDefault="00B575B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80DA1" w:rsidRPr="00980583" w:rsidRDefault="00133906" w:rsidP="00BE107D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Play a piece of electronic music and engaging the class in discussion over the sounds and possible origin. </w:t>
            </w:r>
          </w:p>
        </w:tc>
        <w:tc>
          <w:tcPr>
            <w:tcW w:w="3081" w:type="dxa"/>
          </w:tcPr>
          <w:p w:rsidR="00280DA1" w:rsidRPr="00980583" w:rsidRDefault="00786066" w:rsidP="00133906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Example </w:t>
            </w:r>
            <w:r w:rsidR="00133906" w:rsidRPr="00980583">
              <w:rPr>
                <w:rFonts w:ascii="Arial" w:hAnsi="Arial" w:cs="Arial"/>
                <w:sz w:val="20"/>
                <w:szCs w:val="20"/>
              </w:rPr>
              <w:t xml:space="preserve"> of electronic music (see resources pack)</w:t>
            </w:r>
          </w:p>
        </w:tc>
      </w:tr>
      <w:tr w:rsidR="00280DA1" w:rsidRPr="00980583" w:rsidTr="002034B4">
        <w:tc>
          <w:tcPr>
            <w:tcW w:w="1526" w:type="dxa"/>
          </w:tcPr>
          <w:p w:rsidR="00280DA1" w:rsidRPr="00980583" w:rsidRDefault="00B575B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980583" w:rsidRDefault="00B575B8" w:rsidP="00BE107D">
            <w:pPr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Reflect upon this week’s compositions and how they are creating music.</w:t>
            </w:r>
          </w:p>
        </w:tc>
        <w:tc>
          <w:tcPr>
            <w:tcW w:w="3081" w:type="dxa"/>
          </w:tcPr>
          <w:p w:rsidR="00280DA1" w:rsidRPr="00980583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980583" w:rsidRDefault="00D42869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980583" w:rsidTr="00BB2A1E">
        <w:tc>
          <w:tcPr>
            <w:tcW w:w="9242" w:type="dxa"/>
          </w:tcPr>
          <w:p w:rsidR="00BB2A1E" w:rsidRPr="00980583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BB2A1E" w:rsidRPr="00980583" w:rsidRDefault="00537ECB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x15 Raspberry Pi, x15 Monitors, x15 keyboards and Mouse, x30 sets of headphones, x15 headphone splitters, x15 SD cards, x15 power supplies.</w:t>
            </w:r>
          </w:p>
        </w:tc>
      </w:tr>
    </w:tbl>
    <w:p w:rsidR="00BB2A1E" w:rsidRPr="00980583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7ECB" w:rsidRPr="00980583" w:rsidTr="003C3286">
        <w:tc>
          <w:tcPr>
            <w:tcW w:w="9242" w:type="dxa"/>
          </w:tcPr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537ECB" w:rsidRPr="00980583" w:rsidTr="003C3286">
        <w:tc>
          <w:tcPr>
            <w:tcW w:w="9242" w:type="dxa"/>
          </w:tcPr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Which terms would I use to write a melody on Sonic Pi? </w:t>
            </w: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What is the musical term used for writing ‘loops’? (Structure) </w:t>
            </w: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How would you describe the sounds of the synths? </w:t>
            </w:r>
            <w:r w:rsidRPr="00980583">
              <w:rPr>
                <w:rFonts w:ascii="Arial" w:hAnsi="Arial" w:cs="Arial"/>
                <w:sz w:val="20"/>
                <w:szCs w:val="20"/>
              </w:rPr>
              <w:br/>
              <w:t xml:space="preserve">What is the musical term for the way an instrument sounds? (Timbre) </w:t>
            </w: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How would you describe the sounds within the piece of music? </w:t>
            </w: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How are synths and conventional instruments different? </w:t>
            </w: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Template ideas: 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Twinkle, Twinkle/Old McDonald</w:t>
            </w: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Existing song ideas: </w:t>
            </w:r>
            <w:proofErr w:type="spellStart"/>
            <w:r w:rsidR="006359D4" w:rsidRPr="00980583">
              <w:rPr>
                <w:rFonts w:ascii="Arial" w:hAnsi="Arial" w:cs="Arial"/>
                <w:i/>
                <w:sz w:val="20"/>
                <w:szCs w:val="20"/>
              </w:rPr>
              <w:t>Aphex</w:t>
            </w:r>
            <w:proofErr w:type="spellEnd"/>
            <w:r w:rsidR="006359D4" w:rsidRPr="00980583">
              <w:rPr>
                <w:rFonts w:ascii="Arial" w:hAnsi="Arial" w:cs="Arial"/>
                <w:i/>
                <w:sz w:val="20"/>
                <w:szCs w:val="20"/>
              </w:rPr>
              <w:t xml:space="preserve"> Twins</w:t>
            </w:r>
          </w:p>
          <w:p w:rsidR="00537ECB" w:rsidRPr="00980583" w:rsidRDefault="00537ECB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37ECB" w:rsidRPr="00980583" w:rsidRDefault="00537ECB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60916" w:rsidRPr="00980583" w:rsidTr="00395833">
        <w:tc>
          <w:tcPr>
            <w:tcW w:w="4621" w:type="dxa"/>
          </w:tcPr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B60916" w:rsidRPr="00980583" w:rsidTr="00395833">
        <w:tc>
          <w:tcPr>
            <w:tcW w:w="4621" w:type="dxa"/>
          </w:tcPr>
          <w:p w:rsidR="00B575B8" w:rsidRPr="00980583" w:rsidRDefault="00B575B8" w:rsidP="00B575B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980583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B575B8" w:rsidRPr="00980583" w:rsidRDefault="00B575B8" w:rsidP="00B575B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B575B8" w:rsidRPr="00980583" w:rsidRDefault="00B575B8" w:rsidP="00B575B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B575B8" w:rsidRPr="00980583" w:rsidRDefault="00B575B8" w:rsidP="00B575B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B60916" w:rsidRPr="00980583" w:rsidRDefault="00B575B8" w:rsidP="00B575B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98058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980583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98058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80583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98058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980583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980583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980583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980583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980583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980583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80583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980583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98058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d) – piece stands on its own as a composition with a detailed write up explaining </w:t>
            </w:r>
            <w:r w:rsidRPr="00980583">
              <w:rPr>
                <w:rFonts w:ascii="Arial" w:hAnsi="Arial" w:cs="Arial"/>
                <w:sz w:val="20"/>
                <w:szCs w:val="20"/>
              </w:rPr>
              <w:lastRenderedPageBreak/>
              <w:t>thought process of creation.</w:t>
            </w:r>
          </w:p>
        </w:tc>
      </w:tr>
      <w:tr w:rsidR="00B60916" w:rsidRPr="00980583" w:rsidTr="00395833">
        <w:tc>
          <w:tcPr>
            <w:tcW w:w="4621" w:type="dxa"/>
          </w:tcPr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lastRenderedPageBreak/>
              <w:t>Performance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conduct as well. Possible environments.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98058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980583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Preparation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80583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80583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B60916" w:rsidRPr="00980583" w:rsidRDefault="00B60916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8058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8058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80583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80583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B60916" w:rsidRPr="00980583" w:rsidRDefault="00B60916" w:rsidP="00413E6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60916" w:rsidRPr="00980583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869" w:rsidRDefault="00D42869" w:rsidP="00980583">
      <w:pPr>
        <w:spacing w:after="0" w:line="240" w:lineRule="auto"/>
      </w:pPr>
      <w:r>
        <w:separator/>
      </w:r>
    </w:p>
  </w:endnote>
  <w:endnote w:type="continuationSeparator" w:id="0">
    <w:p w:rsidR="00D42869" w:rsidRDefault="00D42869" w:rsidP="0098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869" w:rsidRDefault="00D42869" w:rsidP="00980583">
      <w:pPr>
        <w:spacing w:after="0" w:line="240" w:lineRule="auto"/>
      </w:pPr>
      <w:r>
        <w:separator/>
      </w:r>
    </w:p>
  </w:footnote>
  <w:footnote w:type="continuationSeparator" w:id="0">
    <w:p w:rsidR="00D42869" w:rsidRDefault="00D42869" w:rsidP="0098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583" w:rsidRDefault="00980583" w:rsidP="00980583">
    <w:pPr>
      <w:pStyle w:val="Header"/>
      <w:jc w:val="right"/>
      <w:rPr>
        <w:rFonts w:ascii="Arial" w:hAnsi="Arial" w:cs="Arial"/>
        <w:b/>
        <w:color w:val="00BCE2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-66675</wp:posOffset>
          </wp:positionH>
          <wp:positionV relativeFrom="paragraph">
            <wp:posOffset>-1905</wp:posOffset>
          </wp:positionV>
          <wp:extent cx="1781175" cy="581025"/>
          <wp:effectExtent l="0" t="0" r="0" b="0"/>
          <wp:wrapTight wrapText="bothSides">
            <wp:wrapPolygon edited="0">
              <wp:start x="0" y="0"/>
              <wp:lineTo x="0" y="21246"/>
              <wp:lineTo x="21484" y="21246"/>
              <wp:lineTo x="21484" y="0"/>
              <wp:lineTo x="0" y="0"/>
            </wp:wrapPolygon>
          </wp:wrapTight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583">
      <w:rPr>
        <w:rFonts w:ascii="Arial" w:hAnsi="Arial" w:cs="Arial"/>
        <w:b/>
        <w:color w:val="00BCE2"/>
        <w:sz w:val="28"/>
        <w:szCs w:val="28"/>
      </w:rPr>
      <w:t xml:space="preserve"> </w:t>
    </w:r>
    <w:r>
      <w:rPr>
        <w:rFonts w:ascii="Arial" w:hAnsi="Arial" w:cs="Arial"/>
        <w:b/>
        <w:color w:val="00BCE2"/>
        <w:sz w:val="28"/>
        <w:szCs w:val="28"/>
      </w:rPr>
      <w:t xml:space="preserve">                                                         </w:t>
    </w:r>
  </w:p>
  <w:p w:rsidR="00980583" w:rsidRPr="002E5740" w:rsidRDefault="00980583" w:rsidP="00980583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980583" w:rsidRDefault="00980583">
    <w:pPr>
      <w:pStyle w:val="Header"/>
    </w:pPr>
  </w:p>
  <w:p w:rsidR="00980583" w:rsidRDefault="00980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40C1F"/>
    <w:rsid w:val="000508B8"/>
    <w:rsid w:val="0009105E"/>
    <w:rsid w:val="000A27F2"/>
    <w:rsid w:val="00111A0C"/>
    <w:rsid w:val="00133906"/>
    <w:rsid w:val="001731D9"/>
    <w:rsid w:val="002034B4"/>
    <w:rsid w:val="00251642"/>
    <w:rsid w:val="00280DA1"/>
    <w:rsid w:val="002A73F8"/>
    <w:rsid w:val="002C4FE4"/>
    <w:rsid w:val="002E4A3A"/>
    <w:rsid w:val="002F1EF0"/>
    <w:rsid w:val="0033143E"/>
    <w:rsid w:val="00413E61"/>
    <w:rsid w:val="00470C78"/>
    <w:rsid w:val="00537ECB"/>
    <w:rsid w:val="005943D7"/>
    <w:rsid w:val="006359D4"/>
    <w:rsid w:val="006C076E"/>
    <w:rsid w:val="006F4CF6"/>
    <w:rsid w:val="00714259"/>
    <w:rsid w:val="00786066"/>
    <w:rsid w:val="007D1369"/>
    <w:rsid w:val="00953C9D"/>
    <w:rsid w:val="00956145"/>
    <w:rsid w:val="00980583"/>
    <w:rsid w:val="00A65003"/>
    <w:rsid w:val="00B07173"/>
    <w:rsid w:val="00B575B8"/>
    <w:rsid w:val="00B60916"/>
    <w:rsid w:val="00BB2A1E"/>
    <w:rsid w:val="00BC4262"/>
    <w:rsid w:val="00BD00D8"/>
    <w:rsid w:val="00BE107D"/>
    <w:rsid w:val="00BF1BC0"/>
    <w:rsid w:val="00BF7278"/>
    <w:rsid w:val="00D42869"/>
    <w:rsid w:val="00D70B2F"/>
    <w:rsid w:val="00ED316F"/>
    <w:rsid w:val="00F37825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83"/>
  </w:style>
  <w:style w:type="paragraph" w:styleId="Footer">
    <w:name w:val="footer"/>
    <w:basedOn w:val="Normal"/>
    <w:link w:val="FooterChar"/>
    <w:uiPriority w:val="99"/>
    <w:unhideWhenUsed/>
    <w:rsid w:val="0098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83"/>
  </w:style>
  <w:style w:type="paragraph" w:styleId="BalloonText">
    <w:name w:val="Balloon Text"/>
    <w:basedOn w:val="Normal"/>
    <w:link w:val="BalloonTextChar"/>
    <w:uiPriority w:val="99"/>
    <w:semiHidden/>
    <w:unhideWhenUsed/>
    <w:rsid w:val="0098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83"/>
  </w:style>
  <w:style w:type="paragraph" w:styleId="Footer">
    <w:name w:val="footer"/>
    <w:basedOn w:val="Normal"/>
    <w:link w:val="FooterChar"/>
    <w:uiPriority w:val="99"/>
    <w:unhideWhenUsed/>
    <w:rsid w:val="0098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83"/>
  </w:style>
  <w:style w:type="paragraph" w:styleId="BalloonText">
    <w:name w:val="Balloon Text"/>
    <w:basedOn w:val="Normal"/>
    <w:link w:val="BalloonTextChar"/>
    <w:uiPriority w:val="99"/>
    <w:semiHidden/>
    <w:unhideWhenUsed/>
    <w:rsid w:val="0098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2014-11-03T15:16:00Z</dcterms:created>
  <dcterms:modified xsi:type="dcterms:W3CDTF">2014-11-03T15:16:00Z</dcterms:modified>
</cp:coreProperties>
</file>